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80" w:right="1880" w:hanging="3871"/>
        <w:spacing w:after="0" w:line="286" w:lineRule="auto"/>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For the quarterly period ended October 29, 2022</w:t>
      </w:r>
    </w:p>
    <w:p>
      <w:pPr>
        <w:spacing w:after="0" w:line="1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jc w:val="center"/>
        <w:ind w:right="1880"/>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___ to 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0-23246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9" w:lineRule="exact"/>
        <w:rPr>
          <w:sz w:val="24"/>
          <w:szCs w:val="24"/>
          <w:color w:val="auto"/>
        </w:rPr>
      </w:pPr>
    </w:p>
    <w:tbl>
      <w:tblPr>
        <w:tblLayout w:type="fixed"/>
        <w:tblInd w:w="10" w:type="dxa"/>
        <w:tblCellMar>
          <w:top w:w="0" w:type="dxa"/>
          <w:left w:w="0" w:type="dxa"/>
          <w:bottom w:w="0" w:type="dxa"/>
          <w:right w:w="0" w:type="dxa"/>
        </w:tblCellMar>
      </w:tblPr>
      <w:tr>
        <w:trPr>
          <w:trHeight w:val="245"/>
        </w:trPr>
        <w:tc>
          <w:tcPr>
            <w:tcW w:w="344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South Dakota</w:t>
            </w:r>
          </w:p>
        </w:tc>
        <w:tc>
          <w:tcPr>
            <w:tcW w:w="5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320" w:type="dxa"/>
            <w:vAlign w:val="bottom"/>
            <w:tcBorders>
              <w:bottom w:val="single" w:sz="8" w:color="auto"/>
            </w:tcBorders>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46-0306862</w:t>
            </w:r>
          </w:p>
        </w:tc>
      </w:tr>
      <w:tr>
        <w:trPr>
          <w:trHeight w:val="225"/>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3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527"/>
        </w:trPr>
        <w:tc>
          <w:tcPr>
            <w:tcW w:w="344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201 Daktronics Drive</w:t>
            </w: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Brookings,</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SD</w:t>
            </w:r>
          </w:p>
        </w:tc>
        <w:tc>
          <w:tcPr>
            <w:tcW w:w="4320" w:type="dxa"/>
            <w:vAlign w:val="bottom"/>
          </w:tcPr>
          <w:p>
            <w:pPr>
              <w:jc w:val="right"/>
              <w:ind w:right="1850"/>
              <w:spacing w:after="0"/>
              <w:rPr>
                <w:sz w:val="20"/>
                <w:szCs w:val="20"/>
                <w:color w:val="auto"/>
              </w:rPr>
            </w:pPr>
            <w:r>
              <w:rPr>
                <w:rFonts w:ascii="Times New Roman" w:cs="Times New Roman" w:eastAsia="Times New Roman" w:hAnsi="Times New Roman"/>
                <w:sz w:val="18"/>
                <w:szCs w:val="18"/>
                <w:b w:val="1"/>
                <w:bCs w:val="1"/>
                <w:color w:val="auto"/>
              </w:rPr>
              <w:t>57006</w:t>
            </w:r>
          </w:p>
        </w:tc>
      </w:tr>
      <w:tr>
        <w:trPr>
          <w:trHeight w:val="256"/>
        </w:trPr>
        <w:tc>
          <w:tcPr>
            <w:tcW w:w="3440" w:type="dxa"/>
            <w:vAlign w:val="bottom"/>
          </w:tcPr>
          <w:p>
            <w:pPr>
              <w:spacing w:after="0"/>
              <w:rPr>
                <w:sz w:val="22"/>
                <w:szCs w:val="22"/>
                <w:color w:val="auto"/>
              </w:rPr>
            </w:pPr>
          </w:p>
        </w:tc>
        <w:tc>
          <w:tcPr>
            <w:tcW w:w="7820" w:type="dxa"/>
            <w:vAlign w:val="bottom"/>
            <w:gridSpan w:val="5"/>
          </w:tcPr>
          <w:p>
            <w:pPr>
              <w:jc w:val="center"/>
              <w:ind w:right="335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r>
        <w:trPr>
          <w:trHeight w:val="522"/>
        </w:trPr>
        <w:tc>
          <w:tcPr>
            <w:tcW w:w="3440" w:type="dxa"/>
            <w:vAlign w:val="bottom"/>
          </w:tcPr>
          <w:p>
            <w:pPr>
              <w:spacing w:after="0"/>
              <w:rPr>
                <w:sz w:val="24"/>
                <w:szCs w:val="24"/>
                <w:color w:val="auto"/>
              </w:rPr>
            </w:pPr>
          </w:p>
        </w:tc>
        <w:tc>
          <w:tcPr>
            <w:tcW w:w="306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(605) 692-0200</w:t>
            </w:r>
          </w:p>
        </w:tc>
        <w:tc>
          <w:tcPr>
            <w:tcW w:w="4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34"/>
        </w:trPr>
        <w:tc>
          <w:tcPr>
            <w:tcW w:w="3440" w:type="dxa"/>
            <w:vAlign w:val="bottom"/>
          </w:tcPr>
          <w:p>
            <w:pPr>
              <w:spacing w:after="0"/>
              <w:rPr>
                <w:sz w:val="20"/>
                <w:szCs w:val="20"/>
                <w:color w:val="auto"/>
              </w:rPr>
            </w:pPr>
          </w:p>
        </w:tc>
        <w:tc>
          <w:tcPr>
            <w:tcW w:w="7820" w:type="dxa"/>
            <w:vAlign w:val="bottom"/>
            <w:gridSpan w:val="5"/>
          </w:tcPr>
          <w:p>
            <w:pPr>
              <w:jc w:val="center"/>
              <w:ind w:right="33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3440" w:type="dxa"/>
            <w:vAlign w:val="bottom"/>
          </w:tcPr>
          <w:p>
            <w:pPr>
              <w:spacing w:after="0"/>
              <w:rPr>
                <w:sz w:val="24"/>
                <w:szCs w:val="24"/>
                <w:color w:val="auto"/>
              </w:rPr>
            </w:pPr>
          </w:p>
        </w:tc>
        <w:tc>
          <w:tcPr>
            <w:tcW w:w="7820" w:type="dxa"/>
            <w:vAlign w:val="bottom"/>
            <w:gridSpan w:val="5"/>
          </w:tcPr>
          <w:p>
            <w:pPr>
              <w:jc w:val="center"/>
              <w:ind w:right="335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243"/>
        </w:trPr>
        <w:tc>
          <w:tcPr>
            <w:tcW w:w="34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r>
      <w:tr>
        <w:trPr>
          <w:trHeight w:val="243"/>
        </w:trPr>
        <w:tc>
          <w:tcPr>
            <w:tcW w:w="3440" w:type="dxa"/>
            <w:vAlign w:val="bottom"/>
            <w:tcBorders>
              <w:left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50"/>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DAKT</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50"/>
        </w:trPr>
        <w:tc>
          <w:tcPr>
            <w:tcW w:w="34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5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DAKT</w:t>
            </w:r>
          </w:p>
        </w:tc>
        <w:tc>
          <w:tcPr>
            <w:tcW w:w="4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92"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600"/>
              <w:spacing w:after="0"/>
              <w:rPr>
                <w:sz w:val="20"/>
                <w:szCs w:val="20"/>
                <w:color w:val="auto"/>
              </w:rPr>
            </w:pPr>
            <w:r>
              <w:rPr>
                <w:rFonts w:ascii="Wingdings" w:cs="Wingdings" w:eastAsia="Wingdings" w:hAnsi="Wingdings"/>
                <w:sz w:val="18"/>
                <w:szCs w:val="18"/>
                <w:b w:val="1"/>
                <w:bCs w:val="1"/>
                <w:color w:val="auto"/>
              </w:rPr>
              <w:t>o</w:t>
            </w:r>
          </w:p>
        </w:tc>
        <w:tc>
          <w:tcPr>
            <w:tcW w:w="45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1480" w:type="dxa"/>
            <w:vAlign w:val="bottom"/>
          </w:tcPr>
          <w:p>
            <w:pPr>
              <w:ind w:left="130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600"/>
              <w:spacing w:after="0"/>
              <w:rPr>
                <w:sz w:val="20"/>
                <w:szCs w:val="20"/>
                <w:color w:val="auto"/>
              </w:rPr>
            </w:pPr>
            <w:r>
              <w:rPr>
                <w:rFonts w:ascii="Wingdings" w:cs="Wingdings" w:eastAsia="Wingdings" w:hAnsi="Wingdings"/>
                <w:sz w:val="18"/>
                <w:szCs w:val="18"/>
                <w:b w:val="1"/>
                <w:bCs w:val="1"/>
                <w:color w:val="auto"/>
              </w:rPr>
              <w:t>o</w:t>
            </w:r>
          </w:p>
        </w:tc>
        <w:tc>
          <w:tcPr>
            <w:tcW w:w="45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80" w:type="dxa"/>
            <w:vAlign w:val="bottom"/>
          </w:tcPr>
          <w:p>
            <w:pPr>
              <w:ind w:left="1300"/>
              <w:spacing w:after="0"/>
              <w:rPr>
                <w:sz w:val="20"/>
                <w:szCs w:val="20"/>
                <w:color w:val="auto"/>
              </w:rPr>
            </w:pPr>
            <w:r>
              <w:rPr>
                <w:rFonts w:ascii="Wingdings" w:cs="Wingdings" w:eastAsia="Wingdings" w:hAnsi="Wingdings"/>
                <w:sz w:val="18"/>
                <w:szCs w:val="18"/>
                <w:b w:val="1"/>
                <w:bCs w:val="1"/>
                <w:color w:val="auto"/>
                <w:w w:val="99"/>
              </w:rPr>
              <w:t>o</w:t>
            </w:r>
          </w:p>
        </w:tc>
      </w:tr>
      <w:tr>
        <w:trPr>
          <w:trHeight w:val="257"/>
        </w:trPr>
        <w:tc>
          <w:tcPr>
            <w:tcW w:w="22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45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80" w:type="dxa"/>
            <w:vAlign w:val="bottom"/>
          </w:tcPr>
          <w:p>
            <w:pPr>
              <w:ind w:left="130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29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number of shares of the registrant’s common stock outstanding as of December 7, 2022 was 45,465,728.</w:t>
      </w:r>
    </w:p>
    <w:p>
      <w:pPr>
        <w:sectPr>
          <w:pgSz w:w="11900" w:h="16838" w:orient="portrait"/>
          <w:cols w:equalWidth="0" w:num="1">
            <w:col w:w="11260"/>
          </w:cols>
          <w:pgMar w:left="320" w:top="1364" w:right="319" w:bottom="235"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247650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 Ended October 29,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1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60" w:type="dxa"/>
            <w:vAlign w:val="bottom"/>
            <w:gridSpan w:val="6"/>
            <w:vMerge w:val="continue"/>
          </w:tcPr>
          <w:p>
            <w:pPr>
              <w:spacing w:after="0"/>
              <w:rPr>
                <w:sz w:val="16"/>
                <w:szCs w:val="16"/>
                <w:color w:val="auto"/>
              </w:rPr>
            </w:pPr>
          </w:p>
        </w:tc>
        <w:tc>
          <w:tcPr>
            <w:tcW w:w="9140" w:type="dxa"/>
            <w:vAlign w:val="bottom"/>
            <w:gridSpan w:val="22"/>
            <w:vMerge w:val="continue"/>
          </w:tcPr>
          <w:p>
            <w:pPr>
              <w:spacing w:after="0"/>
              <w:rPr>
                <w:sz w:val="16"/>
                <w:szCs w:val="16"/>
                <w:color w:val="auto"/>
              </w:rPr>
            </w:pPr>
          </w:p>
        </w:tc>
        <w:tc>
          <w:tcPr>
            <w:tcW w:w="400" w:type="dxa"/>
            <w:vAlign w:val="bottom"/>
            <w:gridSpan w:val="4"/>
          </w:tcPr>
          <w:p>
            <w:pPr>
              <w:jc w:val="center"/>
              <w:ind w:left="150"/>
              <w:spacing w:after="0" w:line="194" w:lineRule="exact"/>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860" w:type="dxa"/>
            <w:vAlign w:val="bottom"/>
            <w:gridSpan w:val="5"/>
          </w:tcPr>
          <w:p>
            <w:pPr>
              <w:spacing w:after="0"/>
              <w:rPr>
                <w:sz w:val="18"/>
                <w:szCs w:val="18"/>
                <w:color w:val="auto"/>
              </w:rPr>
            </w:pPr>
          </w:p>
        </w:tc>
        <w:tc>
          <w:tcPr>
            <w:tcW w:w="24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20" w:type="dxa"/>
            <w:vAlign w:val="bottom"/>
            <w:gridSpan w:val="11"/>
          </w:tcPr>
          <w:p>
            <w:pPr>
              <w:spacing w:after="0"/>
              <w:rPr>
                <w:sz w:val="18"/>
                <w:szCs w:val="18"/>
                <w:color w:val="auto"/>
              </w:rPr>
            </w:pPr>
          </w:p>
        </w:tc>
        <w:tc>
          <w:tcPr>
            <w:tcW w:w="4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October 29, 2022 and April 30, 2022</w:t>
            </w:r>
          </w:p>
        </w:tc>
        <w:tc>
          <w:tcPr>
            <w:tcW w:w="1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9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October 29, 2022 and</w:t>
            </w:r>
          </w:p>
        </w:tc>
        <w:tc>
          <w:tcPr>
            <w:tcW w:w="720" w:type="dxa"/>
            <w:vAlign w:val="bottom"/>
            <w:gridSpan w:val="4"/>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940" w:type="dxa"/>
            <w:vAlign w:val="bottom"/>
            <w:tcBorders>
              <w:bottom w:val="single" w:sz="8" w:color="0000FF"/>
            </w:tcBorders>
            <w:gridSpan w:val="17"/>
            <w:vMerge w:val="continue"/>
          </w:tcPr>
          <w:p>
            <w:pPr>
              <w:spacing w:after="0"/>
              <w:rPr>
                <w:sz w:val="18"/>
                <w:szCs w:val="18"/>
                <w:color w:val="auto"/>
              </w:rPr>
            </w:pPr>
          </w:p>
        </w:tc>
        <w:tc>
          <w:tcPr>
            <w:tcW w:w="72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Borders>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8"/>
              </w:rPr>
              <w:t>October 30, 2021</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3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4"/>
          </w:tcPr>
          <w:p>
            <w:pPr>
              <w:jc w:val="center"/>
              <w:ind w:left="150"/>
              <w:spacing w:after="0" w:line="196" w:lineRule="exact"/>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Income for the Three and Six Months Ended October</w:t>
            </w: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60" w:type="dxa"/>
            <w:vAlign w:val="bottom"/>
            <w:gridSpan w:val="21"/>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40" w:type="dxa"/>
            <w:vAlign w:val="bottom"/>
            <w:tcBorders>
              <w:top w:val="single" w:sz="8" w:color="0000FF"/>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29, 2022 and October 30, 2021</w:t>
            </w:r>
          </w:p>
        </w:tc>
        <w:tc>
          <w:tcPr>
            <w:tcW w:w="162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380" w:type="dxa"/>
            <w:vAlign w:val="bottom"/>
            <w:tcBorders>
              <w:top w:val="single" w:sz="8" w:color="0000FF"/>
              <w:bottom w:val="single" w:sz="8" w:color="0000FF"/>
            </w:tcBorders>
          </w:tcPr>
          <w:p>
            <w:pPr>
              <w:spacing w:after="0"/>
              <w:rPr>
                <w:sz w:val="17"/>
                <w:szCs w:val="17"/>
                <w:color w:val="auto"/>
              </w:rPr>
            </w:pPr>
          </w:p>
        </w:tc>
        <w:tc>
          <w:tcPr>
            <w:tcW w:w="1720" w:type="dxa"/>
            <w:vAlign w:val="bottom"/>
            <w:tcBorders>
              <w:top w:val="single" w:sz="8" w:color="0000FF"/>
              <w:bottom w:val="single" w:sz="8" w:color="0000FF"/>
            </w:tcBorders>
          </w:tcPr>
          <w:p>
            <w:pPr>
              <w:spacing w:after="0"/>
              <w:rPr>
                <w:sz w:val="17"/>
                <w:szCs w:val="17"/>
                <w:color w:val="auto"/>
              </w:rPr>
            </w:pPr>
          </w:p>
        </w:tc>
        <w:tc>
          <w:tcPr>
            <w:tcW w:w="2360" w:type="dxa"/>
            <w:vAlign w:val="bottom"/>
            <w:tcBorders>
              <w:top w:val="single" w:sz="8" w:color="0000FF"/>
              <w:bottom w:val="single" w:sz="8" w:color="0000FF"/>
            </w:tcBorders>
            <w:gridSpan w:val="3"/>
          </w:tcPr>
          <w:p>
            <w:pPr>
              <w:spacing w:after="0"/>
              <w:rPr>
                <w:sz w:val="17"/>
                <w:szCs w:val="17"/>
                <w:color w:val="auto"/>
              </w:rPr>
            </w:pPr>
          </w:p>
        </w:tc>
        <w:tc>
          <w:tcPr>
            <w:tcW w:w="40" w:type="dxa"/>
            <w:vAlign w:val="bottom"/>
            <w:tcBorders>
              <w:top w:val="single" w:sz="8" w:color="0000FF"/>
              <w:bottom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4"/>
          </w:tcPr>
          <w:p>
            <w:pPr>
              <w:jc w:val="center"/>
              <w:ind w:left="150"/>
              <w:spacing w:after="0" w:line="19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3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Shareholders' Equity for the Three and Six Months Ended October 29, 2022</w:t>
            </w:r>
          </w:p>
        </w:tc>
        <w:tc>
          <w:tcPr>
            <w:tcW w:w="320" w:type="dxa"/>
            <w:vAlign w:val="bottom"/>
            <w:gridSpan w:val="3"/>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340" w:type="dxa"/>
            <w:vAlign w:val="bottom"/>
            <w:tcBorders>
              <w:bottom w:val="single" w:sz="8" w:color="0000FF"/>
            </w:tcBorders>
            <w:gridSpan w:val="18"/>
            <w:vMerge w:val="continue"/>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Borders>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8"/>
              </w:rPr>
              <w:t>and October 30, 2021</w:t>
            </w:r>
          </w:p>
        </w:tc>
        <w:tc>
          <w:tcPr>
            <w:tcW w:w="280" w:type="dxa"/>
            <w:vAlign w:val="bottom"/>
          </w:tcPr>
          <w:p>
            <w:pPr>
              <w:spacing w:after="0"/>
              <w:rPr>
                <w:sz w:val="17"/>
                <w:szCs w:val="17"/>
                <w:color w:val="auto"/>
              </w:rPr>
            </w:pPr>
          </w:p>
        </w:tc>
        <w:tc>
          <w:tcPr>
            <w:tcW w:w="20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540" w:type="dxa"/>
            <w:vAlign w:val="bottom"/>
            <w:gridSpan w:val="5"/>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4"/>
          </w:tcPr>
          <w:p>
            <w:pPr>
              <w:jc w:val="center"/>
              <w:ind w:left="150"/>
              <w:spacing w:after="0" w:line="196" w:lineRule="exact"/>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52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October 29, 2022 and October 30, 2021</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520" w:type="dxa"/>
            <w:vAlign w:val="bottom"/>
            <w:tcBorders>
              <w:bottom w:val="single" w:sz="8" w:color="0000FF"/>
            </w:tcBorders>
            <w:gridSpan w:val="20"/>
            <w:vMerge w:val="continue"/>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1720" w:type="dxa"/>
            <w:vAlign w:val="bottom"/>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60" w:type="dxa"/>
            <w:vAlign w:val="bottom"/>
            <w:tcBorders>
              <w:bottom w:val="single" w:sz="8" w:color="0000FF"/>
            </w:tcBorders>
            <w:gridSpan w:val="14"/>
            <w:vMerge w:val="continue"/>
          </w:tcPr>
          <w:p>
            <w:pPr>
              <w:spacing w:after="0"/>
              <w:rPr>
                <w:sz w:val="18"/>
                <w:szCs w:val="18"/>
                <w:color w:val="auto"/>
              </w:rPr>
            </w:pPr>
          </w:p>
        </w:tc>
        <w:tc>
          <w:tcPr>
            <w:tcW w:w="1720" w:type="dxa"/>
            <w:vAlign w:val="bottom"/>
          </w:tcPr>
          <w:p>
            <w:pPr>
              <w:spacing w:after="0"/>
              <w:rPr>
                <w:sz w:val="18"/>
                <w:szCs w:val="18"/>
                <w:color w:val="auto"/>
              </w:rPr>
            </w:pPr>
          </w:p>
        </w:tc>
        <w:tc>
          <w:tcPr>
            <w:tcW w:w="2680" w:type="dxa"/>
            <w:vAlign w:val="bottom"/>
            <w:gridSpan w:val="6"/>
          </w:tcPr>
          <w:p>
            <w:pPr>
              <w:spacing w:after="0"/>
              <w:rPr>
                <w:sz w:val="18"/>
                <w:szCs w:val="18"/>
                <w:color w:val="auto"/>
              </w:rPr>
            </w:pPr>
          </w:p>
        </w:tc>
        <w:tc>
          <w:tcPr>
            <w:tcW w:w="40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0"/>
              </w:rPr>
              <w:t>Item 2.</w:t>
            </w:r>
          </w:p>
        </w:tc>
        <w:tc>
          <w:tcPr>
            <w:tcW w:w="860" w:type="dxa"/>
            <w:vAlign w:val="bottom"/>
            <w:gridSpan w:val="5"/>
          </w:tcPr>
          <w:p>
            <w:pPr>
              <w:spacing w:after="0"/>
              <w:rPr>
                <w:sz w:val="17"/>
                <w:szCs w:val="17"/>
                <w:color w:val="auto"/>
              </w:rPr>
            </w:pPr>
          </w:p>
        </w:tc>
        <w:tc>
          <w:tcPr>
            <w:tcW w:w="64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8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18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860" w:type="dxa"/>
            <w:vAlign w:val="bottom"/>
            <w:gridSpan w:val="5"/>
          </w:tcPr>
          <w:p>
            <w:pPr>
              <w:spacing w:after="0"/>
              <w:rPr>
                <w:sz w:val="18"/>
                <w:szCs w:val="18"/>
                <w:color w:val="auto"/>
              </w:rPr>
            </w:pP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80" w:type="dxa"/>
            <w:vAlign w:val="bottom"/>
            <w:gridSpan w:val="8"/>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860" w:type="dxa"/>
            <w:vAlign w:val="bottom"/>
            <w:gridSpan w:val="5"/>
          </w:tcPr>
          <w:p>
            <w:pPr>
              <w:spacing w:after="0"/>
              <w:rPr>
                <w:sz w:val="18"/>
                <w:szCs w:val="18"/>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FF"/>
                <w:w w:val="99"/>
              </w:rPr>
              <w:t>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780" w:type="dxa"/>
            <w:vAlign w:val="bottom"/>
            <w:gridSpan w:val="4"/>
          </w:tcPr>
          <w:p>
            <w:pPr>
              <w:spacing w:after="0"/>
              <w:rPr>
                <w:sz w:val="24"/>
                <w:szCs w:val="24"/>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4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80" w:type="dxa"/>
            <w:vAlign w:val="bottom"/>
            <w:tcBorders>
              <w:top w:val="single" w:sz="8" w:color="0000FF"/>
            </w:tcBorders>
          </w:tcPr>
          <w:p>
            <w:pPr>
              <w:spacing w:after="0"/>
              <w:rPr>
                <w:sz w:val="18"/>
                <w:szCs w:val="18"/>
                <w:color w:val="auto"/>
              </w:rPr>
            </w:pPr>
          </w:p>
        </w:tc>
        <w:tc>
          <w:tcPr>
            <w:tcW w:w="780" w:type="dxa"/>
            <w:vAlign w:val="bottom"/>
            <w:gridSpan w:val="4"/>
          </w:tcPr>
          <w:p>
            <w:pPr>
              <w:spacing w:after="0"/>
              <w:rPr>
                <w:sz w:val="18"/>
                <w:szCs w:val="18"/>
                <w:color w:val="auto"/>
              </w:rPr>
            </w:pPr>
          </w:p>
        </w:tc>
        <w:tc>
          <w:tcPr>
            <w:tcW w:w="14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700" w:type="dxa"/>
            <w:vAlign w:val="bottom"/>
            <w:gridSpan w:val="17"/>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2.</w:t>
            </w:r>
          </w:p>
        </w:tc>
        <w:tc>
          <w:tcPr>
            <w:tcW w:w="140" w:type="dxa"/>
            <w:vAlign w:val="bottom"/>
            <w:gridSpan w:val="2"/>
          </w:tcPr>
          <w:p>
            <w:pPr>
              <w:spacing w:after="0"/>
              <w:rPr>
                <w:sz w:val="18"/>
                <w:szCs w:val="18"/>
                <w:color w:val="auto"/>
              </w:rPr>
            </w:pPr>
          </w:p>
        </w:tc>
        <w:tc>
          <w:tcPr>
            <w:tcW w:w="720" w:type="dxa"/>
            <w:vAlign w:val="bottom"/>
            <w:gridSpan w:val="3"/>
          </w:tcPr>
          <w:p>
            <w:pPr>
              <w:spacing w:after="0"/>
              <w:rPr>
                <w:sz w:val="18"/>
                <w:szCs w:val="18"/>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860" w:type="dxa"/>
            <w:vAlign w:val="bottom"/>
            <w:gridSpan w:val="5"/>
          </w:tcPr>
          <w:p>
            <w:pPr>
              <w:spacing w:after="0"/>
              <w:rPr>
                <w:sz w:val="18"/>
                <w:szCs w:val="18"/>
                <w:color w:val="auto"/>
              </w:rPr>
            </w:pPr>
          </w:p>
        </w:tc>
        <w:tc>
          <w:tcPr>
            <w:tcW w:w="23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3"/>
          </w:tcPr>
          <w:p>
            <w:pPr>
              <w:spacing w:after="0"/>
              <w:rPr>
                <w:sz w:val="18"/>
                <w:szCs w:val="18"/>
                <w:color w:val="auto"/>
              </w:rPr>
            </w:pPr>
          </w:p>
        </w:tc>
        <w:tc>
          <w:tcPr>
            <w:tcW w:w="4800" w:type="dxa"/>
            <w:vAlign w:val="bottom"/>
            <w:gridSpan w:val="9"/>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860" w:type="dxa"/>
            <w:vAlign w:val="bottom"/>
            <w:gridSpan w:val="5"/>
          </w:tcPr>
          <w:p>
            <w:pPr>
              <w:spacing w:after="0"/>
              <w:rPr>
                <w:sz w:val="18"/>
                <w:szCs w:val="18"/>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5.</w:t>
            </w:r>
          </w:p>
        </w:tc>
        <w:tc>
          <w:tcPr>
            <w:tcW w:w="860" w:type="dxa"/>
            <w:vAlign w:val="bottom"/>
            <w:gridSpan w:val="5"/>
          </w:tcPr>
          <w:p>
            <w:pPr>
              <w:spacing w:after="0"/>
              <w:rPr>
                <w:sz w:val="18"/>
                <w:szCs w:val="18"/>
                <w:color w:val="auto"/>
              </w:rPr>
            </w:pP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80" w:type="dxa"/>
            <w:vAlign w:val="bottom"/>
            <w:gridSpan w:val="14"/>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0"/>
              </w:rPr>
              <w:t>Item 6.</w:t>
            </w:r>
          </w:p>
        </w:tc>
        <w:tc>
          <w:tcPr>
            <w:tcW w:w="860" w:type="dxa"/>
            <w:vAlign w:val="bottom"/>
            <w:gridSpan w:val="5"/>
          </w:tcPr>
          <w:p>
            <w:pPr>
              <w:spacing w:after="0"/>
              <w:rPr>
                <w:sz w:val="18"/>
                <w:szCs w:val="18"/>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2"/>
          </w:tcPr>
          <w:p>
            <w:pPr>
              <w:spacing w:after="0"/>
              <w:rPr>
                <w:sz w:val="18"/>
                <w:szCs w:val="18"/>
                <w:color w:val="auto"/>
              </w:rPr>
            </w:pPr>
          </w:p>
        </w:tc>
        <w:tc>
          <w:tcPr>
            <w:tcW w:w="7820" w:type="dxa"/>
            <w:vAlign w:val="bottom"/>
            <w:gridSpan w:val="18"/>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Index to Exhibits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 (unaudited)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October 29,</w:t>
            </w:r>
          </w:p>
        </w:tc>
        <w:tc>
          <w:tcPr>
            <w:tcW w:w="26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April 30,</w:t>
            </w:r>
          </w:p>
        </w:tc>
      </w:tr>
      <w:tr>
        <w:trPr>
          <w:trHeight w:val="214"/>
        </w:trPr>
        <w:tc>
          <w:tcPr>
            <w:tcW w:w="8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17,143</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4,020</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101,099</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134,392</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Contract assets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41,687</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receivables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14,963</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receivables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r>
      <w:tr>
        <w:trPr>
          <w:trHeight w:val="22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345,632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317,570</w:t>
            </w:r>
          </w:p>
        </w:tc>
      </w:tr>
      <w:tr>
        <w:trPr>
          <w:trHeight w:val="78"/>
        </w:trPr>
        <w:tc>
          <w:tcPr>
            <w:tcW w:w="81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66,765</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receivables, less current maturities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7,927</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Intangibles, net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in affiliates and other assets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32,321</w:t>
            </w:r>
          </w:p>
        </w:tc>
      </w:tr>
      <w:tr>
        <w:trPr>
          <w:trHeight w:val="2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13,331</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463,868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440,876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1"/>
        </w:trPr>
        <w:tc>
          <w:tcPr>
            <w:tcW w:w="81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1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86,705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76,313</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 liabilities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90,393</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34,959</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Warranty obligations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11,621</w:t>
            </w:r>
          </w:p>
        </w:tc>
      </w:tr>
      <w:tr>
        <w:trPr>
          <w:trHeight w:val="24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213,694</w:t>
            </w:r>
          </w:p>
        </w:tc>
      </w:tr>
      <w:tr>
        <w:trPr>
          <w:trHeight w:val="78"/>
        </w:trPr>
        <w:tc>
          <w:tcPr>
            <w:tcW w:w="8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20" w:type="dxa"/>
            <w:vAlign w:val="bottom"/>
          </w:tcPr>
          <w:p>
            <w:pPr>
              <w:spacing w:after="0"/>
              <w:rPr>
                <w:sz w:val="6"/>
                <w:szCs w:val="6"/>
                <w:color w:val="auto"/>
              </w:rPr>
            </w:pPr>
          </w:p>
        </w:tc>
      </w:tr>
      <w:tr>
        <w:trPr>
          <w:trHeight w:val="2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warranty obligations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17,257</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10,998</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obligations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7,076</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Line of Credit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2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64,286</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35,618</w:t>
            </w:r>
          </w:p>
        </w:tc>
      </w:tr>
      <w:tr>
        <w:trPr>
          <w:trHeight w:val="77"/>
        </w:trPr>
        <w:tc>
          <w:tcPr>
            <w:tcW w:w="81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Shares, no par value, authorized 50,000 shares; no shares issued and outstanding</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no par value, authorized 115,000,000 shares; 47,158,442 and 46,733,544 shares issued at October 29,</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2022 and April 30, 2022, respectively</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61,794</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48,372</w:t>
            </w:r>
          </w:p>
        </w:tc>
      </w:tr>
      <w:tr>
        <w:trPr>
          <w:trHeight w:val="240"/>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96,608</w:t>
            </w:r>
          </w:p>
        </w:tc>
      </w:tr>
      <w:tr>
        <w:trPr>
          <w:trHeight w:val="24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at cost, 1,907,445 shares at October 29, 2022 and April 30, 2022, respectively</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(10,285)</w:t>
            </w:r>
          </w:p>
        </w:tc>
      </w:tr>
      <w:tr>
        <w:trPr>
          <w:trHeight w:val="24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191,564</w:t>
            </w: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463,868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440,876</w:t>
            </w:r>
          </w:p>
        </w:tc>
      </w:tr>
      <w:tr>
        <w:trPr>
          <w:trHeight w:val="21"/>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121" w:right="339" w:bottom="10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1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348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36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2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October 30,</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2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October 30,</w:t>
            </w:r>
          </w:p>
        </w:tc>
      </w:tr>
      <w:tr>
        <w:trPr>
          <w:trHeight w:val="241"/>
        </w:trPr>
        <w:tc>
          <w:tcPr>
            <w:tcW w:w="36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309,209</w:t>
            </w:r>
          </w:p>
        </w:tc>
      </w:tr>
      <w:tr>
        <w:trPr>
          <w:trHeight w:val="22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244,757</w:t>
            </w:r>
          </w:p>
        </w:tc>
      </w:tr>
      <w:tr>
        <w:trPr>
          <w:trHeight w:val="25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64,452</w:t>
            </w:r>
          </w:p>
        </w:tc>
      </w:tr>
      <w:tr>
        <w:trPr>
          <w:trHeight w:val="270"/>
        </w:trPr>
        <w:tc>
          <w:tcPr>
            <w:tcW w:w="3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7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24,277</w:t>
            </w:r>
          </w:p>
        </w:tc>
      </w:tr>
      <w:tr>
        <w:trPr>
          <w:trHeight w:val="27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15,772</w:t>
            </w:r>
          </w:p>
        </w:tc>
      </w:tr>
      <w:tr>
        <w:trPr>
          <w:trHeight w:val="270"/>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14,358</w:t>
            </w:r>
          </w:p>
        </w:tc>
      </w:tr>
      <w:tr>
        <w:trPr>
          <w:trHeight w:val="223"/>
        </w:trPr>
        <w:tc>
          <w:tcPr>
            <w:tcW w:w="3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54,407</w:t>
            </w:r>
          </w:p>
        </w:tc>
      </w:tr>
      <w:tr>
        <w:trPr>
          <w:trHeight w:val="250"/>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10,045</w:t>
            </w:r>
          </w:p>
        </w:tc>
      </w:tr>
      <w:tr>
        <w:trPr>
          <w:trHeight w:val="250"/>
        </w:trPr>
        <w:tc>
          <w:tcPr>
            <w:tcW w:w="36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7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0"/>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50"/>
        </w:trPr>
        <w:tc>
          <w:tcPr>
            <w:tcW w:w="36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7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w:t>
            </w:r>
          </w:p>
        </w:tc>
      </w:tr>
      <w:tr>
        <w:trPr>
          <w:trHeight w:val="27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r>
      <w:tr>
        <w:trPr>
          <w:trHeight w:val="22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6,059</w:t>
            </w: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3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7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45,271</w:t>
            </w:r>
          </w:p>
        </w:tc>
      </w:tr>
      <w:tr>
        <w:trPr>
          <w:trHeight w:val="27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45,490</w:t>
            </w:r>
          </w:p>
        </w:tc>
      </w:tr>
      <w:tr>
        <w:trPr>
          <w:trHeight w:val="270"/>
        </w:trPr>
        <w:tc>
          <w:tcPr>
            <w:tcW w:w="36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7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50"/>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8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28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39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2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October 30,</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October 30,</w:t>
            </w:r>
          </w:p>
        </w:tc>
      </w:tr>
      <w:tr>
        <w:trPr>
          <w:trHeight w:val="241"/>
        </w:trPr>
        <w:tc>
          <w:tcPr>
            <w:tcW w:w="3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2"/>
        </w:trPr>
        <w:tc>
          <w:tcPr>
            <w:tcW w:w="3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r>
      <w:tr>
        <w:trPr>
          <w:trHeight w:val="270"/>
        </w:trPr>
        <w:tc>
          <w:tcPr>
            <w:tcW w:w="3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0"/>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3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5"/>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w:t>
            </w:r>
          </w:p>
        </w:tc>
        <w:tc>
          <w:tcPr>
            <w:tcW w:w="3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61"/>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net of tax</w:t>
            </w:r>
          </w:p>
        </w:tc>
        <w:tc>
          <w:tcPr>
            <w:tcW w:w="3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3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200" w:type="dxa"/>
            <w:vAlign w:val="bottom"/>
          </w:tcPr>
          <w:p>
            <w:pPr>
              <w:spacing w:after="0"/>
              <w:rPr>
                <w:sz w:val="16"/>
                <w:szCs w:val="16"/>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40" w:type="dxa"/>
            <w:vAlign w:val="bottom"/>
          </w:tcPr>
          <w:p>
            <w:pPr>
              <w:spacing w:after="0"/>
              <w:rPr>
                <w:sz w:val="14"/>
                <w:szCs w:val="14"/>
                <w:color w:val="auto"/>
              </w:rPr>
            </w:pPr>
          </w:p>
        </w:tc>
        <w:tc>
          <w:tcPr>
            <w:tcW w:w="14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12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3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30, 2022</w:t>
            </w:r>
          </w:p>
        </w:tc>
        <w:tc>
          <w:tcPr>
            <w:tcW w:w="40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191,564</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175"/>
        </w:trPr>
        <w:tc>
          <w:tcPr>
            <w:tcW w:w="31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Unrealized gain (loss) on available-for-</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 securities, net of tax</w:t>
            </w:r>
          </w:p>
        </w:tc>
        <w:tc>
          <w:tcPr>
            <w:tcW w:w="40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30, 2022</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186,702</w:t>
            </w: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176"/>
        </w:trPr>
        <w:tc>
          <w:tcPr>
            <w:tcW w:w="31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Unrealized (loss) gain on available-for-</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 securities, net of tax</w:t>
            </w:r>
          </w:p>
        </w:tc>
        <w:tc>
          <w:tcPr>
            <w:tcW w:w="40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29, 2022</w:t>
            </w:r>
          </w:p>
        </w:tc>
        <w:tc>
          <w:tcPr>
            <w:tcW w:w="40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172,530</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200" w:type="dxa"/>
            <w:vAlign w:val="bottom"/>
          </w:tcPr>
          <w:p>
            <w:pPr>
              <w:spacing w:after="0"/>
              <w:rPr>
                <w:sz w:val="16"/>
                <w:szCs w:val="16"/>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40" w:type="dxa"/>
            <w:vAlign w:val="bottom"/>
          </w:tcPr>
          <w:p>
            <w:pPr>
              <w:spacing w:after="0"/>
              <w:rPr>
                <w:sz w:val="14"/>
                <w:szCs w:val="14"/>
                <w:color w:val="auto"/>
              </w:rPr>
            </w:pPr>
          </w:p>
        </w:tc>
        <w:tc>
          <w:tcPr>
            <w:tcW w:w="14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12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3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May 1, 2021</w:t>
            </w:r>
          </w:p>
        </w:tc>
        <w:tc>
          <w:tcPr>
            <w:tcW w:w="40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193,554</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reissued</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31, 2021</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198,181</w:t>
            </w: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30, 2021</w:t>
            </w:r>
          </w:p>
        </w:tc>
        <w:tc>
          <w:tcPr>
            <w:tcW w:w="40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200,803</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8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October 29,</w:t>
            </w:r>
          </w:p>
        </w:tc>
        <w:tc>
          <w:tcPr>
            <w:tcW w:w="220" w:type="dxa"/>
            <w:vAlign w:val="bottom"/>
          </w:tcPr>
          <w:p>
            <w:pPr>
              <w:spacing w:after="0"/>
              <w:rPr>
                <w:sz w:val="13"/>
                <w:szCs w:val="13"/>
                <w:color w:val="auto"/>
              </w:rPr>
            </w:pPr>
          </w:p>
        </w:tc>
        <w:tc>
          <w:tcPr>
            <w:tcW w:w="1260" w:type="dxa"/>
            <w:vAlign w:val="bottom"/>
          </w:tcPr>
          <w:p>
            <w:pPr>
              <w:jc w:val="right"/>
              <w:ind w:right="259"/>
              <w:spacing w:after="0" w:line="158" w:lineRule="exact"/>
              <w:rPr>
                <w:sz w:val="20"/>
                <w:szCs w:val="20"/>
                <w:color w:val="auto"/>
              </w:rPr>
            </w:pPr>
            <w:r>
              <w:rPr>
                <w:rFonts w:ascii="Times New Roman" w:cs="Times New Roman" w:eastAsia="Times New Roman" w:hAnsi="Times New Roman"/>
                <w:sz w:val="16"/>
                <w:szCs w:val="16"/>
                <w:b w:val="1"/>
                <w:bCs w:val="1"/>
                <w:color w:val="auto"/>
              </w:rPr>
              <w:t>October 30,</w:t>
            </w:r>
          </w:p>
        </w:tc>
      </w:tr>
      <w:tr>
        <w:trPr>
          <w:trHeight w:val="214"/>
        </w:trPr>
        <w:tc>
          <w:tcPr>
            <w:tcW w:w="8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6,059</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operating activities: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7,789</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sale of property, equipment and other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Equity in loss of affiliates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Provision for doubtful accounts, net of recovery</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(27,737)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(23,654)</w:t>
            </w:r>
          </w:p>
        </w:tc>
      </w:tr>
      <w:tr>
        <w:trPr>
          <w:trHeight w:val="210"/>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(8,534)</w:t>
            </w:r>
          </w:p>
        </w:tc>
      </w:tr>
      <w:tr>
        <w:trPr>
          <w:trHeight w:val="212"/>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sales of property, equipment and other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sales or maturities of marketable securities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equity and loans to equity investees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w:t>
            </w:r>
          </w:p>
        </w:tc>
      </w:tr>
      <w:tr>
        <w:trPr>
          <w:trHeight w:val="207"/>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(15,192)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(9,876)</w:t>
            </w:r>
          </w:p>
        </w:tc>
      </w:tr>
      <w:tr>
        <w:trPr>
          <w:trHeight w:val="212"/>
        </w:trPr>
        <w:tc>
          <w:tcPr>
            <w:tcW w:w="8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Borrowings on notes payable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on notes payable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Principal payments on long-term obligations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 from exercise of stock options</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 payments related to RSU issuances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07"/>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26,278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12"/>
        </w:trPr>
        <w:tc>
          <w:tcPr>
            <w:tcW w:w="8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(18,798)</w:t>
            </w:r>
          </w:p>
        </w:tc>
      </w:tr>
      <w:tr>
        <w:trPr>
          <w:trHeight w:val="212"/>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Beginning of period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80,402</w:t>
            </w:r>
          </w:p>
        </w:tc>
      </w:tr>
      <w:tr>
        <w:trPr>
          <w:trHeight w:val="23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paid for:</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taxes, net of refunds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r>
      <w:tr>
        <w:trPr>
          <w:trHeight w:val="219"/>
        </w:trPr>
        <w:tc>
          <w:tcPr>
            <w:tcW w:w="8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schedule of non-cash investing and financing activities: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Demonstration equipment transferred to inventory</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w:t>
            </w:r>
          </w:p>
        </w:tc>
      </w:tr>
      <w:tr>
        <w:trPr>
          <w:trHeight w:val="21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Contributions of common stock under the ESPP</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(dollar amounts in thousands, except per share data) (unaudited)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Daktronics, Inc. and its subsidiaries (the “Company”, “Daktronics”, “we”, “our”, or “us”) are an industry leader in designing and manufacturing electronic scoreboards, programmable display systems and large screen video displays for sporting, commercial and transportation applications.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("GAAP") requires management to make estimates and assumptions affecting the reported amounts therein. Due to the inherent uncertainty involved in making estimates, actual results in future periods may differ from those estimates.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and disclosures normally included in financial statements prepared in accordance with GAAP have been condensed or omitted. The balance sheet at April 30, 2022 has been derived from the audited financial statements at that date, but it does not include all the information and disclosures required by GAAP for complete financial statements. These financial statements should be read in conjunction with our financial statements and notes thereto for the fiscal year ended April 30, 2022,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fiscal year, an additional week is added to the first quarter, and each of the last three quarters is comprised of a 13-week period. The six months ended October 29, 2022 and October 30, 2021 contained operating results for 26 weeks.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totals of the same amounts shown in the condensed consolidated statements of cash flows. Restricted cash consists of cash and cash equivalents held in bank deposit accounts to secure issuances of foreign bank guarantees.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29,</w:t>
            </w:r>
          </w:p>
        </w:tc>
        <w:tc>
          <w:tcPr>
            <w:tcW w:w="20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October 30,</w:t>
            </w:r>
          </w:p>
        </w:tc>
      </w:tr>
      <w:tr>
        <w:trPr>
          <w:trHeight w:val="241"/>
        </w:trPr>
        <w:tc>
          <w:tcPr>
            <w:tcW w:w="8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59,727</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 statements of cash flows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experience volatility in our business driven by global economic conditions and supply chain disruptions. All of these conditions have caused volatility in our cash flow, pricing, order volumes, lead-times, competitiveness, revenue cycles, and production costs. We believe it is likely these conditions will continue to have negative impacts in fiscal 2023. To improve operations and cash flows, we have increased prices of our goods and services. We have also increased investment in inventory levels to add production stability. To adapt, we used cash and line of credit borrowings to source inventory to add stability to our production processes to fulfill backlog. We also continue to invest in property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and equipment to expand our capacity and add automation. Our ability to fund inventory levels, operations and capital expenditures in the future will be dependent on our ability to generate cash flow from operations in these conditions, to maintain or improve margins, and to use funds from our credit facility. Our credit facility expires in April 2025, and it requires us to comply with certain covenants.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supply chain disruptions have started to ease and we expect our inventory levels to decline, we cannot be certain we will not experience future disruptions or need additional liquidity to fund inventory levels, operations, and capital expenditures. We will need additional liquidity to meet our obligations as they come due in the 12 months following the date of this Report and we cannot be assured that such liquidity will be available or the form of such liquidity, such as equity raises or debt financing. These conditions raise substantial doubt about our ability to continue as a going concern. In response to these conditions, we are pursuing additional liquidity through various means, including but not limited to obtaining financing secured by a mortgage on our facilities, a sales-leaseback transaction, leasing property and equipment, and continued focus on reducing working capital. Since these plans are not finalized and are subject to market conditions and restrictions from our existing financing agreements that are not within our control, they cannot be deemed probable. As a result, we have concluded that our plans do not alleviate substantial doubt about our ability to continue as a going concern.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7 for additional considerations related to our financing agreements.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and estimates as described in our Annual Report on Form 10-K for the fiscal year ended April 30,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standards adopted since the last quarterly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significant ASUs issued that the Company has not yet adopted as of October 29,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Investments in Affiliates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aggregate amount of our investments accounted for under the equity method was $18,040 and $16,916 as of October 29, 2022 and April 30, 2022, respectively. Our proportional share of the respective affiliates' earnings or losses is included in the "Other expense, net" line item in our condensed consolidated statements of operations. For the three and six months ended October 29, 2022, our share of the losses of our affiliates was $811 and $1,701 as compared to $819 and $1,565 for the three and six months ended October 30, 2021. We purchased services for research and development activities from our equity method investees. The total of these related party transactions for the six months ended October 29, 2022 and October 30, 2021 was $672 and $898, respectively, which is included in the "Product design and development" line item in our condensed consolidated statements of operations, and for the six months ended October 29, 2022, $52 remains unpaid and is included in the "Accounts payable" line item in our condensed consolidated balance sheets. During the six months ended October 29, 2022, we invested $2,882 of convertible notes ("Notes"), which are included in the "Investment in affiliates and other assets" line item in our condensed consolidated balance sheets. During the six months ended October 29, 2022, we converted $2,824 from Notes to stock ownership.</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 ("EPS")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net (loss) income and common share amounts used in the calculation of basic and diluted EPS for the three and six months ended October 29, 2022 and October 30,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15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7"/>
                <w:szCs w:val="17"/>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Per share (loss)</w:t>
            </w: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1580" w:type="dxa"/>
            <w:vAlign w:val="bottom"/>
            <w:gridSpan w:val="3"/>
            <w:vMerge w:val="continue"/>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October 29, 2022</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 and diluted (loss) earnings per share</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October 30, 2021</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3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4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 October 29, 2022</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earnings per share</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For the six months ended October 30, 2021</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2,063 shares of common stock with a weighted average exercise price of $7.51 for the three months ended October 29, 2022 and 1,943 shares of common stock with a weighted average exercise price of $9.22 for the three months ended October 30, 2021 were not included in the computation of diluted earnings per share because the effects would be anti-dilutive.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2,082 shares of common stock with a weighted average exercise price of $7.82 for the six months ended October 29, 2022 and 1,877 shares of common stock with a weighted average exercise price of $9.37 for the six months ended October 30, 2021 were not included in the computation of diluted earnings per share because the effects would be anti-dilutive.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disaggregation of revenue by segments: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October 29, 2022</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High School</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Park and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Live Events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Recreation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16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60" w:type="dxa"/>
            <w:vAlign w:val="bottom"/>
          </w:tcPr>
          <w:p>
            <w:pPr>
              <w:spacing w:after="0"/>
              <w:rPr>
                <w:sz w:val="21"/>
                <w:szCs w:val="21"/>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9"/>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Type of performance obligation</w:t>
            </w: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Unique configuration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52,862</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83,821</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 configuration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88,245</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Service and other</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15,373</w:t>
            </w:r>
          </w:p>
        </w:tc>
        <w:tc>
          <w:tcPr>
            <w:tcW w:w="0" w:type="dxa"/>
            <w:vAlign w:val="bottom"/>
          </w:tcPr>
          <w:p>
            <w:pPr>
              <w:spacing w:after="0"/>
              <w:rPr>
                <w:sz w:val="1"/>
                <w:szCs w:val="1"/>
                <w:color w:val="auto"/>
              </w:rPr>
            </w:pPr>
          </w:p>
        </w:tc>
      </w:tr>
      <w:tr>
        <w:trPr>
          <w:trHeight w:val="234"/>
        </w:trPr>
        <w:tc>
          <w:tcPr>
            <w:tcW w:w="2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37,047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69,239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187,439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Goods/services transferred at a point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 time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11,682</w:t>
            </w: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90,657</w:t>
            </w:r>
          </w:p>
        </w:tc>
        <w:tc>
          <w:tcPr>
            <w:tcW w:w="0" w:type="dxa"/>
            <w:vAlign w:val="bottom"/>
          </w:tcPr>
          <w:p>
            <w:pPr>
              <w:spacing w:after="0"/>
              <w:rPr>
                <w:sz w:val="1"/>
                <w:szCs w:val="1"/>
                <w:color w:val="auto"/>
              </w:rPr>
            </w:pPr>
          </w:p>
        </w:tc>
      </w:tr>
      <w:tr>
        <w:trPr>
          <w:trHeight w:val="240"/>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Goods/services transferred over time</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57,557</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96,782</w:t>
            </w:r>
          </w:p>
        </w:tc>
        <w:tc>
          <w:tcPr>
            <w:tcW w:w="0" w:type="dxa"/>
            <w:vAlign w:val="bottom"/>
          </w:tcPr>
          <w:p>
            <w:pPr>
              <w:spacing w:after="0"/>
              <w:rPr>
                <w:sz w:val="1"/>
                <w:szCs w:val="1"/>
                <w:color w:val="auto"/>
              </w:rPr>
            </w:pPr>
          </w:p>
        </w:tc>
      </w:tr>
      <w:tr>
        <w:trPr>
          <w:trHeight w:val="235"/>
        </w:trPr>
        <w:tc>
          <w:tcPr>
            <w:tcW w:w="2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37,047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69,239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187,439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Six Months Ended October 29, 2022</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High School</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Park and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Live Events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Recreation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16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60" w:type="dxa"/>
            <w:vAlign w:val="bottom"/>
          </w:tcPr>
          <w:p>
            <w:pPr>
              <w:spacing w:after="0"/>
              <w:rPr>
                <w:sz w:val="21"/>
                <w:szCs w:val="21"/>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0"/>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Type of performance obligation</w:t>
            </w: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Unique configuration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95,030</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156,255</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 configuration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174,384</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Service and other</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28,720</w:t>
            </w:r>
          </w:p>
        </w:tc>
        <w:tc>
          <w:tcPr>
            <w:tcW w:w="0" w:type="dxa"/>
            <w:vAlign w:val="bottom"/>
          </w:tcPr>
          <w:p>
            <w:pPr>
              <w:spacing w:after="0"/>
              <w:rPr>
                <w:sz w:val="1"/>
                <w:szCs w:val="1"/>
                <w:color w:val="auto"/>
              </w:rPr>
            </w:pPr>
          </w:p>
        </w:tc>
      </w:tr>
      <w:tr>
        <w:trPr>
          <w:trHeight w:val="235"/>
        </w:trPr>
        <w:tc>
          <w:tcPr>
            <w:tcW w:w="26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77,165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125,622</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77,815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359,359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Goods/services transferred at a point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 time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60,635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20,904</w:t>
            </w: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177,784</w:t>
            </w:r>
          </w:p>
        </w:tc>
        <w:tc>
          <w:tcPr>
            <w:tcW w:w="0" w:type="dxa"/>
            <w:vAlign w:val="bottom"/>
          </w:tcPr>
          <w:p>
            <w:pPr>
              <w:spacing w:after="0"/>
              <w:rPr>
                <w:sz w:val="1"/>
                <w:szCs w:val="1"/>
                <w:color w:val="auto"/>
              </w:rPr>
            </w:pPr>
          </w:p>
        </w:tc>
      </w:tr>
      <w:tr>
        <w:trPr>
          <w:trHeight w:val="240"/>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Goods/services transferred over time</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16,530</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104,718</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19,596</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25,088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181,575</w:t>
            </w:r>
          </w:p>
        </w:tc>
        <w:tc>
          <w:tcPr>
            <w:tcW w:w="0" w:type="dxa"/>
            <w:vAlign w:val="bottom"/>
          </w:tcPr>
          <w:p>
            <w:pPr>
              <w:spacing w:after="0"/>
              <w:rPr>
                <w:sz w:val="1"/>
                <w:szCs w:val="1"/>
                <w:color w:val="auto"/>
              </w:rPr>
            </w:pPr>
          </w:p>
        </w:tc>
      </w:tr>
      <w:tr>
        <w:trPr>
          <w:trHeight w:val="235"/>
        </w:trPr>
        <w:tc>
          <w:tcPr>
            <w:tcW w:w="26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77,165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125,622</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77,815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359,359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October 30, 2021</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High School</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Park and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Live Events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Recreation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16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60" w:type="dxa"/>
            <w:vAlign w:val="bottom"/>
          </w:tcPr>
          <w:p>
            <w:pPr>
              <w:spacing w:after="0"/>
              <w:rPr>
                <w:sz w:val="21"/>
                <w:szCs w:val="21"/>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9"/>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Type of performance obligation</w:t>
            </w: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Unique configuration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43,528</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75,533</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 configuration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74,736</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Service and other</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14,208</w:t>
            </w:r>
          </w:p>
        </w:tc>
        <w:tc>
          <w:tcPr>
            <w:tcW w:w="0" w:type="dxa"/>
            <w:vAlign w:val="bottom"/>
          </w:tcPr>
          <w:p>
            <w:pPr>
              <w:spacing w:after="0"/>
              <w:rPr>
                <w:sz w:val="1"/>
                <w:szCs w:val="1"/>
                <w:color w:val="auto"/>
              </w:rPr>
            </w:pPr>
          </w:p>
        </w:tc>
      </w:tr>
      <w:tr>
        <w:trPr>
          <w:trHeight w:val="234"/>
        </w:trPr>
        <w:tc>
          <w:tcPr>
            <w:tcW w:w="2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59,396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164,477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Goods/services transferred at a point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 time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26,362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11,508</w:t>
            </w: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76,434</w:t>
            </w:r>
          </w:p>
        </w:tc>
        <w:tc>
          <w:tcPr>
            <w:tcW w:w="0" w:type="dxa"/>
            <w:vAlign w:val="bottom"/>
          </w:tcPr>
          <w:p>
            <w:pPr>
              <w:spacing w:after="0"/>
              <w:rPr>
                <w:sz w:val="1"/>
                <w:szCs w:val="1"/>
                <w:color w:val="auto"/>
              </w:rPr>
            </w:pPr>
          </w:p>
        </w:tc>
      </w:tr>
      <w:tr>
        <w:trPr>
          <w:trHeight w:val="240"/>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Goods/services transferred over time</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47,888</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88,043</w:t>
            </w:r>
          </w:p>
        </w:tc>
        <w:tc>
          <w:tcPr>
            <w:tcW w:w="0" w:type="dxa"/>
            <w:vAlign w:val="bottom"/>
          </w:tcPr>
          <w:p>
            <w:pPr>
              <w:spacing w:after="0"/>
              <w:rPr>
                <w:sz w:val="1"/>
                <w:szCs w:val="1"/>
                <w:color w:val="auto"/>
              </w:rPr>
            </w:pPr>
          </w:p>
        </w:tc>
      </w:tr>
      <w:tr>
        <w:trPr>
          <w:trHeight w:val="235"/>
        </w:trPr>
        <w:tc>
          <w:tcPr>
            <w:tcW w:w="2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59,396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164,477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Six Months Ended October 30, 2021</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220"/>
              <w:spacing w:after="0" w:line="170" w:lineRule="exact"/>
              <w:rPr>
                <w:sz w:val="20"/>
                <w:szCs w:val="20"/>
                <w:color w:val="auto"/>
              </w:rPr>
            </w:pPr>
            <w:r>
              <w:rPr>
                <w:rFonts w:ascii="Times New Roman" w:cs="Times New Roman" w:eastAsia="Times New Roman" w:hAnsi="Times New Roman"/>
                <w:sz w:val="16"/>
                <w:szCs w:val="16"/>
                <w:b w:val="1"/>
                <w:bCs w:val="1"/>
                <w:color w:val="auto"/>
              </w:rPr>
              <w:t>High School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Park and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Live Events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Recreation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16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260" w:type="dxa"/>
            <w:vAlign w:val="bottom"/>
          </w:tcPr>
          <w:p>
            <w:pPr>
              <w:spacing w:after="0"/>
              <w:rPr>
                <w:sz w:val="21"/>
                <w:szCs w:val="21"/>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0"/>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Type of performance obligation</w:t>
            </w: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Unique configuration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85,036</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137,218</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Limited configuration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146,339</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Service and other</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25,652</w:t>
            </w:r>
          </w:p>
        </w:tc>
        <w:tc>
          <w:tcPr>
            <w:tcW w:w="0" w:type="dxa"/>
            <w:vAlign w:val="bottom"/>
          </w:tcPr>
          <w:p>
            <w:pPr>
              <w:spacing w:after="0"/>
              <w:rPr>
                <w:sz w:val="1"/>
                <w:szCs w:val="1"/>
                <w:color w:val="auto"/>
              </w:rPr>
            </w:pPr>
          </w:p>
        </w:tc>
      </w:tr>
      <w:tr>
        <w:trPr>
          <w:trHeight w:val="234"/>
        </w:trPr>
        <w:tc>
          <w:tcPr>
            <w:tcW w:w="26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67,244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111,783</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60,641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309,209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Timing of revenue recognition</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Goods/services transferred at a point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 time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52,741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18,337</w:t>
            </w: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45,056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149,173</w:t>
            </w:r>
          </w:p>
        </w:tc>
        <w:tc>
          <w:tcPr>
            <w:tcW w:w="0" w:type="dxa"/>
            <w:vAlign w:val="bottom"/>
          </w:tcPr>
          <w:p>
            <w:pPr>
              <w:spacing w:after="0"/>
              <w:rPr>
                <w:sz w:val="1"/>
                <w:szCs w:val="1"/>
                <w:color w:val="auto"/>
              </w:rPr>
            </w:pPr>
          </w:p>
        </w:tc>
      </w:tr>
      <w:tr>
        <w:trPr>
          <w:trHeight w:val="240"/>
        </w:trPr>
        <w:tc>
          <w:tcPr>
            <w:tcW w:w="2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Goods/services transferred over time</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14,503</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93,446</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15,585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160,036</w:t>
            </w:r>
          </w:p>
        </w:tc>
        <w:tc>
          <w:tcPr>
            <w:tcW w:w="0" w:type="dxa"/>
            <w:vAlign w:val="bottom"/>
          </w:tcPr>
          <w:p>
            <w:pPr>
              <w:spacing w:after="0"/>
              <w:rPr>
                <w:sz w:val="1"/>
                <w:szCs w:val="1"/>
                <w:color w:val="auto"/>
              </w:rPr>
            </w:pPr>
          </w:p>
        </w:tc>
      </w:tr>
      <w:tr>
        <w:trPr>
          <w:trHeight w:val="235"/>
        </w:trPr>
        <w:tc>
          <w:tcPr>
            <w:tcW w:w="26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67,244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111,783</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60,641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42,930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309,209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Segment Reporting" for a disaggregation of revenue by geography.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customers in excess of revenue recognized to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our contract assets and liabilities: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29,</w:t>
            </w: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Dollar</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38"/>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w:t>
            </w:r>
          </w:p>
        </w:tc>
      </w:tr>
      <w:tr>
        <w:trPr>
          <w:trHeight w:val="918"/>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01"/>
        </w:trPr>
        <w:tc>
          <w:tcPr>
            <w:tcW w:w="4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our contract assets and contract liabilities from April 30, 2022 to October 29, 2022 were due to the timing of billing schedules and revenue recognition, which can vary significantly depending on the contractual payment terms and the seasonality of the sports markets. We had no impairments of contract assets for the six months ended October 29,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Changes in unearned service-type warranty contracts, net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October 29,</w:t>
            </w:r>
          </w:p>
        </w:tc>
      </w:tr>
      <w:tr>
        <w:trPr>
          <w:trHeight w:val="241"/>
        </w:trPr>
        <w:tc>
          <w:tcPr>
            <w:tcW w:w="9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26,346</w:t>
            </w:r>
          </w:p>
        </w:tc>
      </w:tr>
      <w:tr>
        <w:trPr>
          <w:trHeight w:val="230"/>
        </w:trPr>
        <w:tc>
          <w:tcPr>
            <w:tcW w:w="9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contracts sold</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25,860</w:t>
            </w:r>
          </w:p>
        </w:tc>
      </w:tr>
      <w:tr>
        <w:trPr>
          <w:trHeight w:val="229"/>
        </w:trPr>
        <w:tc>
          <w:tcPr>
            <w:tcW w:w="9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reductions for revenue recognized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(21,381)</w:t>
            </w:r>
          </w:p>
        </w:tc>
      </w:tr>
      <w:tr>
        <w:trPr>
          <w:trHeight w:val="229"/>
        </w:trPr>
        <w:tc>
          <w:tcPr>
            <w:tcW w:w="9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Contracts in progress identified as loss contracts as of October 29, 2022 were $482 and as of April 30, 2022 were immaterial. Loss provisions are recorded in the "Accrued expenses" line item in our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October 29, 2022, we recognized revenue of $65,533 related to our contract liabilities as of April 30,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October 29, 2022, the aggregate amount of the transaction price allocated to the remaining performance obligations was $524,251. Remaining performance obligations related to product and service agreements at October 29, 2022 were $463,084 and $61,167, respectively. We expect approximately $467,498 of our remaining performance obligations to be recognized over the next 12 months, with the remainder recognized thereafter.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047"/>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Segment Reporting</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for each of our five reporting segments for the periods indicated:</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00"/>
        </w:trPr>
        <w:tc>
          <w:tcPr>
            <w:tcW w:w="1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8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1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2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October 30,</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October 30,</w:t>
            </w:r>
          </w:p>
        </w:tc>
      </w:tr>
      <w:tr>
        <w:trPr>
          <w:trHeight w:val="241"/>
        </w:trPr>
        <w:tc>
          <w:tcPr>
            <w:tcW w:w="1280" w:type="dxa"/>
            <w:vAlign w:val="bottom"/>
            <w:tcBorders>
              <w:bottom w:val="single" w:sz="8" w:color="CCEEFF"/>
            </w:tcBorders>
          </w:tcPr>
          <w:p>
            <w:pPr>
              <w:spacing w:after="0"/>
              <w:rPr>
                <w:sz w:val="20"/>
                <w:szCs w:val="20"/>
                <w:color w:val="auto"/>
              </w:rPr>
            </w:pPr>
          </w:p>
        </w:tc>
        <w:tc>
          <w:tcPr>
            <w:tcW w:w="30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2"/>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67,244</w:t>
            </w:r>
          </w:p>
        </w:tc>
      </w:tr>
      <w:tr>
        <w:trPr>
          <w:trHeight w:val="229"/>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111,783</w:t>
            </w:r>
          </w:p>
        </w:tc>
      </w:tr>
      <w:tr>
        <w:trPr>
          <w:trHeight w:val="229"/>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60,641</w:t>
            </w:r>
          </w:p>
        </w:tc>
      </w:tr>
      <w:tr>
        <w:trPr>
          <w:trHeight w:val="230"/>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26,611</w:t>
            </w:r>
          </w:p>
        </w:tc>
      </w:tr>
      <w:tr>
        <w:trPr>
          <w:trHeight w:val="229"/>
        </w:trPr>
        <w:tc>
          <w:tcPr>
            <w:tcW w:w="4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42,930</w:t>
            </w:r>
          </w:p>
        </w:tc>
      </w:tr>
      <w:tr>
        <w:trPr>
          <w:trHeight w:val="248"/>
        </w:trPr>
        <w:tc>
          <w:tcPr>
            <w:tcW w:w="128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309,209</w:t>
            </w:r>
          </w:p>
        </w:tc>
      </w:tr>
      <w:tr>
        <w:trPr>
          <w:trHeight w:val="20"/>
        </w:trPr>
        <w:tc>
          <w:tcPr>
            <w:tcW w:w="43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14,623</w:t>
            </w:r>
          </w:p>
        </w:tc>
      </w:tr>
      <w:tr>
        <w:trPr>
          <w:trHeight w:val="229"/>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Live Events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w:t>
            </w:r>
          </w:p>
        </w:tc>
      </w:tr>
      <w:tr>
        <w:trPr>
          <w:trHeight w:val="230"/>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20,258</w:t>
            </w:r>
          </w:p>
        </w:tc>
      </w:tr>
      <w:tr>
        <w:trPr>
          <w:trHeight w:val="229"/>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Transportation</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w:t>
            </w:r>
          </w:p>
        </w:tc>
      </w:tr>
      <w:tr>
        <w:trPr>
          <w:trHeight w:val="229"/>
        </w:trPr>
        <w:tc>
          <w:tcPr>
            <w:tcW w:w="4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7,249</w:t>
            </w:r>
          </w:p>
        </w:tc>
      </w:tr>
      <w:tr>
        <w:trPr>
          <w:trHeight w:val="223"/>
        </w:trPr>
        <w:tc>
          <w:tcPr>
            <w:tcW w:w="128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64,452</w:t>
            </w:r>
          </w:p>
        </w:tc>
      </w:tr>
      <w:tr>
        <w:trPr>
          <w:trHeight w:val="250"/>
        </w:trPr>
        <w:tc>
          <w:tcPr>
            <w:tcW w:w="12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24,277</w:t>
            </w:r>
          </w:p>
        </w:tc>
      </w:tr>
      <w:tr>
        <w:trPr>
          <w:trHeight w:val="230"/>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15,772</w:t>
            </w:r>
          </w:p>
        </w:tc>
      </w:tr>
      <w:tr>
        <w:trPr>
          <w:trHeight w:val="230"/>
        </w:trPr>
        <w:tc>
          <w:tcPr>
            <w:tcW w:w="4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14,358</w:t>
            </w:r>
          </w:p>
        </w:tc>
      </w:tr>
      <w:tr>
        <w:trPr>
          <w:trHeight w:val="223"/>
        </w:trPr>
        <w:tc>
          <w:tcPr>
            <w:tcW w:w="128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54,407</w:t>
            </w:r>
          </w:p>
        </w:tc>
      </w:tr>
      <w:tr>
        <w:trPr>
          <w:trHeight w:val="223"/>
        </w:trPr>
        <w:tc>
          <w:tcPr>
            <w:tcW w:w="4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10,045</w:t>
            </w:r>
          </w:p>
        </w:tc>
      </w:tr>
      <w:tr>
        <w:trPr>
          <w:trHeight w:val="250"/>
        </w:trPr>
        <w:tc>
          <w:tcPr>
            <w:tcW w:w="1280" w:type="dxa"/>
            <w:vAlign w:val="bottom"/>
            <w:shd w:val="clear" w:color="auto" w:fill="CCEEFF"/>
          </w:tcPr>
          <w:p>
            <w:pPr>
              <w:spacing w:after="0"/>
              <w:rPr>
                <w:sz w:val="21"/>
                <w:szCs w:val="21"/>
                <w:color w:val="auto"/>
              </w:rPr>
            </w:pPr>
          </w:p>
        </w:tc>
        <w:tc>
          <w:tcPr>
            <w:tcW w:w="3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 income:</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4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48"/>
        </w:trPr>
        <w:tc>
          <w:tcPr>
            <w:tcW w:w="4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w:t>
            </w:r>
          </w:p>
        </w:tc>
      </w:tr>
      <w:tr>
        <w:trPr>
          <w:trHeight w:val="20"/>
        </w:trPr>
        <w:tc>
          <w:tcPr>
            <w:tcW w:w="43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r>
      <w:tr>
        <w:trPr>
          <w:trHeight w:val="22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23"/>
        </w:trPr>
        <w:tc>
          <w:tcPr>
            <w:tcW w:w="12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7,789</w:t>
            </w:r>
          </w:p>
        </w:tc>
      </w:tr>
      <w:tr>
        <w:trPr>
          <w:trHeight w:val="20"/>
        </w:trPr>
        <w:tc>
          <w:tcPr>
            <w:tcW w:w="1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898"/>
        </w:trPr>
        <w:tc>
          <w:tcPr>
            <w:tcW w:w="1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6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0"/>
                <w:szCs w:val="20"/>
                <w:color w:val="auto"/>
              </w:rPr>
            </w:pPr>
          </w:p>
        </w:tc>
        <w:tc>
          <w:tcPr>
            <w:tcW w:w="28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69"/>
        </w:trPr>
        <w:tc>
          <w:tcPr>
            <w:tcW w:w="43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2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October 30,</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October 30,</w:t>
            </w:r>
          </w:p>
        </w:tc>
      </w:tr>
      <w:tr>
        <w:trPr>
          <w:trHeight w:val="241"/>
        </w:trPr>
        <w:tc>
          <w:tcPr>
            <w:tcW w:w="43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163,142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312,580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262,303</w:t>
            </w:r>
          </w:p>
        </w:tc>
      </w:tr>
      <w:tr>
        <w:trPr>
          <w:trHeight w:val="229"/>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46,906</w:t>
            </w:r>
          </w:p>
        </w:tc>
      </w:tr>
      <w:tr>
        <w:trPr>
          <w:trHeight w:val="223"/>
        </w:trPr>
        <w:tc>
          <w:tcPr>
            <w:tcW w:w="43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359,359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309,209</w:t>
            </w:r>
          </w:p>
        </w:tc>
      </w:tr>
      <w:tr>
        <w:trPr>
          <w:trHeight w:val="20"/>
        </w:trPr>
        <w:tc>
          <w:tcPr>
            <w:tcW w:w="4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October 29,</w:t>
            </w:r>
          </w:p>
        </w:tc>
        <w:tc>
          <w:tcPr>
            <w:tcW w:w="340" w:type="dxa"/>
            <w:vAlign w:val="bottom"/>
          </w:tcPr>
          <w:p>
            <w:pPr>
              <w:spacing w:after="0"/>
              <w:rPr>
                <w:sz w:val="17"/>
                <w:szCs w:val="17"/>
                <w:color w:val="auto"/>
              </w:rPr>
            </w:pP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41"/>
        </w:trPr>
        <w:tc>
          <w:tcPr>
            <w:tcW w:w="7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 of accumulated depreciation:</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58,643</w:t>
            </w:r>
          </w:p>
        </w:tc>
      </w:tr>
      <w:tr>
        <w:trPr>
          <w:trHeight w:val="22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Outside United States</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w:t>
            </w:r>
          </w:p>
        </w:tc>
      </w:tr>
      <w:tr>
        <w:trPr>
          <w:trHeight w:val="223"/>
        </w:trPr>
        <w:tc>
          <w:tcPr>
            <w:tcW w:w="74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66,765</w:t>
            </w: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numerous customers worldwide for sales of our products and services, and no customer accounted for 10 percent or more of net sales for the three and six months ended October 29, 2022 and October 30, 2021; therefore, we are not economically dependent on a limited number of customers for the sale of our products and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numerous raw material and component suppliers, and no supplier accounts for 10 percent or more of our cost of sales; however, we have a complex global supply chain subject to geopolitical and transportation risks and a number of single-source suppliers that could limit our supply or cause delays in obtaining raw materials and components needed in manufacturing.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related to each reportable segment for the six months ended October 29, 2022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8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30,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w:t>
            </w:r>
          </w:p>
        </w:tc>
      </w:tr>
      <w:tr>
        <w:trPr>
          <w:trHeight w:val="229"/>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29,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perform an analysis of goodwill on an annual basis and test for impairment more frequently if events or changes in circumstances indicate that an asset might be impaired. Our annual analysis is performed during our third quarter of each fiscal year based on the goodwill amount as of the first business day of our third fiscal quarter. We performed our annual impairment test on October 31, 2021 and concluded no goodwill impairment existed. Our market capitalization has decreased since the completion of the October 31, 2021 evaluation which caused a trigger analysis to test goodwill impairment due to supply chain and labor supply uncertainty. After evaluating our results, events and circumstances, we determined no goodwill impairment was necessary.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Financing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29, 2022, $26,418 had been advanced under the loan portion of our line of credit, and the balance of letters of credit outstanding was approximately $6,917. As of October 29, 2022, $11,665 of the credit facility was available for borrowing. On October 31, 2022, we entered into an agreement to temporarily expand the line of credit by $10,000 through January 31, 2023. As of October 29, 2022, we were in compliance with our financial</w:t>
      </w:r>
    </w:p>
    <w:p>
      <w:pPr>
        <w:spacing w:after="0"/>
        <w:rPr>
          <w:sz w:val="20"/>
          <w:szCs w:val="20"/>
          <w:color w:val="auto"/>
        </w:rPr>
      </w:pPr>
      <w:r>
        <w:rPr>
          <w:rFonts w:ascii="Times New Roman" w:cs="Times New Roman" w:eastAsia="Times New Roman" w:hAnsi="Times New Roman"/>
          <w:sz w:val="18"/>
          <w:szCs w:val="18"/>
          <w:color w:val="auto"/>
        </w:rPr>
        <w:t>covenants. On December 9, 2022, we entered into the sixth amendment to our credit agreement. The Amendment clarifies certain definitions related to the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 valuation allowance and adds additional financial reporting requirements and negative covenants. It also requires Daktronics to obtain the current lender’s approval of any additional indebtedness and receive an audit report on our fiscal 2023 financial statements that does not express substantial doubt about the Company’s ability to continue as a going concern.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29, 2022, we had $616 of bank guarantees or other financial instruments for display installations issued by another bank and secured by a restricted cash deposit. If we are unable to meet the terms of the arrangement, the bank would subrogate its loss by drawing on the secured cash deposit.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We are a party to legal proceedings and claims which arise during the ordinary course of business. We review our legal proceedings and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reviews and inspections, and other legal matters on an ongoing basis and follow appropriate accounting guidance when making accrual and disclosure decisions. For unresolved legal proceedings or claims, we do not believe there is a reasonable probability that any material loss will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760" w:type="dxa"/>
            <w:vAlign w:val="bottom"/>
          </w:tcPr>
          <w:p>
            <w:pPr>
              <w:jc w:val="right"/>
              <w:ind w:right="1130"/>
              <w:spacing w:after="0"/>
              <w:rPr>
                <w:sz w:val="20"/>
                <w:szCs w:val="20"/>
                <w:color w:val="auto"/>
              </w:rPr>
            </w:pPr>
            <w:r>
              <w:rPr>
                <w:rFonts w:ascii="Times New Roman" w:cs="Times New Roman" w:eastAsia="Times New Roman" w:hAnsi="Times New Roman"/>
                <w:sz w:val="18"/>
                <w:szCs w:val="18"/>
                <w:i w:val="1"/>
                <w:iCs w:val="1"/>
                <w:color w:val="auto"/>
                <w:w w:val="99"/>
              </w:rPr>
              <w:t xml:space="preserve">Warranties: </w:t>
            </w:r>
            <w:r>
              <w:rPr>
                <w:rFonts w:ascii="Times New Roman" w:cs="Times New Roman" w:eastAsia="Times New Roman" w:hAnsi="Times New Roman"/>
                <w:sz w:val="18"/>
                <w:szCs w:val="18"/>
                <w:color w:val="auto"/>
                <w:w w:val="99"/>
              </w:rPr>
              <w:t>Changes in our warranty obligation for the six months ended October 29, 2022 consisted of the following:</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23"/>
        </w:trPr>
        <w:tc>
          <w:tcPr>
            <w:tcW w:w="9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October 29,</w:t>
            </w:r>
          </w:p>
        </w:tc>
      </w:tr>
      <w:tr>
        <w:trPr>
          <w:trHeight w:val="238"/>
        </w:trPr>
        <w:tc>
          <w:tcPr>
            <w:tcW w:w="9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9760" w:type="dxa"/>
            <w:vAlign w:val="bottom"/>
            <w:shd w:val="clear" w:color="auto" w:fill="CCEEFF"/>
          </w:tcPr>
          <w:p>
            <w:pPr>
              <w:jc w:val="right"/>
              <w:ind w:right="6770"/>
              <w:spacing w:after="0"/>
              <w:rPr>
                <w:sz w:val="20"/>
                <w:szCs w:val="20"/>
                <w:color w:val="auto"/>
              </w:rPr>
            </w:pPr>
            <w:r>
              <w:rPr>
                <w:rFonts w:ascii="Times New Roman" w:cs="Times New Roman" w:eastAsia="Times New Roman" w:hAnsi="Times New Roman"/>
                <w:sz w:val="18"/>
                <w:szCs w:val="18"/>
                <w:color w:val="auto"/>
                <w:w w:val="99"/>
              </w:rPr>
              <w:t>Beginning accrued warranty obligations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28,878</w:t>
            </w:r>
          </w:p>
        </w:tc>
      </w:tr>
      <w:tr>
        <w:trPr>
          <w:trHeight w:val="230"/>
        </w:trPr>
        <w:tc>
          <w:tcPr>
            <w:tcW w:w="9760" w:type="dxa"/>
            <w:vAlign w:val="bottom"/>
          </w:tcPr>
          <w:p>
            <w:pPr>
              <w:jc w:val="right"/>
              <w:ind w:right="6770"/>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r>
      <w:tr>
        <w:trPr>
          <w:trHeight w:val="229"/>
        </w:trPr>
        <w:tc>
          <w:tcPr>
            <w:tcW w:w="9760" w:type="dxa"/>
            <w:vAlign w:val="bottom"/>
            <w:shd w:val="clear" w:color="auto" w:fill="CCEEFF"/>
          </w:tcPr>
          <w:p>
            <w:pPr>
              <w:jc w:val="right"/>
              <w:ind w:right="677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r>
      <w:tr>
        <w:trPr>
          <w:trHeight w:val="230"/>
        </w:trPr>
        <w:tc>
          <w:tcPr>
            <w:tcW w:w="9760" w:type="dxa"/>
            <w:vAlign w:val="bottom"/>
            <w:tcBorders>
              <w:bottom w:val="single" w:sz="8" w:color="CCEEFF"/>
            </w:tcBorders>
          </w:tcPr>
          <w:p>
            <w:pPr>
              <w:jc w:val="right"/>
              <w:ind w:right="1530"/>
              <w:spacing w:after="0"/>
              <w:rPr>
                <w:sz w:val="20"/>
                <w:szCs w:val="20"/>
                <w:color w:val="auto"/>
              </w:rPr>
            </w:pPr>
            <w:r>
              <w:rPr>
                <w:rFonts w:ascii="Times New Roman" w:cs="Times New Roman" w:eastAsia="Times New Roman" w:hAnsi="Times New Roman"/>
                <w:sz w:val="18"/>
                <w:szCs w:val="18"/>
                <w:color w:val="auto"/>
              </w:rPr>
              <w:t>Changes in accrued warranty obligations for pre-existing warranties during the period, including expirations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48"/>
        </w:trPr>
        <w:tc>
          <w:tcPr>
            <w:tcW w:w="9760" w:type="dxa"/>
            <w:vAlign w:val="bottom"/>
            <w:tcBorders>
              <w:bottom w:val="single" w:sz="8" w:color="CCEEFF"/>
            </w:tcBorders>
            <w:shd w:val="clear" w:color="auto" w:fill="CCEEFF"/>
          </w:tcPr>
          <w:p>
            <w:pPr>
              <w:jc w:val="right"/>
              <w:ind w:right="6990"/>
              <w:spacing w:after="0"/>
              <w:rPr>
                <w:sz w:val="20"/>
                <w:szCs w:val="20"/>
                <w:color w:val="auto"/>
              </w:rPr>
            </w:pPr>
            <w:r>
              <w:rPr>
                <w:rFonts w:ascii="Times New Roman" w:cs="Times New Roman" w:eastAsia="Times New Roman" w:hAnsi="Times New Roman"/>
                <w:sz w:val="18"/>
                <w:szCs w:val="18"/>
                <w:color w:val="auto"/>
              </w:rPr>
              <w:t>Ending accrued warranty obligations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guarantees: </w:t>
      </w:r>
      <w:r>
        <w:rPr>
          <w:rFonts w:ascii="Times New Roman" w:cs="Times New Roman" w:eastAsia="Times New Roman" w:hAnsi="Times New Roman"/>
          <w:sz w:val="18"/>
          <w:szCs w:val="18"/>
          <w:color w:val="auto"/>
        </w:rPr>
        <w:t>We have entered into standby letters of credit, bank guarantees and surety bonds with financial institutions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 of our future performance on contracts, primarily construction-type contracts. As of October 29, 2022, we had outstanding letters of credit, bank guarantees and surety bonds in the amount of $6,917, $616 and $72,777, respectively.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October 29, 2022, we were not aware of any indemnification claim from a customer.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income taxes during interim reporting periods is calculated by applying an estimate of the annual effective tax rate. The computation of the annual estimated effective tax rate at each interim period requires certain estimates and assumptions including, but not limited to, the expected operating income (or loss) for the year, projections of the proportion of income (or loss) earned and taxed in foreign jurisdictions, and permanent and temporary differences and the likelihood of recovering deferred tax assets, then adjusted for any discrete items. The accounting estimates used to compute the provision for income taxes may change as new events occur, assumptions change, or additional information is obtained.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GAAP we are required to evaluate the recoverability of our deferred tax assets and establish a valuation allowance if necessary to reduce our deferred tax assets to an amount that is more likely than not to be realized. Significant judgment is required in determining whether valuation allowances should be established, as well as the amount of such allowances. We establish or adjust valuation allowances for deferred tax assets when we estimate that it is more likely than not that we will be able to realize the value of the deferred tax assets. We evaluate all significant available positive and negative evidence as part of our analysis, including our past operating results, tax planning strategies, current and cumulative losses, and forecasts of future taxable income. The underlying assumptions we use in forecasting future taxable income requires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judgment and takes into account our recent performance. The ultimate realization of deferred tax assets depends on the generation of future taxable income during the periods in which temporary differences are deductible or creditable. If actual experience differs from these estimates and assumptions, the recognized deferred tax asset value may not be fully realized, resulting in an increase to income tax expense in our results of operations. Due to various factors, including our estimated of annual income, our effective tax rate is subject to fluctuation.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effective tax rate for the three and six months ended October 29, 2022 was a tax rate of 1330.7 and a tax rate of (247.3) percent, as compared to an effective tax rate of 29.6 and 27.0 percent tax for the three and six months ended October 30, 2021. The increase in tax rate is primarily driven by the requirement to record a full valuation allowance on deferred tax assets during the second quarter of fiscal 2023 related to GAAP accounting for income taxes and related information. See "Note 1. Basis of Presentation - Liquidity and Going Concern" of the Notes to our Condensed Consolidated Financial Statements included in this Report.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in the future, we determine we can support the recoverability of all or a portion of the deferred tax assets under the guidance, the tax benefits relating to any reversal of the valuation allowance on net deferred tax assets will be accounted for as a reduction of income tax expense and result in an increase in equity. Changes in tax laws and rates may affect recorded deferred tax assets and liabilities and our effective tax rate in the future.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both domestically and internationally and, as of October 29, 2022, undistributed earnings of our foreign subsidiaries were considered to be reinvested indefinitely. Additionally, as of October 29, 2022, we had $593 of unrecognized tax benefits which would reduce our effective tax rate if recognized.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at October 29, 2022 and April 30, 2022 according to the valuation techniques we used to determine their fair values. There have been no transfers of assets or liabilities among the fair value hierarchies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29, 2022</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0" w:type="dxa"/>
            <w:vAlign w:val="bottom"/>
          </w:tcPr>
          <w:p>
            <w:pPr>
              <w:spacing w:after="0"/>
              <w:rPr>
                <w:sz w:val="1"/>
                <w:szCs w:val="1"/>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Derivatives - asset position</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30, 2022</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sponsored entities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Derivatives - asset position</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 - liability position</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valuation techniques used by us to value our financial instruments since the end of fiscal 2022. For additional information, see our Annual Report on Form 10-K for the fiscal year ended April 30, 2022 for the methods and assumptions used to estimate the fair value of each class of financial instrument.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9, 2022, we entered into the sixth amendment to our credit agreement as described in Note 7. There were no other material subsequent events.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section entitled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The MD&amp;A provides a narrative analysis explaining the reasons for material changes in the Company’s (i) financial condition during the period from the most recent fiscal year-end, April 30, 2022, to and including October 29, 2022 and (ii) results of operations during the current fiscal period(s) as compared to the corresponding period(s) of the preceding fiscal year.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including the MD&amp;A, contains "forward-looking statements" within the meaning of the Private Securities Litigation Reform Act of 1995. These statements reflect our current views with respect to future events and financial performance. The words "may," "would," "could," "should," "will," "expect," "estimate," "anticipate," "believe," "intend," "plan" and similar expressions are intended to identify forward-looking statements within the meaning of the Private Securities Litigation Reform Act of 1995. Any and all forecasts and projections in this document are “forward 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us. Any or all forward-looking statements in this report and in any public statements we make could be materially different from actual results. Accordingly, we wish to caution investors that any forward-looking statements made by or on behalf of us are subject to uncertainties and other factors that could cause actual results to differ materially from such statements.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our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undertake no obligation to update publicly or revise any forward-looking statements, whether as a result of new information, future events or otherwise.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MD&amp;A should be read in conjunction with the Consolidated Financial Statements and related Notes included in Item 1 of Part 1 of this Quarterly Report on Form 10-Q and our Annual Report on Form 10-K for the fiscal year ended April 30, 2022 (including the information presented therein under Risk Factors), as well as other publicly available information about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engaged principally in the design, marketing, and manufacture of a wide range of integrated electronic display systems and related products which are sold in a variety of markets throughout the world and the rendering of related maintenance and professional services.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our Annual Report on Form 10-K for the fiscal year ended April 30, 2022 and the consolidated financial statements set forth in that Annual Report on Form 10-K, including the notes to consolidated financial statements included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CONDITIONS</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Although supply chain disruptions have started to ease, supply chain disruptions continue as a result of several factors, including the pandemic lockdowns, shipping container shortages, labor shortages, war and other conflicts, and changes in global demand. We are specifically impacted by the global shortage</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semiconductors and related electronic components. Over the past year, our capacity was constrained due to significant and unusual part shortages, a challenging labor environment, and operating disruptions from COVID-19 related absences, and the shutdown of our facilities in Shanghai,</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China due to a government mandated COVID-19 zero tolerance policy. Through this time, we also experienced increased input costs for materials, commodities, personnel, freight, and tariffs. In addition, the International Longshore and Warehouse Union (ILWU) contract with the Pacific Maritime Association expired on July 1, 2022. While negotiations are in process, a strike or work slow-down mandate is possible. This would have a negative impact on the movement of material through west coast ports. Due to this volatility in supply chains, longer planning horizons, and high backlog, we have carried higher quantities of inventory. We also anticipate changes in the timing of payments from our customers as we work through disruptions and fulfill our backlog, likely creating an increased consumption of cash. We cannot predict the length or severity of these conditions. We expect our inventory levels to peak in the current quarter and continue to decline to more normalized levels through production and reductions in purchases, however, we cannot be certain we will not experience future disruptions or need additional liquidity to fund inventory levels, operations, and capital expenditures.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responded to input cost increases by increasing pricing through the last half of fiscal 2022 and implementing additional increases at the beginning of fiscal 2023. We also use pricing policies and opportunity evaluations across markets to manage price levels. We will continue to monitor our supply chains and our marketplaces and adapt our pricing methodologies as we see appropriate. We have also allocated resources to redesigns of certain products to provide the ability to source available components.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Macroeconomic events, including the possibility of sustained high inflation, tightening financial conditions, and the potential for higher interest rates, could increase the likelihood of deteriorating global economic conditions. We also expect impacts to global economic conditions in reaction to the evolving war and geopolitical environment. Conditions and disruptions have and will likely continue to cause volatility in our cash flow, pricing, order volumes, lead-times, competitiveness, revenue cycles, and production costs, and it is likely these conditions will have a negative impact in fiscal 2023.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teams are focused on improving our cash flow and liquidity enhancement program, which includes: Cash management focus through working capital reductions, including reductions in inventory and accounts receivables; productivity improvements from factory capacity expansion and investments in capital equipment and hiring critical manufacturing and service employees to increase output; operating margin improvement through pricing actions, product mix adjustments, and prudent management of operating expenses; selective reduction in future capital asset spending; and obtaining additional sources of liquidity, which requires the consent of our current lender.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monitoring these situations, but it is difficult and uncertain to predict the level of impact this may have on our supply chain, our costs, our liquidity, and our financial condition and results of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refer to the COVID-19 and raw material and component related risk factors disclosed in Item 1A of Part I in our Annual Report on Form 10-K for the fiscal year ended April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OCTOBER 29, 2022 AND OCTOBER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Order Backlog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 backlog are not measures defined by accounting principles generally accepted in the United States of America ("GAAP"), and our methodology for determining orders and backlog may vary from the methodology used by other companies in determining their orders and backlog amounts.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Order and backlog levels provide management and investors additional details surrounding the results of our business activities in the marketplace and highlight fluctuations caused by seasonality and our large project business. Management uses orders to evaluate market share and performance in the competitive environment. Management uses backlog information for capacity and resource planning. We believe order information is useful to investors because it provides an indication of our market share and future revenues.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order backlog as of October 29, 2022 was $463.1 million as compared to $281.6 million as of October 30, 2021 and $471.6 million at April 30, 2022. The increase $181.5 million between October 29, 2022 and October 30, 2021 was driven by record order volume and softer conversions to sales due to supply challenges.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fulfill the backlog as of October 29, 2022 within the next 24 months. The timing of backlog fulfillment may be impacted by project delays resulting from parts availability and other constraints stemming from the supply chain disruptions.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information regarding net sales for the three months ended October 29, 2022 and October 30,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14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37,047</w:t>
            </w:r>
          </w:p>
        </w:tc>
        <w:tc>
          <w:tcPr>
            <w:tcW w:w="8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69,239</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42,006</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9,259</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16,679</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56"/>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22,468</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23"/>
                <w:szCs w:val="23"/>
                <w:b w:val="1"/>
                <w:bCs w:val="1"/>
                <w:color w:val="auto"/>
                <w:vertAlign w:val="superscript"/>
              </w:rPr>
              <w:t>(1)</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42,711</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5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80,999</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40,498</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31,898</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16,583</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182,807</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163,707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firstLine="8"/>
        <w:spacing w:after="0" w:line="264" w:lineRule="auto"/>
        <w:tabs>
          <w:tab w:leader="none" w:pos="191" w:val="left"/>
        </w:tabs>
        <w:numPr>
          <w:ilvl w:val="0"/>
          <w:numId w:val="1"/>
        </w:numPr>
        <w:rPr>
          <w:rFonts w:ascii="Arial" w:cs="Arial" w:eastAsia="Arial" w:hAnsi="Arial"/>
          <w:sz w:val="13"/>
          <w:szCs w:val="13"/>
          <w:color w:val="auto"/>
        </w:rPr>
      </w:pPr>
      <w:r>
        <w:rPr>
          <w:rFonts w:ascii="Arial" w:cs="Arial" w:eastAsia="Arial" w:hAnsi="Arial"/>
          <w:sz w:val="13"/>
          <w:szCs w:val="13"/>
          <w:color w:val="auto"/>
        </w:rPr>
        <w:t>Orders are not measures defined by accounting principles generally accepted in the United States of America ("GAAP"), and our methodology for determining orders may vary from the methodology used by other companies in determining their orders and amounts.</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For the fiscal 2023 second quarter, net sales were $187.4 million, an increase of $23.0 million from net sales in the prior year's second quarter. Sales growth was driven by fulfilling orders in backlog even while we experienced multiple material supply chain disruptions and labor shortages. Supply chain disruptions are creating an increase in lead times by extending the timing of converting orders to sales. We expect supply chain conditions to persist through the 2023 fiscal year. We are investing in automated machinery and equipment and in labor capacity to increase the rate of conversion of orders into sales.</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Order volume increased in the second quarter of fiscal 2023 from the prior year's second quarter. These order increases were driven by Live Events bookings for replacements and upgrades and offset in part by order volume declines in our Commercial business which are normalizing after a record number of orders in fiscal 2022 driven by pent up demand from the COVID-19 pandemic. Orders decreased in International in the second quarter of fiscal 2023 compared to the second quarter of fiscal 2022 due to a weakening economic outlook relating to inflationary pressures, geopolitical events, and currency headwinds.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and Contribution Margin</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260" w:type="dxa"/>
            <w:vAlign w:val="bottom"/>
          </w:tcPr>
          <w:p>
            <w:pPr>
              <w:spacing w:after="0"/>
              <w:rPr>
                <w:sz w:val="19"/>
                <w:szCs w:val="19"/>
                <w:color w:val="auto"/>
              </w:rPr>
            </w:pPr>
          </w:p>
        </w:tc>
        <w:tc>
          <w:tcPr>
            <w:tcW w:w="288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0" w:type="dxa"/>
            <w:vAlign w:val="bottom"/>
          </w:tcPr>
          <w:p>
            <w:pPr>
              <w:spacing w:after="0"/>
              <w:rPr>
                <w:sz w:val="1"/>
                <w:szCs w:val="1"/>
                <w:color w:val="auto"/>
              </w:rPr>
            </w:pPr>
          </w:p>
        </w:tc>
      </w:tr>
      <w:tr>
        <w:trPr>
          <w:trHeight w:val="169"/>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 Net</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 Net</w:t>
            </w:r>
          </w:p>
        </w:tc>
        <w:tc>
          <w:tcPr>
            <w:tcW w:w="0" w:type="dxa"/>
            <w:vAlign w:val="bottom"/>
          </w:tcPr>
          <w:p>
            <w:pPr>
              <w:spacing w:after="0"/>
              <w:rPr>
                <w:sz w:val="1"/>
                <w:szCs w:val="1"/>
                <w:color w:val="auto"/>
              </w:rPr>
            </w:pPr>
          </w:p>
        </w:tc>
      </w:tr>
      <w:tr>
        <w:trPr>
          <w:trHeight w:val="243"/>
        </w:trPr>
        <w:tc>
          <w:tcPr>
            <w:tcW w:w="48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11,811</w:t>
            </w:r>
          </w:p>
        </w:tc>
        <w:tc>
          <w:tcPr>
            <w:tcW w:w="10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w:t>
            </w:r>
          </w:p>
        </w:tc>
        <w:tc>
          <w:tcPr>
            <w:tcW w:w="8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32,264</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decline in gross profit percentage for the second quarter of fiscal 2023 was primarily due to inflationary challenges in materials, freight, and personnel related costs. In addition, extraordinary supply chain disruptions created intermittent work stoppages and factory inefficiencies, resulting in additional costs to meet customer commitments. We increased prices beginning in late calendar 2022 and throughout fiscal 2023. These price changes are just beginning to be realized through sales. We expect sales price increases to continue to be realized through the remainder of fiscal year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warranty costs as a percent of sales for the three months ended October 29, 2022 compared to the same period one year ago increased to 2.7 percent from 1.4 percent. We recognized warranty expense of $1.0 million for probable and reasonable estimated costs to remediate a component and manufacturing quality issue discovered during the second quarter of fiscal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0" w:type="dxa"/>
            <w:vAlign w:val="bottom"/>
          </w:tcPr>
          <w:p>
            <w:pPr>
              <w:spacing w:after="0"/>
              <w:rPr>
                <w:sz w:val="1"/>
                <w:szCs w:val="1"/>
                <w:color w:val="auto"/>
              </w:rPr>
            </w:pPr>
          </w:p>
        </w:tc>
      </w:tr>
      <w:tr>
        <w:trPr>
          <w:trHeight w:val="169"/>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w:t>
            </w:r>
          </w:p>
        </w:tc>
        <w:tc>
          <w:tcPr>
            <w:tcW w:w="0" w:type="dxa"/>
            <w:vAlign w:val="bottom"/>
          </w:tcPr>
          <w:p>
            <w:pPr>
              <w:spacing w:after="0"/>
              <w:rPr>
                <w:sz w:val="1"/>
                <w:szCs w:val="1"/>
                <w:color w:val="auto"/>
              </w:rPr>
            </w:pPr>
          </w:p>
        </w:tc>
      </w:tr>
      <w:tr>
        <w:trPr>
          <w:trHeight w:val="243"/>
        </w:trPr>
        <w:tc>
          <w:tcPr>
            <w:tcW w:w="25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400" w:type="dxa"/>
            <w:vAlign w:val="bottom"/>
            <w:gridSpan w:val="3"/>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8"/>
        </w:trPr>
        <w:tc>
          <w:tcPr>
            <w:tcW w:w="2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is a non-GAAP measure and consists of gross profit less selling expenses. Selling expenses consist primarily of personnel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travel and entertainment expenses, marketing related expenses (show rooms, product demonstration, depreciation and maintenance, conventions and trade show expenses), the cost of customer relationship management/marketing systems, bad debt expenses, third-party commissions, and other expenses.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Contribution margin for the fiscal quarter ended October 29, 2022 was impacted by the previously discussed sales levels and impacts on gross profit, as well as a 16.4 percent increase in selling expenses in the second quarter of fiscal 2023 compared to the prior year three-month period. We have adjusted our sales and marketing activities and staffing levels to achieve current and expected future sales levels. Our order volume is directly associated with our marketing and sales expenses.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non-GAAP contribution margin to GAAP operating loss: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0" w:type="dxa"/>
            <w:vAlign w:val="bottom"/>
          </w:tcPr>
          <w:p>
            <w:pPr>
              <w:spacing w:after="0"/>
              <w:rPr>
                <w:sz w:val="1"/>
                <w:szCs w:val="1"/>
                <w:color w:val="auto"/>
              </w:rPr>
            </w:pPr>
          </w:p>
        </w:tc>
      </w:tr>
      <w:tr>
        <w:trPr>
          <w:trHeight w:val="169"/>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w:t>
            </w: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w:t>
            </w:r>
          </w:p>
        </w:tc>
        <w:tc>
          <w:tcPr>
            <w:tcW w:w="0" w:type="dxa"/>
            <w:vAlign w:val="bottom"/>
          </w:tcPr>
          <w:p>
            <w:pPr>
              <w:spacing w:after="0"/>
              <w:rPr>
                <w:sz w:val="1"/>
                <w:szCs w:val="1"/>
                <w:color w:val="auto"/>
              </w:rPr>
            </w:pPr>
          </w:p>
        </w:tc>
      </w:tr>
      <w:tr>
        <w:trPr>
          <w:trHeight w:val="243"/>
        </w:trPr>
        <w:tc>
          <w:tcPr>
            <w:tcW w:w="25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5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0" w:type="dxa"/>
            <w:vAlign w:val="bottom"/>
            <w:gridSpan w:val="3"/>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23"/>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margin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9"/>
              </w:rPr>
              <w:t>9.2 %</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19,782</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00" w:type="dxa"/>
            <w:vAlign w:val="bottom"/>
          </w:tcPr>
          <w:p>
            <w:pPr>
              <w:spacing w:after="0"/>
              <w:rPr>
                <w:sz w:val="19"/>
                <w:szCs w:val="19"/>
                <w:color w:val="auto"/>
              </w:rPr>
            </w:pPr>
          </w:p>
        </w:tc>
        <w:tc>
          <w:tcPr>
            <w:tcW w:w="14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19"/>
                <w:szCs w:val="19"/>
                <w:color w:val="auto"/>
              </w:rPr>
            </w:pPr>
          </w:p>
        </w:tc>
        <w:tc>
          <w:tcPr>
            <w:tcW w:w="14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0.8 %</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second quarter of fiscal 2023 increased as compared to the same period one year ago primarily due to increases in personnel expense.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design and development expenses in the second quarter of fiscal 2023 decreased slightly as compared to the same period one year ago primarily due to an increase in personnel related expenses offset by a decrease in consulting expenses and material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Decreased contribution margin and increased spend in general and administrative led to a lower operating income for the second quarter of fiscal 2023 compared to the prior year second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0" w:type="dxa"/>
            <w:vAlign w:val="bottom"/>
          </w:tcPr>
          <w:p>
            <w:pPr>
              <w:spacing w:after="0"/>
              <w:rPr>
                <w:sz w:val="1"/>
                <w:szCs w:val="1"/>
                <w:color w:val="auto"/>
              </w:rPr>
            </w:pPr>
          </w:p>
        </w:tc>
      </w:tr>
      <w:tr>
        <w:trPr>
          <w:trHeight w:val="207"/>
        </w:trPr>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a Percent of Net</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 Net</w:t>
            </w:r>
          </w:p>
        </w:tc>
        <w:tc>
          <w:tcPr>
            <w:tcW w:w="0" w:type="dxa"/>
            <w:vAlign w:val="bottom"/>
          </w:tcPr>
          <w:p>
            <w:pPr>
              <w:spacing w:after="0"/>
              <w:rPr>
                <w:sz w:val="1"/>
                <w:szCs w:val="1"/>
                <w:color w:val="auto"/>
              </w:rPr>
            </w:pPr>
          </w:p>
        </w:tc>
      </w:tr>
      <w:tr>
        <w:trPr>
          <w:trHeight w:val="25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4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6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0" w:type="dxa"/>
            <w:vAlign w:val="bottom"/>
          </w:tcPr>
          <w:p>
            <w:pPr>
              <w:spacing w:after="0"/>
              <w:rPr>
                <w:sz w:val="1"/>
                <w:szCs w:val="1"/>
                <w:color w:val="auto"/>
              </w:rPr>
            </w:pPr>
          </w:p>
        </w:tc>
      </w:tr>
      <w:tr>
        <w:trPr>
          <w:trHeight w:val="162"/>
        </w:trPr>
        <w:tc>
          <w:tcPr>
            <w:tcW w:w="18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345.8 %</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w:t>
            </w:r>
          </w:p>
        </w:tc>
        <w:tc>
          <w:tcPr>
            <w:tcW w:w="26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The change in interest income and expense, net for the second quarter of fiscal 2023 compared to the same period one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ago was primarily due to utilizing our line of credit during the 2023 second quarter for our strategic investments in inventory.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The change in other expense, net for the second quarter of fiscal 2023 as compared to the same period one year ago was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losses recorded for equity method affiliates and foreign currency volatility.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recorded an effective tax rate of 1330.7 percent for the second quarter of fiscal 2023 as compared to a tax rate of 29.6 percent for the second quarter of fiscal 2022. The increase in tax rate for the quarter is primarily driven by the requirement to record a full valuation allowance on net deferred tax assets during the second quarter of fiscal 2023 related to GAAP accounting for income taxes and related information. See "Note 1. Basis of Presentation - Liquidity and Going Concern" of the Notes to our Condensed Consolidated Financial Statements included in this Report.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OCTOBER 29, 2022 AND OCTOBER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information regarding net sales for the six months ended October 29, 2022 and October 30,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140" w:type="dxa"/>
            <w:vAlign w:val="bottom"/>
          </w:tcPr>
          <w:p>
            <w:pPr>
              <w:spacing w:after="0"/>
              <w:rPr>
                <w:sz w:val="19"/>
                <w:szCs w:val="19"/>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77,165</w:t>
            </w:r>
          </w:p>
        </w:tc>
        <w:tc>
          <w:tcPr>
            <w:tcW w:w="8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125,622</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5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77,815</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17,174</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36,219</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42,538</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359,359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23"/>
                <w:szCs w:val="23"/>
                <w:b w:val="1"/>
                <w:bCs w:val="1"/>
                <w:color w:val="auto"/>
                <w:vertAlign w:val="superscript"/>
              </w:rPr>
              <w:t>(1)</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90,389</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132,752</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42,565</w:t>
            </w:r>
          </w:p>
        </w:tc>
        <w:tc>
          <w:tcPr>
            <w:tcW w:w="100" w:type="dxa"/>
            <w:vAlign w:val="bottom"/>
          </w:tcPr>
          <w:p>
            <w:pPr>
              <w:spacing w:after="0"/>
              <w:rPr>
                <w:sz w:val="22"/>
                <w:szCs w:val="22"/>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69,477</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32,287</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Pr>
          <w:p>
            <w:pPr>
              <w:spacing w:after="0"/>
              <w:rPr>
                <w:sz w:val="22"/>
                <w:szCs w:val="22"/>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28,125</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(23,048)</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353,030</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firstLine="8"/>
        <w:spacing w:after="0" w:line="264" w:lineRule="auto"/>
        <w:tabs>
          <w:tab w:leader="none" w:pos="191" w:val="left"/>
        </w:tabs>
        <w:numPr>
          <w:ilvl w:val="0"/>
          <w:numId w:val="2"/>
        </w:numPr>
        <w:rPr>
          <w:rFonts w:ascii="Arial" w:cs="Arial" w:eastAsia="Arial" w:hAnsi="Arial"/>
          <w:sz w:val="13"/>
          <w:szCs w:val="13"/>
          <w:color w:val="auto"/>
        </w:rPr>
      </w:pPr>
      <w:r>
        <w:rPr>
          <w:rFonts w:ascii="Arial" w:cs="Arial" w:eastAsia="Arial" w:hAnsi="Arial"/>
          <w:sz w:val="13"/>
          <w:szCs w:val="13"/>
          <w:color w:val="auto"/>
        </w:rPr>
        <w:t>Orders are not measures defined by accounting principles generally accepted in the United States of America ("GAAP"), and our methodology for determining orders may vary from the methodology used by other companies in determining their orders and amounts.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first six months of fiscal 2023, net sales were $359.4 million, an increase of $50.2 million from the prior year's first six-month period. The year-over-year growth was driven by fulfilling orders in backlog and continued strong order bookings. Material supply chain shortages and labor challenges are creating an increase in lead times and extending the timing of converting some orders to sales in the near-term. We expect supply chain conditions to persist through the 2023 fiscal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Order volume increased in the first six months of fiscal 2023 from the prior year's six-month period. Fiscal 2022 saw a record number of orders from pent up demand during the COVID-19 pandemic, and orders for fiscal 2023 continue to be strong. Order bookings in the first six months of fiscal 2023 were strong in multiple sports venues in the Live Events unit. International markets have seen some softening in demand through the first two quarters of fiscal 2023 due to the inflationary environment and geopolitical events.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and Contribution Margin</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260" w:type="dxa"/>
            <w:vAlign w:val="bottom"/>
          </w:tcPr>
          <w:p>
            <w:pPr>
              <w:spacing w:after="0"/>
              <w:rPr>
                <w:sz w:val="19"/>
                <w:szCs w:val="19"/>
                <w:color w:val="auto"/>
              </w:rPr>
            </w:pPr>
          </w:p>
        </w:tc>
        <w:tc>
          <w:tcPr>
            <w:tcW w:w="288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0" w:type="dxa"/>
            <w:vAlign w:val="bottom"/>
          </w:tcPr>
          <w:p>
            <w:pPr>
              <w:spacing w:after="0"/>
              <w:rPr>
                <w:sz w:val="1"/>
                <w:szCs w:val="1"/>
                <w:color w:val="auto"/>
              </w:rPr>
            </w:pPr>
          </w:p>
        </w:tc>
      </w:tr>
      <w:tr>
        <w:trPr>
          <w:trHeight w:val="169"/>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 Net</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 Net</w:t>
            </w:r>
          </w:p>
        </w:tc>
        <w:tc>
          <w:tcPr>
            <w:tcW w:w="0" w:type="dxa"/>
            <w:vAlign w:val="bottom"/>
          </w:tcPr>
          <w:p>
            <w:pPr>
              <w:spacing w:after="0"/>
              <w:rPr>
                <w:sz w:val="1"/>
                <w:szCs w:val="1"/>
                <w:color w:val="auto"/>
              </w:rPr>
            </w:pPr>
          </w:p>
        </w:tc>
      </w:tr>
      <w:tr>
        <w:trPr>
          <w:trHeight w:val="243"/>
        </w:trPr>
        <w:tc>
          <w:tcPr>
            <w:tcW w:w="48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14,623</w:t>
            </w:r>
          </w:p>
        </w:tc>
        <w:tc>
          <w:tcPr>
            <w:tcW w:w="8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21,788</w:t>
            </w:r>
          </w:p>
        </w:tc>
        <w:tc>
          <w:tcPr>
            <w:tcW w:w="10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20,258</w:t>
            </w:r>
          </w:p>
        </w:tc>
        <w:tc>
          <w:tcPr>
            <w:tcW w:w="8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64,452</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decline in gross profit percentage in the six months ended October 29, 2022 was primarily impacted by inflationary challenges in materials, freight, and personnel related costs. In addition, extraordinary supply chain disruptions, including the Shanghai factory closure, created intermittent work stoppages and factory inefficiencies, adding additional costs to meet customer commitments, especially in the Live Events business unit. We also recorded a $0.5 million provision for estimated losses on contracts in progress during the six months ended October 29, 2022.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warranty costs as a percent of sales for the six months ended October 29, 2022 compared to the same period one year ago increased to 2.2 percent from 1.3 percent. We recognized warranty expense of $1.0 million for probable and reasonable estimated costs to remediate a component and manufacturing quality issue discovered during the six months ended October 29,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0" w:type="dxa"/>
            <w:vAlign w:val="bottom"/>
          </w:tcPr>
          <w:p>
            <w:pPr>
              <w:spacing w:after="0"/>
              <w:rPr>
                <w:sz w:val="1"/>
                <w:szCs w:val="1"/>
                <w:color w:val="auto"/>
              </w:rPr>
            </w:pPr>
          </w:p>
        </w:tc>
      </w:tr>
      <w:tr>
        <w:trPr>
          <w:trHeight w:val="169"/>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w:t>
            </w:r>
          </w:p>
        </w:tc>
        <w:tc>
          <w:tcPr>
            <w:tcW w:w="0" w:type="dxa"/>
            <w:vAlign w:val="bottom"/>
          </w:tcPr>
          <w:p>
            <w:pPr>
              <w:spacing w:after="0"/>
              <w:rPr>
                <w:sz w:val="1"/>
                <w:szCs w:val="1"/>
                <w:color w:val="auto"/>
              </w:rPr>
            </w:pPr>
          </w:p>
        </w:tc>
      </w:tr>
      <w:tr>
        <w:trPr>
          <w:trHeight w:val="243"/>
        </w:trPr>
        <w:tc>
          <w:tcPr>
            <w:tcW w:w="25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380" w:type="dxa"/>
            <w:vAlign w:val="bottom"/>
            <w:gridSpan w:val="3"/>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10"/>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Events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15,019</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8"/>
        </w:trPr>
        <w:tc>
          <w:tcPr>
            <w:tcW w:w="2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Contribution margin in the six months ended October 29, 2022 was impacted negatively by the previously discussed sales levels and impacts on gross profit, as well as a 19.3 percent increase in selling expenses in the first six months of fiscal 2023 compared to the prior year six-month period. We have adjusted our sales and marketing activities and staffing levels to achieve current and expected future sales levels. Our order volume is directly associated with our marketing and sales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non-GAAP contribution margin to GAAP operating loss: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0" w:type="dxa"/>
            <w:vAlign w:val="bottom"/>
          </w:tcPr>
          <w:p>
            <w:pPr>
              <w:spacing w:after="0"/>
              <w:rPr>
                <w:sz w:val="1"/>
                <w:szCs w:val="1"/>
                <w:color w:val="auto"/>
              </w:rPr>
            </w:pPr>
          </w:p>
        </w:tc>
      </w:tr>
      <w:tr>
        <w:trPr>
          <w:trHeight w:val="169"/>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gridSpan w:val="2"/>
          </w:tcPr>
          <w:p>
            <w:pPr>
              <w:jc w:val="center"/>
              <w:ind w:right="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As a Percent of</w:t>
            </w:r>
          </w:p>
        </w:tc>
        <w:tc>
          <w:tcPr>
            <w:tcW w:w="0" w:type="dxa"/>
            <w:vAlign w:val="bottom"/>
          </w:tcPr>
          <w:p>
            <w:pPr>
              <w:spacing w:after="0"/>
              <w:rPr>
                <w:sz w:val="1"/>
                <w:szCs w:val="1"/>
                <w:color w:val="auto"/>
              </w:rPr>
            </w:pPr>
          </w:p>
        </w:tc>
      </w:tr>
      <w:tr>
        <w:trPr>
          <w:trHeight w:val="243"/>
        </w:trPr>
        <w:tc>
          <w:tcPr>
            <w:tcW w:w="25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420" w:type="dxa"/>
            <w:vAlign w:val="bottom"/>
            <w:gridSpan w:val="3"/>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0" w:type="dxa"/>
            <w:vAlign w:val="bottom"/>
          </w:tcPr>
          <w:p>
            <w:pPr>
              <w:spacing w:after="0"/>
              <w:rPr>
                <w:sz w:val="1"/>
                <w:szCs w:val="1"/>
                <w:color w:val="auto"/>
              </w:rPr>
            </w:pPr>
          </w:p>
        </w:tc>
      </w:tr>
      <w:tr>
        <w:trPr>
          <w:trHeight w:val="250"/>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margin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28,540</w:t>
            </w:r>
          </w:p>
        </w:tc>
        <w:tc>
          <w:tcPr>
            <w:tcW w:w="8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7.9 %</w:t>
            </w:r>
          </w:p>
        </w:tc>
        <w:tc>
          <w:tcPr>
            <w:tcW w:w="8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10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40,175</w:t>
            </w: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18,128</w:t>
            </w:r>
          </w:p>
        </w:tc>
        <w:tc>
          <w:tcPr>
            <w:tcW w:w="80" w:type="dxa"/>
            <w:vAlign w:val="bottom"/>
          </w:tcPr>
          <w:p>
            <w:pPr>
              <w:spacing w:after="0"/>
              <w:rPr>
                <w:sz w:val="19"/>
                <w:szCs w:val="19"/>
                <w:color w:val="auto"/>
              </w:rPr>
            </w:pPr>
          </w:p>
        </w:tc>
        <w:tc>
          <w:tcPr>
            <w:tcW w:w="1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15,772</w:t>
            </w:r>
          </w:p>
        </w:tc>
        <w:tc>
          <w:tcPr>
            <w:tcW w:w="1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14,405</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14,358</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(3,993)</w:t>
            </w:r>
          </w:p>
        </w:tc>
        <w:tc>
          <w:tcPr>
            <w:tcW w:w="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first six months of fiscal 2023 increased as compared to the same period one year ago primarily due to increases in personnel expense and approximately $1.0 million in professional fees related to shareholder engagement.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design and development expenses in the first six months of fiscal 2023 remained relatively flat as compared to the same period one year ago.</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Decreased contribution margin and increased spend in general and administrative led to an operating loss for the first six months of fiscal 2023 compared to the prior year six-month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r>
      <w:tr>
        <w:trPr>
          <w:trHeight w:val="250"/>
        </w:trPr>
        <w:tc>
          <w:tcPr>
            <w:tcW w:w="18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October 30, 2021</w:t>
            </w:r>
          </w:p>
        </w:tc>
      </w:tr>
      <w:tr>
        <w:trPr>
          <w:trHeight w:val="207"/>
        </w:trPr>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 Percent of Net</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 Net</w:t>
            </w:r>
          </w:p>
        </w:tc>
      </w:tr>
      <w:tr>
        <w:trPr>
          <w:trHeight w:val="259"/>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26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Sales</w:t>
            </w:r>
          </w:p>
        </w:tc>
      </w:tr>
      <w:tr>
        <w:trPr>
          <w:trHeight w:val="198"/>
        </w:trPr>
        <w:tc>
          <w:tcPr>
            <w:tcW w:w="1880" w:type="dxa"/>
            <w:vAlign w:val="bottom"/>
            <w:tcBorders>
              <w:top w:val="single" w:sz="8" w:color="CCEEFF"/>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4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bl>
    <w:p>
      <w:pPr>
        <w:spacing w:after="0" w:line="2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The change in interest income and expense, net for the first six months of fiscal 2023 compared to the same period one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ago was primarily due to utilizing our line of credit during the 2023 first six months for our strategic investments in inventory.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The change in other expense, net for the first six months quarter of fiscal 2023 as compared to the same period one year ago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losses recorded for equity method affiliates and foreign currency volatility.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recorded an effective tax rate of (247.3) percent for the six months ended October 29, 2022 as compared to 27.0 percent for the six months ended October 30, 2021. The difference in tax rates is primarily driven by the requirement to record a full valuation allowance on net deferred tax assets during the quarter related to GAAP accounting for income taxes and related information. See "Note 1. Basis of Presentation - Liquidity and Going Concern" of the Notes to our Condensed Consolidated Financial Statements included in this Report.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86"/>
        </w:trPr>
        <w:tc>
          <w:tcPr>
            <w:tcW w:w="5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
        </w:trPr>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4"/>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October 29,</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30,</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Dollar Change</w:t>
            </w:r>
          </w:p>
        </w:tc>
      </w:tr>
      <w:tr>
        <w:trPr>
          <w:trHeight w:val="27"/>
        </w:trPr>
        <w:tc>
          <w:tcPr>
            <w:tcW w:w="5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(13,404)</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r>
      <w:tr>
        <w:trPr>
          <w:trHeight w:val="24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26,674</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7,933</w:t>
            </w:r>
          </w:p>
        </w:tc>
      </w:tr>
      <w:tr>
        <w:trPr>
          <w:trHeight w:val="21"/>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decreased by $10.9 million for the first six months of fiscal 2023 compared to a decrease of $18.8 million in the first six months of fiscal 2022. The use of cash in the first six months of fiscal 2023 is primarily due to investments in inventory required to support the conversion of increased backlog and strong order bookings into sales and as a strategy to add stability to our manufacturing processes during this time of supply chain disruptions. The decrease in cash was also due to investing in capital assets for increased capacity and automation and loans to affiliated entities. We utilized our line of credit to support these uses of cash.</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Net cash used in operating activities was $21.9 million for the first six months of fiscal 2023 compared to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operating activities of $8.5 million in the first six months of fiscal 2022. The difference between net cash used in operating activities in the first six months of fiscal 2023 compared to net cash used in operating activities in the first six months of fiscal 2022 was primarily the result of changes in net operating assets and liabilities and the result of having a net loss in the first six months of 2023 compared to net income in the first six months of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net operating assets and liabilities consisted of the following:</w:t>
      </w:r>
    </w:p>
    <w:p>
      <w:pPr>
        <w:spacing w:after="0" w:line="275"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36830</wp:posOffset>
            </wp:positionV>
            <wp:extent cx="19456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October 29,</w:t>
            </w:r>
          </w:p>
        </w:tc>
        <w:tc>
          <w:tcPr>
            <w:tcW w:w="20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October 30,</w:t>
            </w:r>
          </w:p>
        </w:tc>
      </w:tr>
      <w:tr>
        <w:trPr>
          <w:trHeight w:val="238"/>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(26,914)</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(20,509)</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25,045</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marketing obligations and other payables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Net cash used in investing activities totaled $15.2 million in the first six months of fiscal 2023 compared to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investing activities of $9.9 million in the first six months of fiscal 2022. Purchases of property and equipment totaled $16.2 million in the first six months of fiscal 2023 compared to $4.5 million in the first six months of fiscal 2022. Purchases of and loans to affiliates accounted for by the equity investment method totaled $2.9 million in the first six months of fiscal 2023 as compared to $6.1 million in the first six months of fiscal 2022.</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financing activities: </w:t>
      </w:r>
      <w:r>
        <w:rPr>
          <w:rFonts w:ascii="Times New Roman" w:cs="Times New Roman" w:eastAsia="Times New Roman" w:hAnsi="Times New Roman"/>
          <w:sz w:val="18"/>
          <w:szCs w:val="18"/>
          <w:color w:val="auto"/>
        </w:rPr>
        <w:t>Net cash provided by financing activities was $26.3 million for the six months ended October 29,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draws on our line of credit compared to cash use of $0.4 million for other investing activities in the first six months of fiscal 2022.</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Liquidity and Capital Resources Discussion: </w:t>
      </w:r>
      <w:r>
        <w:rPr>
          <w:rFonts w:ascii="Times New Roman" w:cs="Times New Roman" w:eastAsia="Times New Roman" w:hAnsi="Times New Roman"/>
          <w:sz w:val="18"/>
          <w:szCs w:val="18"/>
          <w:color w:val="auto"/>
        </w:rPr>
        <w:t>The timing and amounts of working capital changes, dividend payments, stock repurchases,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spending, profitability, and investments in affiliates impact our liquidity. Our cash needs are funded through a combination of cash flow from operations and borrowings under bank credit agreements.</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believe the audiovisual industry fundamentals will drive long-term growth for our business; however, for at least the remainder of fiscal 2023, we expect our customers will continue to have disruptions and may continue to reduce their spend on audiovisual systems and related services as they work through the economic and business implications of COVID-19, supply chain challenges, and emerging war and geopolitical situations. Ongoing supply chain disruptions and inflationary challenges in materials, freight and personnel related costs have and will continue to cause volatility in our cash flow, pricing, order volumes, lead-times, competitiveness, revenue cycles, and production costs. We believe it is likely these conditions will continue to have negative impacts in fiscal 2023. To improve operations and cash flows, we have increased prices of our goods and services. We have also increased investment in inventory levels to add production stability to our production processes to fulfill backlog, and are focused to reduce these levels as supply chains stabilize. We also continue to selectively invest in property and equipment to expand our capacity and add automation. Our ability to fund inventory levels, operations and capital expenditures in the future will be dependent on our ability to generate cash flow from operations in these conditions, to maintain or improve margins, and to use funds from our credit facility. Our credit facility expires in April 2025, and it requires us to comply with certain covenants.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supply chain disruptions have started to ease and we expect our inventory levels to decline, we cannot be certain we will not experience future disruptions or need additional liquidity to fund inventory levels, operations, and capital expenditures. We will need additional liquidity to meet our obligations as they come due in the 12 months following the date of this Report, and we cannot be assured that such liquidity will be available or the form of such liquidity, such as equity raises or debt financing. Although we are in the process of obtaining additional liquidity through various means, including but not limited to obtaining financing secured by a mortgage on our facilities, a sales-leaseback transaction, leasing property and equipment, and continued focus on reducing working capital, these plans are not finalized and are subject to market conditions that are not within our control. See "Note 1. Basis of Presentation - Liquidity and Going Concern" of the Notes to our Condensed Consolidated Financial Statements included in this Report.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Working capital was $118.6 million and $103.9 million as of October 29, 2022 and April 30, 2022, respectively. The changes in working capital, particularly changes in inventory, accounts payable, accounts receivable, contract assets and liabilities are impacted by the sports market and construction seasonality. These changes can have a significant impact on the amount of net cash provided or used by operating activities largely due to the timing of payments for inventory and subcontractors and receipts from our customers. On multimillion-dollar orders, the time between order acceptance and project completion may extend up to or exceed 12 months depending on the amount of custom work and a customer’s delivery needs. We use cash to purchase inventory and services at the beginning of these orders and often receive down payments or progress payments on these orders to balance cashflows. We expect to use cash in operations as our business returns and exceeds pre-pandemic levels and due to longer planning horizons and volatility in supply chains. While these conditions continue, we plan to carry higher quantities of inventory and anticipate changes in the timing of payments from our customers as we work through different disruptions and fulfill our backlog.</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$35.0 million line of credit which expires in April 2025. On October 31, 2022, we entered into an agreement to temporarily expand the line of credit by $10.0 million through January 31, 2023. We had $26.4 million advanced on our line of credit and $6.9 million used to secure letters of credit as of October 29, 2022. As of October 29, 2022, there was $11.7 million available to advance on the line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and amendments require us to be in compliance with certain financial ratios, including a covenant to maintain the ratio of interest-bearing debt to earnings before income taxes, depreciation, and amortization at less than 6.0 for the quarter ending October 29, 2022 and, beginning with the fiscal quarter ending January 28, 2023, to be less than 2.5. A minimum fixed charge coverage ratio must be met of at least 2 to 1 at the end of any quarter during fiscal year 2023 and a ratio of at least 1.25 to 1 for the year end of fiscal 2023. On December 09, 2022, we entered into the sixth amendment to our credit agreement. The Amendment clarifies certain definitions related to the deferred tax asset valuation allowance and adds additional financial</w:t>
      </w:r>
    </w:p>
    <w:p>
      <w:pPr>
        <w:spacing w:after="0" w:line="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reporting requirements and negative covenants (refer to Note 7 to the Condensed Consolidated Financial Statements). As of October 29, 2022, we were in compliance with these covenants. Based on future projections, we expect to be in compliance with these covenants through the next year; however, with the uncertainty and volatility in the supply chain and the sensitivity of the covenants, and current going concern condition, we cannot be certain. If we violate a covenant and cannot obtain a waiver from the bank, we may need to seek additional debt or equity financing.</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$7.1 million of retainage on long-term contracts included in receivables and contract assets as of October 29, 2022, which has an impact on our liquidity. We expect to collect these amounts within one year.</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bank guarantees or other financial instruments for display installations, and we utilize a global bank to provide such instruments. If we are unable to complete the installation work, our customer would draw on the banking arrangement, and the bank would subrogate its loss to Daktronics' restricted cash accounts. As of October 29, 2022, we had $0.6 million of such instruments outstanding.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and we have a bonding line available through a surety company for an aggregate of $150.0 million in bonded work outstanding. If we were unable to complete the installation work, and our customer would call upon the bond for payment, the surety company would subrogate its loss to Daktronics. As of October 29, 2022, we had $72.8 million of bonded work outstanding against this line.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growth and profitability improvement strategies depend on investments in capital expenditures and strategic investments. We are projecting total capital expenditures to be approximately $30 million for fiscal 2023. Projected capital expenditures include purchasing manufacturing equipment for new or enhanced product production and expanded capacity and increased automation of processes; investments in quality and reliability equipment and demonstration and showroom assets; and continued information infrastructure investments. </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evaluate and may make strategic investments in new technologies or in our affiliates or acquire companies aligned with our business strategy. We committed to invest an additional $0.8 million over the next year in our current affiliates, which requires approvals under our credit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repurchase shares of our common stock from time to time in open market purchases, private transactions or other transactions. The timing, volume and nature of share repurchases will be at the sole discretion of management; will be dependent on market conditions, applicable securities laws and other factors; and may be suspended or discontinued at any time. During the three months ended October 29, 2022, we repurchased no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describe our significant accounting policies in "Note 1. Nature of Business and Summary of Significant Accounting Policies" of the Notes to Consolidated Financial Statements included in our Annual Report on Form 10-K for the fiscal year ended April 30, 2022. We discuss our critical accounting estimates in "Part II, Item 7. Management’s Discussion and Analysis of Financial Condition and Results of Operations" in our Annual Report on Form 10-K for the fiscal year ended April 30, 2022. There have been no material changes in our significant accounting policies or critical accounting estimates since the end of fiscal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elsewhere in this Report.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interest rate, foreign currency, and commodity risks as disclosed in our Annual Report on Form 10-K for the fiscal year ended April 30, 2022. There have been no material changes in our exposure to these risks during the first six months of fiscal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October 29, 2022, which is the end of the period covered by this Report. Based upon that evaluation, the Chief Executive Officer and Chief Financial Officer concluded that as of that date, our disclosure controls and procedures were not effective, at a reasonable assurance level, because of material weaknesses in internal control over financial reporting, which we view as an integral part of our disclosure controls and procedures. In making this assessment, management used the criteria set forth in the “Internal Control - Integrated Framework” (2013) issued by the Committee of Sponsoring Organizations of the Treadway Commission (COSO).</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material weaknesses in our internal control over financial reporting, we have concluded that the unaudited condensed consolidated financial statements included in this Form 10-Q fairly present, in all material respects, our financial position, results of operations and cash flows for the periods presented in conformity with accounting principles generally accepted in the United States of America. Remediation efforts to address the material weakness are described below under the section “Remediation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conducting our assessment of our ability to continue as a going concern we failed to consider the income tax implications which resulted in us recording a material adjustment of $14.8 million. The specific deficiencies identified and the related components of the COSO framework impacted by these deficiencies are discussed below under the section “Material Weaknesses.”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a reasonable possibility exists that a material misstatement of our annual or interim financial statements would not be prevented or detected on a timely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and Communication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identified a deficiency in a principle associated with the information and communication component of the COSO framework which individually constitutes a material weakness related to the following principle: “The organization internally communicates information, including objectives and responsibilities for internal control, necessary to support the functioning of other components of internal control.”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failed to timely communicate the result of our going concern assessment to all appropriate internal parties necessary which led to us not considering the impact of the going concern assessment on the valuation of our deferred tax assets.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deficiency contributed to the potential for there to have been material errors in our financial statements and therefore resulted in the following additional material weakness: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did not appropriately design its going concern policy control to contemplate evaluating the income tax implications when reaching a substantial doubt going concern conclusion.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material weaknesses did not result in any uncorrected misstatements in the current period unaudited condensed consolidated financial statements, nor in any restatements of consolidated financial statements previously reported by us, and there were no changes in previously released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remediation plan includes, but is not limited to:</w:t>
      </w:r>
    </w:p>
    <w:p>
      <w:pPr>
        <w:spacing w:after="0" w:line="16" w:lineRule="exact"/>
        <w:rPr>
          <w:sz w:val="20"/>
          <w:szCs w:val="20"/>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policy that our going concern analysis should be communicated and provided to appropriate members of the organization, including our tax department so they can consider the impacts of our going concern conclusion.</w:t>
      </w:r>
    </w:p>
    <w:p>
      <w:pPr>
        <w:spacing w:after="0" w:line="1" w:lineRule="exact"/>
        <w:rPr>
          <w:rFonts w:ascii="Times New Roman" w:cs="Times New Roman" w:eastAsia="Times New Roman" w:hAnsi="Times New Roman"/>
          <w:sz w:val="18"/>
          <w:szCs w:val="18"/>
          <w:color w:val="auto"/>
        </w:rPr>
      </w:pPr>
    </w:p>
    <w:p>
      <w:pPr>
        <w:ind w:left="660" w:right="20" w:hanging="328"/>
        <w:spacing w:after="0" w:line="24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control activity that considers results of our going concern analysis when determining the valuation of deferred taxes and other reporting and disclosures when preparing our financial statements.</w:t>
      </w:r>
    </w:p>
    <w:p>
      <w:pPr>
        <w:spacing w:after="0" w:line="200" w:lineRule="exact"/>
        <w:rPr>
          <w:sz w:val="20"/>
          <w:szCs w:val="20"/>
          <w:color w:val="auto"/>
        </w:rPr>
      </w:pPr>
    </w:p>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can give no assurance that the measures it has undertaken have fully remediated the material weaknesses that it has identified or that additional material weaknesses will not arise in the future. Management will continue to monitor the effectiveness of these and other processes, procedures, and controls and will make any further changes that management determines to be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identification of the material weaknesses described above, there were no changes during the quarter ended October 29, 2022 in our internal control over financial reporting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our business and operations included in this Quarterly Report on Form 10-Q should be read together with the risk factors described in Item 1A. of our Annual Report on Form 10-K for the fiscal year ended April 30, 2022.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continue to experience volatility in our business driven by global economic conditions and supply chain disruptions, which have had and are continuing to have a negative effect on our liquidity, caused us to express substantial doubt about our ability to continue as a going concern, and could cause us to default on our credit facilities, giving our lender the right to foreclose on our assets, or we could have difficulty finding additional financing, all which would have a material adverse effect on our business, financial condition and results of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economic conditions and supply chain disruptions have and will continue to cause volatility in our cash flow, pricing, order volumes lead times, competitiveness, revenue cycles, and production costs. We believe it is likely these conditions will continue to have negative impacts in fiscal 2023. Our ability to fund inventory levels, operations and capital expenditures in the future will be dependent on our ability to generate cash flow from operations in these conditions, to maintain or improve margins, and to use funds from our credit facility. Our credit facility expires in April 2025, and it imposes restrictions limiting our ability to incur debt, contingent liabilities, lease obligations or liens; make a substantial change of ownership; or acquire or purchase a business or its assets. Our credit facilities also impose certain financial covenants on us which restrict the level of cash dividends and capital expenditures. A breach of any of these covenants could result in an event of default under our credit facilities. Upon the occurrence of an event of default, the lender could elect to declare any and all amounts outstanding under such facilities to be immediately due and payable, terminate all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commitments to extend further credit, and foreclose on our assets, which would have a material adverse effect on our business, financial condition, and results of operations.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cannot be certain we will not experience future disruptions or need additional liquidity to fund inventory levels, operations, and capital expenditures. We will need to seek forms of additional liquidity to meet our obligations as they come due in the 12 months following the date of this Report, and we cannot be assured that such liquidity will be available or the form of such liquidity, such as equity raises or debt financing. Although we are in the process of obtaining additional liquidity through various means as described elsewhere in this Report, these plans are not finalized and are subject to market conditions that are not within our control. These conditions and the conditions described in the foregoing paragraph raise substantial doubt about our ability to continue as a going concern. This determination could cause our existing and prospective suppliers, customers, and financing sources to not do business with us. If we are unable to improve our liquidity position, we may not be able to continue as a going concern. The condensed consolidated financial statements included in this Report do not include any adjustments that could result from this uncertainty. If we are required to realize our assets and discharge our liabilities other than in the normal course of business, it would cause investors to suffer the loss of all or a substantial portion of their investment. The determination that there is substantial doubt about our ability to continue as a going concern and our inability to adequately improve our liquidity position each could have a material adverse effect on our business, financial condition, and results of operations. See “Note 1. Basis of Presentation – Liquidity and Going Concern” of the Notes to our Condensed Consolidated Financial Statements included in this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October 29, 2022 and October 30, 2021, we did not repurchase any shares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filed as part of this Report is set forth in the following Index to Exhibits.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0" w:type="dxa"/>
            <w:vAlign w:val="bottom"/>
            <w:tcBorders>
              <w:bottom w:val="single" w:sz="8" w:color="C6F4F9"/>
            </w:tcBorders>
            <w:gridSpan w:val="3"/>
            <w:shd w:val="clear" w:color="auto" w:fill="C6F4F9"/>
          </w:tcPr>
          <w:p>
            <w:pPr>
              <w:ind w:left="20"/>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tcBorders>
              <w:bottom w:val="single" w:sz="8" w:color="C6F4F9"/>
            </w:tcBorders>
            <w:shd w:val="clear" w:color="auto" w:fill="C6F4F9"/>
          </w:tcPr>
          <w:p>
            <w:pPr>
              <w:spacing w:after="0"/>
              <w:rPr>
                <w:sz w:val="21"/>
                <w:szCs w:val="21"/>
                <w:color w:val="auto"/>
              </w:rPr>
            </w:pPr>
          </w:p>
        </w:tc>
        <w:tc>
          <w:tcPr>
            <w:tcW w:w="20" w:type="dxa"/>
            <w:vAlign w:val="bottom"/>
            <w:tcBorders>
              <w:bottom w:val="single" w:sz="8" w:color="C6F4F9"/>
            </w:tcBorders>
            <w:shd w:val="clear" w:color="auto" w:fill="C6F4F9"/>
          </w:tcPr>
          <w:p>
            <w:pPr>
              <w:spacing w:after="0"/>
              <w:rPr>
                <w:sz w:val="21"/>
                <w:szCs w:val="21"/>
                <w:color w:val="auto"/>
              </w:rPr>
            </w:pPr>
          </w:p>
        </w:tc>
        <w:tc>
          <w:tcPr>
            <w:tcW w:w="600" w:type="dxa"/>
            <w:vAlign w:val="bottom"/>
            <w:tcBorders>
              <w:bottom w:val="single" w:sz="8" w:color="C6F4F9"/>
            </w:tcBorders>
            <w:shd w:val="clear" w:color="auto" w:fill="C6F4F9"/>
          </w:tcPr>
          <w:p>
            <w:pPr>
              <w:spacing w:after="0"/>
              <w:rPr>
                <w:sz w:val="21"/>
                <w:szCs w:val="21"/>
                <w:color w:val="auto"/>
              </w:rPr>
            </w:pPr>
          </w:p>
        </w:tc>
        <w:tc>
          <w:tcPr>
            <w:tcW w:w="9980" w:type="dxa"/>
            <w:vAlign w:val="bottom"/>
            <w:tcBorders>
              <w:bottom w:val="single" w:sz="8" w:color="0000FF"/>
            </w:tcBorders>
            <w:gridSpan w:val="25"/>
            <w:shd w:val="clear" w:color="auto" w:fill="C6F4F9"/>
          </w:tcPr>
          <w:p>
            <w:pPr>
              <w:spacing w:after="0"/>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Amended and Restated Articles of Incorporation of the Company. (Incorporated by reference to Exhibit 3.1 of the Current Report on Form</w:t>
              </w:r>
            </w:hyperlink>
          </w:p>
        </w:tc>
        <w:tc>
          <w:tcPr>
            <w:tcW w:w="200" w:type="dxa"/>
            <w:vAlign w:val="bottom"/>
            <w:tcBorders>
              <w:bottom w:val="single" w:sz="8" w:color="C6F4F9"/>
            </w:tcBorders>
            <w:shd w:val="clear" w:color="auto" w:fill="C6F4F9"/>
          </w:tcPr>
          <w:p>
            <w:pPr>
              <w:spacing w:after="0"/>
              <w:rPr>
                <w:sz w:val="21"/>
                <w:szCs w:val="21"/>
                <w:color w:val="auto"/>
              </w:rPr>
            </w:pPr>
          </w:p>
        </w:tc>
        <w:tc>
          <w:tcPr>
            <w:tcW w:w="20" w:type="dxa"/>
            <w:vAlign w:val="bottom"/>
            <w:tcBorders>
              <w:bottom w:val="single" w:sz="8" w:color="C6F4F9"/>
            </w:tcBorders>
            <w:shd w:val="clear" w:color="auto" w:fill="C6F4F9"/>
          </w:tcPr>
          <w:p>
            <w:pPr>
              <w:spacing w:after="0"/>
              <w:rPr>
                <w:sz w:val="21"/>
                <w:szCs w:val="21"/>
                <w:color w:val="auto"/>
              </w:rPr>
            </w:pPr>
          </w:p>
        </w:tc>
        <w:tc>
          <w:tcPr>
            <w:tcW w:w="20" w:type="dxa"/>
            <w:vAlign w:val="bottom"/>
            <w:tcBorders>
              <w:bottom w:val="single" w:sz="8" w:color="C6F4F9"/>
            </w:tcBorders>
            <w:shd w:val="clear" w:color="auto" w:fill="C6F4F9"/>
          </w:tcPr>
          <w:p>
            <w:pPr>
              <w:spacing w:after="0"/>
              <w:rPr>
                <w:sz w:val="21"/>
                <w:szCs w:val="21"/>
                <w:color w:val="auto"/>
              </w:rPr>
            </w:pPr>
          </w:p>
        </w:tc>
        <w:tc>
          <w:tcPr>
            <w:tcW w:w="20" w:type="dxa"/>
            <w:vAlign w:val="bottom"/>
            <w:tcBorders>
              <w:bottom w:val="single" w:sz="8" w:color="C6F4F9"/>
            </w:tcBorders>
            <w:shd w:val="clear" w:color="auto" w:fill="C6F4F9"/>
          </w:tcPr>
          <w:p>
            <w:pPr>
              <w:spacing w:after="0"/>
              <w:rPr>
                <w:sz w:val="21"/>
                <w:szCs w:val="21"/>
                <w:color w:val="auto"/>
              </w:rPr>
            </w:pPr>
          </w:p>
        </w:tc>
        <w:tc>
          <w:tcPr>
            <w:tcW w:w="20" w:type="dxa"/>
            <w:vAlign w:val="bottom"/>
            <w:tcBorders>
              <w:bottom w:val="single" w:sz="8" w:color="C6F4F9"/>
            </w:tcBorders>
            <w:shd w:val="clear" w:color="auto" w:fill="C6F4F9"/>
          </w:tcPr>
          <w:p>
            <w:pPr>
              <w:spacing w:after="0"/>
              <w:rPr>
                <w:sz w:val="21"/>
                <w:szCs w:val="21"/>
                <w:color w:val="auto"/>
              </w:rPr>
            </w:pPr>
          </w:p>
        </w:tc>
        <w:tc>
          <w:tcPr>
            <w:tcW w:w="20" w:type="dxa"/>
            <w:vAlign w:val="bottom"/>
            <w:tcBorders>
              <w:bottom w:val="single" w:sz="8" w:color="C6F4F9"/>
            </w:tcBorders>
            <w:shd w:val="clear" w:color="auto" w:fill="C6F4F9"/>
          </w:tcPr>
          <w:p>
            <w:pPr>
              <w:spacing w:after="0"/>
              <w:rPr>
                <w:sz w:val="21"/>
                <w:szCs w:val="21"/>
                <w:color w:val="auto"/>
              </w:rPr>
            </w:pPr>
          </w:p>
        </w:tc>
        <w:tc>
          <w:tcPr>
            <w:tcW w:w="20" w:type="dxa"/>
            <w:vAlign w:val="bottom"/>
            <w:tcBorders>
              <w:bottom w:val="single" w:sz="8" w:color="C6F4F9"/>
            </w:tcBorders>
            <w:shd w:val="clear" w:color="auto" w:fill="C6F4F9"/>
          </w:tcPr>
          <w:p>
            <w:pPr>
              <w:spacing w:after="0"/>
              <w:rPr>
                <w:sz w:val="21"/>
                <w:szCs w:val="21"/>
                <w:color w:val="auto"/>
              </w:rPr>
            </w:pPr>
          </w:p>
        </w:tc>
        <w:tc>
          <w:tcPr>
            <w:tcW w:w="20" w:type="dxa"/>
            <w:vAlign w:val="bottom"/>
            <w:tcBorders>
              <w:bottom w:val="single" w:sz="8" w:color="C6F4F9"/>
            </w:tcBorders>
            <w:shd w:val="clear" w:color="auto" w:fill="C6F4F9"/>
          </w:tcPr>
          <w:p>
            <w:pPr>
              <w:spacing w:after="0"/>
              <w:rPr>
                <w:sz w:val="21"/>
                <w:szCs w:val="21"/>
                <w:color w:val="auto"/>
              </w:rPr>
            </w:pPr>
          </w:p>
        </w:tc>
        <w:tc>
          <w:tcPr>
            <w:tcW w:w="20" w:type="dxa"/>
            <w:vAlign w:val="bottom"/>
            <w:tcBorders>
              <w:bottom w:val="single" w:sz="8" w:color="C6F4F9"/>
            </w:tcBorders>
            <w:shd w:val="clear" w:color="auto" w:fill="C6F4F9"/>
          </w:tcPr>
          <w:p>
            <w:pPr>
              <w:spacing w:after="0"/>
              <w:rPr>
                <w:sz w:val="21"/>
                <w:szCs w:val="21"/>
                <w:color w:val="auto"/>
              </w:rPr>
            </w:pPr>
          </w:p>
        </w:tc>
        <w:tc>
          <w:tcPr>
            <w:tcW w:w="20" w:type="dxa"/>
            <w:vAlign w:val="bottom"/>
            <w:tcBorders>
              <w:bottom w:val="single" w:sz="8" w:color="C6F4F9"/>
            </w:tcBorders>
            <w:shd w:val="clear" w:color="auto" w:fill="C6F4F9"/>
          </w:tcPr>
          <w:p>
            <w:pPr>
              <w:spacing w:after="0"/>
              <w:rPr>
                <w:sz w:val="21"/>
                <w:szCs w:val="21"/>
                <w:color w:val="auto"/>
              </w:rPr>
            </w:pPr>
          </w:p>
        </w:tc>
        <w:tc>
          <w:tcPr>
            <w:tcW w:w="20" w:type="dxa"/>
            <w:vAlign w:val="bottom"/>
            <w:tcBorders>
              <w:bottom w:val="single" w:sz="8" w:color="C6F4F9"/>
            </w:tcBorders>
            <w:shd w:val="clear" w:color="auto" w:fill="C6F4F9"/>
          </w:tcPr>
          <w:p>
            <w:pPr>
              <w:spacing w:after="0"/>
              <w:rPr>
                <w:sz w:val="21"/>
                <w:szCs w:val="21"/>
                <w:color w:val="auto"/>
              </w:rPr>
            </w:pPr>
          </w:p>
        </w:tc>
        <w:tc>
          <w:tcPr>
            <w:tcW w:w="20" w:type="dxa"/>
            <w:vAlign w:val="bottom"/>
            <w:tcBorders>
              <w:bottom w:val="single" w:sz="8" w:color="C6F4F9"/>
            </w:tcBorders>
            <w:shd w:val="clear" w:color="auto" w:fill="C6F4F9"/>
          </w:tcPr>
          <w:p>
            <w:pPr>
              <w:spacing w:after="0"/>
              <w:rPr>
                <w:sz w:val="21"/>
                <w:szCs w:val="21"/>
                <w:color w:val="auto"/>
              </w:rPr>
            </w:pPr>
          </w:p>
        </w:tc>
        <w:tc>
          <w:tcPr>
            <w:tcW w:w="20" w:type="dxa"/>
            <w:vAlign w:val="bottom"/>
            <w:tcBorders>
              <w:bottom w:val="single" w:sz="8" w:color="C6F4F9"/>
            </w:tcBorders>
            <w:shd w:val="clear" w:color="auto" w:fill="C6F4F9"/>
          </w:tcPr>
          <w:p>
            <w:pPr>
              <w:spacing w:after="0"/>
              <w:rPr>
                <w:sz w:val="21"/>
                <w:szCs w:val="21"/>
                <w:color w:val="auto"/>
              </w:rPr>
            </w:pPr>
          </w:p>
        </w:tc>
      </w:tr>
      <w:tr>
        <w:trPr>
          <w:trHeight w:val="136"/>
        </w:trPr>
        <w:tc>
          <w:tcPr>
            <w:tcW w:w="20" w:type="dxa"/>
            <w:vAlign w:val="bottom"/>
            <w:tcBorders>
              <w:top w:val="single" w:sz="8" w:color="C6F4F9"/>
            </w:tcBorders>
            <w:shd w:val="clear" w:color="auto" w:fill="C6F4F9"/>
          </w:tcPr>
          <w:p>
            <w:pPr>
              <w:spacing w:after="0"/>
              <w:rPr>
                <w:sz w:val="11"/>
                <w:szCs w:val="11"/>
                <w:color w:val="auto"/>
              </w:rPr>
            </w:pPr>
          </w:p>
        </w:tc>
        <w:tc>
          <w:tcPr>
            <w:tcW w:w="240" w:type="dxa"/>
            <w:vAlign w:val="bottom"/>
            <w:tcBorders>
              <w:top w:val="single" w:sz="8" w:color="0000FF"/>
            </w:tcBorders>
            <w:shd w:val="clear" w:color="auto" w:fill="C6F4F9"/>
          </w:tcPr>
          <w:p>
            <w:pPr>
              <w:spacing w:after="0"/>
              <w:rPr>
                <w:sz w:val="11"/>
                <w:szCs w:val="11"/>
                <w:color w:val="auto"/>
              </w:rPr>
            </w:pPr>
          </w:p>
        </w:tc>
        <w:tc>
          <w:tcPr>
            <w:tcW w:w="80" w:type="dxa"/>
            <w:vAlign w:val="bottom"/>
            <w:tcBorders>
              <w:top w:val="single" w:sz="8" w:color="C6F4F9"/>
            </w:tcBorders>
            <w:shd w:val="clear" w:color="auto" w:fill="C6F4F9"/>
          </w:tcPr>
          <w:p>
            <w:pPr>
              <w:spacing w:after="0"/>
              <w:rPr>
                <w:sz w:val="11"/>
                <w:szCs w:val="11"/>
                <w:color w:val="auto"/>
              </w:rPr>
            </w:pPr>
          </w:p>
        </w:tc>
        <w:tc>
          <w:tcPr>
            <w:tcW w:w="8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600" w:type="dxa"/>
            <w:vAlign w:val="bottom"/>
            <w:tcBorders>
              <w:top w:val="single" w:sz="8" w:color="C6F4F9"/>
            </w:tcBorders>
            <w:shd w:val="clear" w:color="auto" w:fill="C6F4F9"/>
          </w:tcPr>
          <w:p>
            <w:pPr>
              <w:spacing w:after="0"/>
              <w:rPr>
                <w:sz w:val="11"/>
                <w:szCs w:val="11"/>
                <w:color w:val="auto"/>
              </w:rPr>
            </w:pPr>
          </w:p>
        </w:tc>
        <w:tc>
          <w:tcPr>
            <w:tcW w:w="9980" w:type="dxa"/>
            <w:vAlign w:val="bottom"/>
            <w:tcBorders>
              <w:top w:val="single" w:sz="8" w:color="C6F4F9"/>
            </w:tcBorders>
            <w:gridSpan w:val="25"/>
            <w:shd w:val="clear" w:color="auto" w:fill="C6F4F9"/>
          </w:tcPr>
          <w:p>
            <w:pPr>
              <w:spacing w:after="0" w:line="136" w:lineRule="exact"/>
              <w:rPr>
                <w:rFonts w:ascii="Times New Roman" w:cs="Times New Roman" w:eastAsia="Times New Roman" w:hAnsi="Times New Roman"/>
                <w:sz w:val="15"/>
                <w:szCs w:val="15"/>
                <w:color w:val="0000FF"/>
              </w:rPr>
            </w:pPr>
            <w:hyperlink r:id="rId46">
              <w:r>
                <w:rPr>
                  <w:rFonts w:ascii="Times New Roman" w:cs="Times New Roman" w:eastAsia="Times New Roman" w:hAnsi="Times New Roman"/>
                  <w:sz w:val="15"/>
                  <w:szCs w:val="15"/>
                  <w:color w:val="0000FF"/>
                </w:rPr>
                <w:t>10-Q/A (Amendment No. 1) of Daktronics, Inc. filed on December 21, 2018).</w:t>
              </w:r>
            </w:hyperlink>
          </w:p>
        </w:tc>
        <w:tc>
          <w:tcPr>
            <w:tcW w:w="20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c>
          <w:tcPr>
            <w:tcW w:w="20" w:type="dxa"/>
            <w:vAlign w:val="bottom"/>
            <w:tcBorders>
              <w:top w:val="single" w:sz="8" w:color="C6F4F9"/>
            </w:tcBorders>
            <w:shd w:val="clear" w:color="auto" w:fill="C6F4F9"/>
          </w:tcPr>
          <w:p>
            <w:pPr>
              <w:spacing w:after="0"/>
              <w:rPr>
                <w:sz w:val="11"/>
                <w:szCs w:val="11"/>
                <w:color w:val="auto"/>
              </w:rPr>
            </w:pPr>
          </w:p>
        </w:tc>
      </w:tr>
      <w:tr>
        <w:trPr>
          <w:trHeight w:val="34"/>
        </w:trPr>
        <w:tc>
          <w:tcPr>
            <w:tcW w:w="20" w:type="dxa"/>
            <w:vAlign w:val="bottom"/>
            <w:tcBorders>
              <w:top w:val="single" w:sz="8" w:color="C6F4F9"/>
            </w:tcBorders>
            <w:shd w:val="clear" w:color="auto" w:fill="C6F4F9"/>
          </w:tcPr>
          <w:p>
            <w:pPr>
              <w:spacing w:after="0"/>
              <w:rPr>
                <w:sz w:val="2"/>
                <w:szCs w:val="2"/>
                <w:color w:val="auto"/>
              </w:rPr>
            </w:pPr>
          </w:p>
        </w:tc>
        <w:tc>
          <w:tcPr>
            <w:tcW w:w="240" w:type="dxa"/>
            <w:vAlign w:val="bottom"/>
            <w:tcBorders>
              <w:top w:val="single" w:sz="8" w:color="C6F4F9"/>
            </w:tcBorders>
            <w:shd w:val="clear" w:color="auto" w:fill="C6F4F9"/>
          </w:tcPr>
          <w:p>
            <w:pPr>
              <w:spacing w:after="0"/>
              <w:rPr>
                <w:sz w:val="2"/>
                <w:szCs w:val="2"/>
                <w:color w:val="auto"/>
              </w:rPr>
            </w:pPr>
          </w:p>
        </w:tc>
        <w:tc>
          <w:tcPr>
            <w:tcW w:w="80" w:type="dxa"/>
            <w:vAlign w:val="bottom"/>
            <w:tcBorders>
              <w:top w:val="single" w:sz="8" w:color="C6F4F9"/>
            </w:tcBorders>
            <w:shd w:val="clear" w:color="auto" w:fill="C6F4F9"/>
          </w:tcPr>
          <w:p>
            <w:pPr>
              <w:spacing w:after="0"/>
              <w:rPr>
                <w:sz w:val="2"/>
                <w:szCs w:val="2"/>
                <w:color w:val="auto"/>
              </w:rPr>
            </w:pPr>
          </w:p>
        </w:tc>
        <w:tc>
          <w:tcPr>
            <w:tcW w:w="8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60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1080" w:type="dxa"/>
            <w:vAlign w:val="bottom"/>
            <w:tcBorders>
              <w:top w:val="single" w:sz="8" w:color="0000FF"/>
            </w:tcBorders>
            <w:shd w:val="clear" w:color="auto" w:fill="C6F4F9"/>
          </w:tcPr>
          <w:p>
            <w:pPr>
              <w:spacing w:after="0"/>
              <w:rPr>
                <w:sz w:val="2"/>
                <w:szCs w:val="2"/>
                <w:color w:val="auto"/>
              </w:rPr>
            </w:pPr>
          </w:p>
        </w:tc>
        <w:tc>
          <w:tcPr>
            <w:tcW w:w="1340" w:type="dxa"/>
            <w:vAlign w:val="bottom"/>
            <w:tcBorders>
              <w:top w:val="single" w:sz="8" w:color="0000FF"/>
            </w:tcBorders>
            <w:shd w:val="clear" w:color="auto" w:fill="C6F4F9"/>
          </w:tcPr>
          <w:p>
            <w:pPr>
              <w:spacing w:after="0"/>
              <w:rPr>
                <w:sz w:val="2"/>
                <w:szCs w:val="2"/>
                <w:color w:val="auto"/>
              </w:rPr>
            </w:pPr>
          </w:p>
        </w:tc>
        <w:tc>
          <w:tcPr>
            <w:tcW w:w="760" w:type="dxa"/>
            <w:vAlign w:val="bottom"/>
            <w:tcBorders>
              <w:top w:val="single" w:sz="8" w:color="0000FF"/>
            </w:tcBorders>
            <w:shd w:val="clear" w:color="auto" w:fill="C6F4F9"/>
          </w:tcPr>
          <w:p>
            <w:pPr>
              <w:spacing w:after="0"/>
              <w:rPr>
                <w:sz w:val="2"/>
                <w:szCs w:val="2"/>
                <w:color w:val="auto"/>
              </w:rPr>
            </w:pPr>
          </w:p>
        </w:tc>
        <w:tc>
          <w:tcPr>
            <w:tcW w:w="520" w:type="dxa"/>
            <w:vAlign w:val="bottom"/>
            <w:tcBorders>
              <w:top w:val="single" w:sz="8" w:color="0000FF"/>
            </w:tcBorders>
            <w:shd w:val="clear" w:color="auto" w:fill="C6F4F9"/>
          </w:tcPr>
          <w:p>
            <w:pPr>
              <w:spacing w:after="0"/>
              <w:rPr>
                <w:sz w:val="2"/>
                <w:szCs w:val="2"/>
                <w:color w:val="auto"/>
              </w:rPr>
            </w:pPr>
          </w:p>
        </w:tc>
        <w:tc>
          <w:tcPr>
            <w:tcW w:w="720" w:type="dxa"/>
            <w:vAlign w:val="bottom"/>
            <w:tcBorders>
              <w:top w:val="single" w:sz="8" w:color="0000FF"/>
            </w:tcBorders>
            <w:shd w:val="clear" w:color="auto" w:fill="C6F4F9"/>
          </w:tcPr>
          <w:p>
            <w:pPr>
              <w:spacing w:after="0"/>
              <w:rPr>
                <w:sz w:val="2"/>
                <w:szCs w:val="2"/>
                <w:color w:val="auto"/>
              </w:rPr>
            </w:pPr>
          </w:p>
        </w:tc>
        <w:tc>
          <w:tcPr>
            <w:tcW w:w="740" w:type="dxa"/>
            <w:vAlign w:val="bottom"/>
            <w:tcBorders>
              <w:top w:val="single" w:sz="8" w:color="0000FF"/>
            </w:tcBorders>
            <w:shd w:val="clear" w:color="auto" w:fill="C6F4F9"/>
          </w:tcPr>
          <w:p>
            <w:pPr>
              <w:spacing w:after="0"/>
              <w:rPr>
                <w:sz w:val="2"/>
                <w:szCs w:val="2"/>
                <w:color w:val="auto"/>
              </w:rPr>
            </w:pPr>
          </w:p>
        </w:tc>
        <w:tc>
          <w:tcPr>
            <w:tcW w:w="200" w:type="dxa"/>
            <w:vAlign w:val="bottom"/>
            <w:tcBorders>
              <w:top w:val="single" w:sz="8" w:color="0000FF"/>
            </w:tcBorders>
            <w:shd w:val="clear" w:color="auto" w:fill="C6F4F9"/>
          </w:tcPr>
          <w:p>
            <w:pPr>
              <w:spacing w:after="0"/>
              <w:rPr>
                <w:sz w:val="2"/>
                <w:szCs w:val="2"/>
                <w:color w:val="auto"/>
              </w:rPr>
            </w:pPr>
          </w:p>
        </w:tc>
        <w:tc>
          <w:tcPr>
            <w:tcW w:w="220" w:type="dxa"/>
            <w:vAlign w:val="bottom"/>
            <w:tcBorders>
              <w:top w:val="single" w:sz="8" w:color="0000FF"/>
            </w:tcBorders>
            <w:shd w:val="clear" w:color="auto" w:fill="C6F4F9"/>
          </w:tcPr>
          <w:p>
            <w:pPr>
              <w:spacing w:after="0"/>
              <w:rPr>
                <w:sz w:val="2"/>
                <w:szCs w:val="2"/>
                <w:color w:val="auto"/>
              </w:rPr>
            </w:pPr>
          </w:p>
        </w:tc>
        <w:tc>
          <w:tcPr>
            <w:tcW w:w="40" w:type="dxa"/>
            <w:vAlign w:val="bottom"/>
            <w:tcBorders>
              <w:top w:val="single" w:sz="8" w:color="C6F4F9"/>
            </w:tcBorders>
            <w:shd w:val="clear" w:color="auto" w:fill="C6F4F9"/>
          </w:tcPr>
          <w:p>
            <w:pPr>
              <w:spacing w:after="0"/>
              <w:rPr>
                <w:sz w:val="2"/>
                <w:szCs w:val="2"/>
                <w:color w:val="auto"/>
              </w:rPr>
            </w:pPr>
          </w:p>
        </w:tc>
        <w:tc>
          <w:tcPr>
            <w:tcW w:w="760" w:type="dxa"/>
            <w:vAlign w:val="bottom"/>
            <w:tcBorders>
              <w:top w:val="single" w:sz="8" w:color="C6F4F9"/>
            </w:tcBorders>
            <w:shd w:val="clear" w:color="auto" w:fill="C6F4F9"/>
          </w:tcPr>
          <w:p>
            <w:pPr>
              <w:spacing w:after="0"/>
              <w:rPr>
                <w:sz w:val="2"/>
                <w:szCs w:val="2"/>
                <w:color w:val="auto"/>
              </w:rPr>
            </w:pPr>
          </w:p>
        </w:tc>
        <w:tc>
          <w:tcPr>
            <w:tcW w:w="1220" w:type="dxa"/>
            <w:vAlign w:val="bottom"/>
            <w:tcBorders>
              <w:top w:val="single" w:sz="8" w:color="C6F4F9"/>
            </w:tcBorders>
            <w:shd w:val="clear" w:color="auto" w:fill="C6F4F9"/>
          </w:tcPr>
          <w:p>
            <w:pPr>
              <w:spacing w:after="0"/>
              <w:rPr>
                <w:sz w:val="2"/>
                <w:szCs w:val="2"/>
                <w:color w:val="auto"/>
              </w:rPr>
            </w:pPr>
          </w:p>
        </w:tc>
        <w:tc>
          <w:tcPr>
            <w:tcW w:w="220" w:type="dxa"/>
            <w:vAlign w:val="bottom"/>
            <w:tcBorders>
              <w:top w:val="single" w:sz="8" w:color="C6F4F9"/>
            </w:tcBorders>
            <w:shd w:val="clear" w:color="auto" w:fill="C6F4F9"/>
          </w:tcPr>
          <w:p>
            <w:pPr>
              <w:spacing w:after="0"/>
              <w:rPr>
                <w:sz w:val="2"/>
                <w:szCs w:val="2"/>
                <w:color w:val="auto"/>
              </w:rPr>
            </w:pPr>
          </w:p>
        </w:tc>
        <w:tc>
          <w:tcPr>
            <w:tcW w:w="140" w:type="dxa"/>
            <w:vAlign w:val="bottom"/>
            <w:tcBorders>
              <w:top w:val="single" w:sz="8" w:color="C6F4F9"/>
            </w:tcBorders>
            <w:shd w:val="clear" w:color="auto" w:fill="C6F4F9"/>
          </w:tcPr>
          <w:p>
            <w:pPr>
              <w:spacing w:after="0"/>
              <w:rPr>
                <w:sz w:val="2"/>
                <w:szCs w:val="2"/>
                <w:color w:val="auto"/>
              </w:rPr>
            </w:pPr>
          </w:p>
        </w:tc>
        <w:tc>
          <w:tcPr>
            <w:tcW w:w="140" w:type="dxa"/>
            <w:vAlign w:val="bottom"/>
            <w:tcBorders>
              <w:top w:val="single" w:sz="8" w:color="C6F4F9"/>
            </w:tcBorders>
            <w:shd w:val="clear" w:color="auto" w:fill="C6F4F9"/>
          </w:tcPr>
          <w:p>
            <w:pPr>
              <w:spacing w:after="0"/>
              <w:rPr>
                <w:sz w:val="2"/>
                <w:szCs w:val="2"/>
                <w:color w:val="auto"/>
              </w:rPr>
            </w:pPr>
          </w:p>
        </w:tc>
        <w:tc>
          <w:tcPr>
            <w:tcW w:w="140" w:type="dxa"/>
            <w:vAlign w:val="bottom"/>
            <w:tcBorders>
              <w:top w:val="single" w:sz="8" w:color="C6F4F9"/>
            </w:tcBorders>
            <w:shd w:val="clear" w:color="auto" w:fill="C6F4F9"/>
          </w:tcPr>
          <w:p>
            <w:pPr>
              <w:spacing w:after="0"/>
              <w:rPr>
                <w:sz w:val="2"/>
                <w:szCs w:val="2"/>
                <w:color w:val="auto"/>
              </w:rPr>
            </w:pPr>
          </w:p>
        </w:tc>
        <w:tc>
          <w:tcPr>
            <w:tcW w:w="100" w:type="dxa"/>
            <w:vAlign w:val="bottom"/>
            <w:tcBorders>
              <w:top w:val="single" w:sz="8" w:color="C6F4F9"/>
            </w:tcBorders>
            <w:shd w:val="clear" w:color="auto" w:fill="C6F4F9"/>
          </w:tcPr>
          <w:p>
            <w:pPr>
              <w:spacing w:after="0"/>
              <w:rPr>
                <w:sz w:val="2"/>
                <w:szCs w:val="2"/>
                <w:color w:val="auto"/>
              </w:rPr>
            </w:pPr>
          </w:p>
        </w:tc>
        <w:tc>
          <w:tcPr>
            <w:tcW w:w="960" w:type="dxa"/>
            <w:vAlign w:val="bottom"/>
            <w:tcBorders>
              <w:top w:val="single" w:sz="8" w:color="C6F4F9"/>
            </w:tcBorders>
            <w:shd w:val="clear" w:color="auto" w:fill="C6F4F9"/>
          </w:tcPr>
          <w:p>
            <w:pPr>
              <w:spacing w:after="0"/>
              <w:rPr>
                <w:sz w:val="2"/>
                <w:szCs w:val="2"/>
                <w:color w:val="auto"/>
              </w:rPr>
            </w:pPr>
          </w:p>
        </w:tc>
        <w:tc>
          <w:tcPr>
            <w:tcW w:w="60" w:type="dxa"/>
            <w:vAlign w:val="bottom"/>
            <w:tcBorders>
              <w:top w:val="single" w:sz="8" w:color="C6F4F9"/>
            </w:tcBorders>
            <w:shd w:val="clear" w:color="auto" w:fill="C6F4F9"/>
          </w:tcPr>
          <w:p>
            <w:pPr>
              <w:spacing w:after="0"/>
              <w:rPr>
                <w:sz w:val="2"/>
                <w:szCs w:val="2"/>
                <w:color w:val="auto"/>
              </w:rPr>
            </w:pPr>
          </w:p>
        </w:tc>
        <w:tc>
          <w:tcPr>
            <w:tcW w:w="18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18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180" w:type="dxa"/>
            <w:vAlign w:val="bottom"/>
            <w:tcBorders>
              <w:top w:val="single" w:sz="8" w:color="C6F4F9"/>
            </w:tcBorders>
            <w:shd w:val="clear" w:color="auto" w:fill="C6F4F9"/>
          </w:tcPr>
          <w:p>
            <w:pPr>
              <w:spacing w:after="0"/>
              <w:rPr>
                <w:sz w:val="2"/>
                <w:szCs w:val="2"/>
                <w:color w:val="auto"/>
              </w:rPr>
            </w:pPr>
          </w:p>
        </w:tc>
        <w:tc>
          <w:tcPr>
            <w:tcW w:w="20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r>
      <w:tr>
        <w:trPr>
          <w:trHeight w:val="203"/>
        </w:trPr>
        <w:tc>
          <w:tcPr>
            <w:tcW w:w="340" w:type="dxa"/>
            <w:vAlign w:val="bottom"/>
            <w:gridSpan w:val="3"/>
          </w:tcPr>
          <w:p>
            <w:pPr>
              <w:ind w:left="20"/>
              <w:spacing w:after="0" w:line="202"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20" w:type="dxa"/>
            <w:vAlign w:val="bottom"/>
            <w:gridSpan w:val="38"/>
          </w:tcPr>
          <w:p>
            <w:pPr>
              <w:spacing w:after="0" w:line="202"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Amended and Restated Bylaws of the Company (Incorporated by reference to Exhibit 3.4 filed with our Annual Report on Form 10-K on</w:t>
              </w:r>
            </w:hyperlink>
          </w:p>
        </w:tc>
      </w:tr>
      <w:tr>
        <w:trPr>
          <w:trHeight w:val="182"/>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20" w:type="dxa"/>
            <w:vAlign w:val="bottom"/>
            <w:tcBorders>
              <w:top w:val="single" w:sz="8" w:color="0000EE"/>
            </w:tcBorders>
            <w:gridSpan w:val="33"/>
          </w:tcPr>
          <w:p>
            <w:pPr>
              <w:spacing w:after="0" w:line="182"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June 12, 2013).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340" w:type="dxa"/>
            <w:vAlign w:val="bottom"/>
            <w:gridSpan w:val="3"/>
            <w:shd w:val="clear" w:color="auto" w:fill="C6F4F9"/>
          </w:tcPr>
          <w:p>
            <w:pPr>
              <w:ind w:left="20"/>
              <w:spacing w:after="0" w:line="202"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80" w:type="dxa"/>
            <w:vAlign w:val="bottom"/>
            <w:shd w:val="clear" w:color="auto" w:fill="C6F4F9"/>
          </w:tcPr>
          <w:p>
            <w:pPr>
              <w:spacing w:after="0"/>
              <w:rPr>
                <w:sz w:val="17"/>
                <w:szCs w:val="17"/>
                <w:color w:val="auto"/>
              </w:rPr>
            </w:pPr>
          </w:p>
        </w:tc>
        <w:tc>
          <w:tcPr>
            <w:tcW w:w="2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0420" w:type="dxa"/>
            <w:vAlign w:val="bottom"/>
            <w:gridSpan w:val="38"/>
            <w:shd w:val="clear" w:color="auto" w:fill="C6F4F9"/>
          </w:tcPr>
          <w:p>
            <w:pPr>
              <w:spacing w:after="0" w:line="202"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Rights Agreement dated as of November 16, 2018 between Daktronics, Inc. and Equiniti Trust Company, as Rights Agent (Incorporated by</w:t>
              </w:r>
            </w:hyperlink>
          </w:p>
        </w:tc>
      </w:tr>
      <w:tr>
        <w:trPr>
          <w:trHeight w:val="183"/>
        </w:trPr>
        <w:tc>
          <w:tcPr>
            <w:tcW w:w="20" w:type="dxa"/>
            <w:vAlign w:val="bottom"/>
            <w:tcBorders>
              <w:top w:val="single" w:sz="8" w:color="C6F4F9"/>
            </w:tcBorders>
            <w:shd w:val="clear" w:color="auto" w:fill="C6F4F9"/>
          </w:tcPr>
          <w:p>
            <w:pPr>
              <w:spacing w:after="0"/>
              <w:rPr>
                <w:sz w:val="15"/>
                <w:szCs w:val="15"/>
                <w:color w:val="auto"/>
              </w:rPr>
            </w:pPr>
          </w:p>
        </w:tc>
        <w:tc>
          <w:tcPr>
            <w:tcW w:w="240" w:type="dxa"/>
            <w:vAlign w:val="bottom"/>
            <w:tcBorders>
              <w:top w:val="single" w:sz="8" w:color="0000FF"/>
            </w:tcBorders>
            <w:shd w:val="clear" w:color="auto" w:fill="C6F4F9"/>
          </w:tcPr>
          <w:p>
            <w:pPr>
              <w:spacing w:after="0"/>
              <w:rPr>
                <w:sz w:val="15"/>
                <w:szCs w:val="15"/>
                <w:color w:val="auto"/>
              </w:rPr>
            </w:pPr>
          </w:p>
        </w:tc>
        <w:tc>
          <w:tcPr>
            <w:tcW w:w="80" w:type="dxa"/>
            <w:vAlign w:val="bottom"/>
            <w:tcBorders>
              <w:top w:val="single" w:sz="8" w:color="C6F4F9"/>
            </w:tcBorders>
            <w:shd w:val="clear" w:color="auto" w:fill="C6F4F9"/>
          </w:tcPr>
          <w:p>
            <w:pPr>
              <w:spacing w:after="0"/>
              <w:rPr>
                <w:sz w:val="15"/>
                <w:szCs w:val="15"/>
                <w:color w:val="auto"/>
              </w:rPr>
            </w:pPr>
          </w:p>
        </w:tc>
        <w:tc>
          <w:tcPr>
            <w:tcW w:w="8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60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10300" w:type="dxa"/>
            <w:vAlign w:val="bottom"/>
            <w:tcBorders>
              <w:top w:val="single" w:sz="8" w:color="0000EE"/>
            </w:tcBorders>
            <w:gridSpan w:val="32"/>
            <w:shd w:val="clear" w:color="auto" w:fill="C6F4F9"/>
          </w:tcPr>
          <w:p>
            <w:pPr>
              <w:spacing w:after="0" w:line="182"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reference to Exhibit 4.1 of the Current Report on Form 8-K of Daktronics, Inc. filed on November 16, 2018).</w:t>
              </w:r>
            </w:hyperlink>
          </w:p>
        </w:tc>
        <w:tc>
          <w:tcPr>
            <w:tcW w:w="2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r>
      <w:tr>
        <w:trPr>
          <w:trHeight w:val="48"/>
        </w:trPr>
        <w:tc>
          <w:tcPr>
            <w:tcW w:w="20" w:type="dxa"/>
            <w:vAlign w:val="bottom"/>
            <w:tcBorders>
              <w:top w:val="single" w:sz="8" w:color="C6F4F9"/>
            </w:tcBorders>
            <w:shd w:val="clear" w:color="auto" w:fill="C6F4F9"/>
          </w:tcPr>
          <w:p>
            <w:pPr>
              <w:spacing w:after="0"/>
              <w:rPr>
                <w:sz w:val="4"/>
                <w:szCs w:val="4"/>
                <w:color w:val="auto"/>
              </w:rPr>
            </w:pPr>
          </w:p>
        </w:tc>
        <w:tc>
          <w:tcPr>
            <w:tcW w:w="240" w:type="dxa"/>
            <w:vAlign w:val="bottom"/>
            <w:tcBorders>
              <w:top w:val="single" w:sz="8" w:color="C6F4F9"/>
            </w:tcBorders>
            <w:shd w:val="clear" w:color="auto" w:fill="C6F4F9"/>
          </w:tcPr>
          <w:p>
            <w:pPr>
              <w:spacing w:after="0"/>
              <w:rPr>
                <w:sz w:val="4"/>
                <w:szCs w:val="4"/>
                <w:color w:val="auto"/>
              </w:rPr>
            </w:pPr>
          </w:p>
        </w:tc>
        <w:tc>
          <w:tcPr>
            <w:tcW w:w="80" w:type="dxa"/>
            <w:vAlign w:val="bottom"/>
            <w:tcBorders>
              <w:top w:val="single" w:sz="8" w:color="C6F4F9"/>
            </w:tcBorders>
            <w:shd w:val="clear" w:color="auto" w:fill="C6F4F9"/>
          </w:tcPr>
          <w:p>
            <w:pPr>
              <w:spacing w:after="0"/>
              <w:rPr>
                <w:sz w:val="4"/>
                <w:szCs w:val="4"/>
                <w:color w:val="auto"/>
              </w:rPr>
            </w:pPr>
          </w:p>
        </w:tc>
        <w:tc>
          <w:tcPr>
            <w:tcW w:w="8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60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080" w:type="dxa"/>
            <w:vAlign w:val="bottom"/>
            <w:tcBorders>
              <w:top w:val="single" w:sz="8" w:color="0000EE"/>
            </w:tcBorders>
            <w:shd w:val="clear" w:color="auto" w:fill="C6F4F9"/>
          </w:tcPr>
          <w:p>
            <w:pPr>
              <w:spacing w:after="0"/>
              <w:rPr>
                <w:sz w:val="4"/>
                <w:szCs w:val="4"/>
                <w:color w:val="auto"/>
              </w:rPr>
            </w:pPr>
          </w:p>
        </w:tc>
        <w:tc>
          <w:tcPr>
            <w:tcW w:w="1340" w:type="dxa"/>
            <w:vAlign w:val="bottom"/>
            <w:tcBorders>
              <w:top w:val="single" w:sz="8" w:color="0000EE"/>
            </w:tcBorders>
            <w:shd w:val="clear" w:color="auto" w:fill="C6F4F9"/>
          </w:tcPr>
          <w:p>
            <w:pPr>
              <w:spacing w:after="0"/>
              <w:rPr>
                <w:sz w:val="4"/>
                <w:szCs w:val="4"/>
                <w:color w:val="auto"/>
              </w:rPr>
            </w:pPr>
          </w:p>
        </w:tc>
        <w:tc>
          <w:tcPr>
            <w:tcW w:w="760" w:type="dxa"/>
            <w:vAlign w:val="bottom"/>
            <w:tcBorders>
              <w:top w:val="single" w:sz="8" w:color="0000EE"/>
            </w:tcBorders>
            <w:shd w:val="clear" w:color="auto" w:fill="C6F4F9"/>
          </w:tcPr>
          <w:p>
            <w:pPr>
              <w:spacing w:after="0"/>
              <w:rPr>
                <w:sz w:val="4"/>
                <w:szCs w:val="4"/>
                <w:color w:val="auto"/>
              </w:rPr>
            </w:pPr>
          </w:p>
        </w:tc>
        <w:tc>
          <w:tcPr>
            <w:tcW w:w="520" w:type="dxa"/>
            <w:vAlign w:val="bottom"/>
            <w:tcBorders>
              <w:top w:val="single" w:sz="8" w:color="0000EE"/>
            </w:tcBorders>
            <w:shd w:val="clear" w:color="auto" w:fill="C6F4F9"/>
          </w:tcPr>
          <w:p>
            <w:pPr>
              <w:spacing w:after="0"/>
              <w:rPr>
                <w:sz w:val="4"/>
                <w:szCs w:val="4"/>
                <w:color w:val="auto"/>
              </w:rPr>
            </w:pPr>
          </w:p>
        </w:tc>
        <w:tc>
          <w:tcPr>
            <w:tcW w:w="720" w:type="dxa"/>
            <w:vAlign w:val="bottom"/>
            <w:tcBorders>
              <w:top w:val="single" w:sz="8" w:color="0000EE"/>
            </w:tcBorders>
            <w:shd w:val="clear" w:color="auto" w:fill="C6F4F9"/>
          </w:tcPr>
          <w:p>
            <w:pPr>
              <w:spacing w:after="0"/>
              <w:rPr>
                <w:sz w:val="4"/>
                <w:szCs w:val="4"/>
                <w:color w:val="auto"/>
              </w:rPr>
            </w:pPr>
          </w:p>
        </w:tc>
        <w:tc>
          <w:tcPr>
            <w:tcW w:w="740" w:type="dxa"/>
            <w:vAlign w:val="bottom"/>
            <w:tcBorders>
              <w:top w:val="single" w:sz="8" w:color="0000EE"/>
            </w:tcBorders>
            <w:shd w:val="clear" w:color="auto" w:fill="C6F4F9"/>
          </w:tcPr>
          <w:p>
            <w:pPr>
              <w:spacing w:after="0"/>
              <w:rPr>
                <w:sz w:val="4"/>
                <w:szCs w:val="4"/>
                <w:color w:val="auto"/>
              </w:rPr>
            </w:pPr>
          </w:p>
        </w:tc>
        <w:tc>
          <w:tcPr>
            <w:tcW w:w="200" w:type="dxa"/>
            <w:vAlign w:val="bottom"/>
            <w:tcBorders>
              <w:top w:val="single" w:sz="8" w:color="0000EE"/>
            </w:tcBorders>
            <w:shd w:val="clear" w:color="auto" w:fill="C6F4F9"/>
          </w:tcPr>
          <w:p>
            <w:pPr>
              <w:spacing w:after="0"/>
              <w:rPr>
                <w:sz w:val="4"/>
                <w:szCs w:val="4"/>
                <w:color w:val="auto"/>
              </w:rPr>
            </w:pPr>
          </w:p>
        </w:tc>
        <w:tc>
          <w:tcPr>
            <w:tcW w:w="220" w:type="dxa"/>
            <w:vAlign w:val="bottom"/>
            <w:tcBorders>
              <w:top w:val="single" w:sz="8" w:color="0000EE"/>
            </w:tcBorders>
            <w:shd w:val="clear" w:color="auto" w:fill="C6F4F9"/>
          </w:tcPr>
          <w:p>
            <w:pPr>
              <w:spacing w:after="0"/>
              <w:rPr>
                <w:sz w:val="4"/>
                <w:szCs w:val="4"/>
                <w:color w:val="auto"/>
              </w:rPr>
            </w:pPr>
          </w:p>
        </w:tc>
        <w:tc>
          <w:tcPr>
            <w:tcW w:w="40" w:type="dxa"/>
            <w:vAlign w:val="bottom"/>
            <w:tcBorders>
              <w:top w:val="single" w:sz="8" w:color="0000EE"/>
            </w:tcBorders>
            <w:shd w:val="clear" w:color="auto" w:fill="C6F4F9"/>
          </w:tcPr>
          <w:p>
            <w:pPr>
              <w:spacing w:after="0"/>
              <w:rPr>
                <w:sz w:val="4"/>
                <w:szCs w:val="4"/>
                <w:color w:val="auto"/>
              </w:rPr>
            </w:pPr>
          </w:p>
        </w:tc>
        <w:tc>
          <w:tcPr>
            <w:tcW w:w="760" w:type="dxa"/>
            <w:vAlign w:val="bottom"/>
            <w:tcBorders>
              <w:top w:val="single" w:sz="8" w:color="0000EE"/>
            </w:tcBorders>
            <w:shd w:val="clear" w:color="auto" w:fill="C6F4F9"/>
          </w:tcPr>
          <w:p>
            <w:pPr>
              <w:spacing w:after="0"/>
              <w:rPr>
                <w:sz w:val="4"/>
                <w:szCs w:val="4"/>
                <w:color w:val="auto"/>
              </w:rPr>
            </w:pPr>
          </w:p>
        </w:tc>
        <w:tc>
          <w:tcPr>
            <w:tcW w:w="1220" w:type="dxa"/>
            <w:vAlign w:val="bottom"/>
            <w:tcBorders>
              <w:top w:val="single" w:sz="8" w:color="0000EE"/>
            </w:tcBorders>
            <w:shd w:val="clear" w:color="auto" w:fill="C6F4F9"/>
          </w:tcPr>
          <w:p>
            <w:pPr>
              <w:spacing w:after="0"/>
              <w:rPr>
                <w:sz w:val="4"/>
                <w:szCs w:val="4"/>
                <w:color w:val="auto"/>
              </w:rPr>
            </w:pPr>
          </w:p>
        </w:tc>
        <w:tc>
          <w:tcPr>
            <w:tcW w:w="220" w:type="dxa"/>
            <w:vAlign w:val="bottom"/>
            <w:tcBorders>
              <w:top w:val="single" w:sz="8" w:color="0000EE"/>
            </w:tcBorders>
            <w:shd w:val="clear" w:color="auto" w:fill="C6F4F9"/>
          </w:tcPr>
          <w:p>
            <w:pPr>
              <w:spacing w:after="0"/>
              <w:rPr>
                <w:sz w:val="4"/>
                <w:szCs w:val="4"/>
                <w:color w:val="auto"/>
              </w:rPr>
            </w:pPr>
          </w:p>
        </w:tc>
        <w:tc>
          <w:tcPr>
            <w:tcW w:w="140" w:type="dxa"/>
            <w:vAlign w:val="bottom"/>
            <w:tcBorders>
              <w:top w:val="single" w:sz="8" w:color="C6F4F9"/>
            </w:tcBorders>
            <w:shd w:val="clear" w:color="auto" w:fill="C6F4F9"/>
          </w:tcPr>
          <w:p>
            <w:pPr>
              <w:spacing w:after="0"/>
              <w:rPr>
                <w:sz w:val="4"/>
                <w:szCs w:val="4"/>
                <w:color w:val="auto"/>
              </w:rPr>
            </w:pPr>
          </w:p>
        </w:tc>
        <w:tc>
          <w:tcPr>
            <w:tcW w:w="140" w:type="dxa"/>
            <w:vAlign w:val="bottom"/>
            <w:tcBorders>
              <w:top w:val="single" w:sz="8" w:color="C6F4F9"/>
            </w:tcBorders>
            <w:shd w:val="clear" w:color="auto" w:fill="C6F4F9"/>
          </w:tcPr>
          <w:p>
            <w:pPr>
              <w:spacing w:after="0"/>
              <w:rPr>
                <w:sz w:val="4"/>
                <w:szCs w:val="4"/>
                <w:color w:val="auto"/>
              </w:rPr>
            </w:pPr>
          </w:p>
        </w:tc>
        <w:tc>
          <w:tcPr>
            <w:tcW w:w="140" w:type="dxa"/>
            <w:vAlign w:val="bottom"/>
            <w:tcBorders>
              <w:top w:val="single" w:sz="8" w:color="C6F4F9"/>
            </w:tcBorders>
            <w:shd w:val="clear" w:color="auto" w:fill="C6F4F9"/>
          </w:tcPr>
          <w:p>
            <w:pPr>
              <w:spacing w:after="0"/>
              <w:rPr>
                <w:sz w:val="4"/>
                <w:szCs w:val="4"/>
                <w:color w:val="auto"/>
              </w:rPr>
            </w:pPr>
          </w:p>
        </w:tc>
        <w:tc>
          <w:tcPr>
            <w:tcW w:w="100" w:type="dxa"/>
            <w:vAlign w:val="bottom"/>
            <w:tcBorders>
              <w:top w:val="single" w:sz="8" w:color="C6F4F9"/>
            </w:tcBorders>
            <w:shd w:val="clear" w:color="auto" w:fill="C6F4F9"/>
          </w:tcPr>
          <w:p>
            <w:pPr>
              <w:spacing w:after="0"/>
              <w:rPr>
                <w:sz w:val="4"/>
                <w:szCs w:val="4"/>
                <w:color w:val="auto"/>
              </w:rPr>
            </w:pPr>
          </w:p>
        </w:tc>
        <w:tc>
          <w:tcPr>
            <w:tcW w:w="960" w:type="dxa"/>
            <w:vAlign w:val="bottom"/>
            <w:tcBorders>
              <w:top w:val="single" w:sz="8" w:color="C6F4F9"/>
            </w:tcBorders>
            <w:shd w:val="clear" w:color="auto" w:fill="C6F4F9"/>
          </w:tcPr>
          <w:p>
            <w:pPr>
              <w:spacing w:after="0"/>
              <w:rPr>
                <w:sz w:val="4"/>
                <w:szCs w:val="4"/>
                <w:color w:val="auto"/>
              </w:rPr>
            </w:pPr>
          </w:p>
        </w:tc>
        <w:tc>
          <w:tcPr>
            <w:tcW w:w="60" w:type="dxa"/>
            <w:vAlign w:val="bottom"/>
            <w:tcBorders>
              <w:top w:val="single" w:sz="8" w:color="C6F4F9"/>
            </w:tcBorders>
            <w:shd w:val="clear" w:color="auto" w:fill="C6F4F9"/>
          </w:tcPr>
          <w:p>
            <w:pPr>
              <w:spacing w:after="0"/>
              <w:rPr>
                <w:sz w:val="4"/>
                <w:szCs w:val="4"/>
                <w:color w:val="auto"/>
              </w:rPr>
            </w:pPr>
          </w:p>
        </w:tc>
        <w:tc>
          <w:tcPr>
            <w:tcW w:w="18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8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80" w:type="dxa"/>
            <w:vAlign w:val="bottom"/>
            <w:tcBorders>
              <w:top w:val="single" w:sz="8" w:color="C6F4F9"/>
            </w:tcBorders>
            <w:shd w:val="clear" w:color="auto" w:fill="C6F4F9"/>
          </w:tcPr>
          <w:p>
            <w:pPr>
              <w:spacing w:after="0"/>
              <w:rPr>
                <w:sz w:val="4"/>
                <w:szCs w:val="4"/>
                <w:color w:val="auto"/>
              </w:rPr>
            </w:pPr>
          </w:p>
        </w:tc>
        <w:tc>
          <w:tcPr>
            <w:tcW w:w="20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r>
      <w:tr>
        <w:trPr>
          <w:trHeight w:val="202"/>
        </w:trPr>
        <w:tc>
          <w:tcPr>
            <w:tcW w:w="340" w:type="dxa"/>
            <w:vAlign w:val="bottom"/>
            <w:gridSpan w:val="3"/>
          </w:tcPr>
          <w:p>
            <w:pPr>
              <w:ind w:left="20"/>
              <w:spacing w:after="0" w:line="202"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20" w:type="dxa"/>
            <w:vAlign w:val="bottom"/>
            <w:gridSpan w:val="38"/>
          </w:tcPr>
          <w:p>
            <w:pPr>
              <w:spacing w:after="0" w:line="202"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First Amendment to Rights Agreement dated as of November 19, 2021 between Daktronics, Inc. and Equiniti Trust Company, as Rights</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EE"/>
            </w:tcBorders>
            <w:gridSpan w:val="23"/>
          </w:tcPr>
          <w:p>
            <w:pPr>
              <w:spacing w:after="0" w:line="182"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Agent (Incorporated by reference to Exhibit 4.2 of the Current Report on Form 8-K of Daktronics, Inc. filed on November 19, 2021).</w:t>
              </w:r>
            </w:hyperlink>
          </w:p>
        </w:tc>
        <w:tc>
          <w:tcPr>
            <w:tcW w:w="3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420" w:type="dxa"/>
            <w:vAlign w:val="bottom"/>
            <w:gridSpan w:val="4"/>
            <w:shd w:val="clear" w:color="auto" w:fill="C6F4F9"/>
          </w:tcPr>
          <w:p>
            <w:pPr>
              <w:ind w:left="20"/>
              <w:spacing w:after="0" w:line="202"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2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0420" w:type="dxa"/>
            <w:vAlign w:val="bottom"/>
            <w:gridSpan w:val="38"/>
            <w:shd w:val="clear" w:color="auto" w:fill="C6F4F9"/>
          </w:tcPr>
          <w:p>
            <w:pPr>
              <w:spacing w:after="0" w:line="202"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Credit Agreement dated November 15, 2016 by and between the Company and U.S. Bank National Association (Incorporated by reference</w:t>
              </w:r>
            </w:hyperlink>
          </w:p>
        </w:tc>
      </w:tr>
      <w:tr>
        <w:trPr>
          <w:trHeight w:val="230"/>
        </w:trPr>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40" w:type="dxa"/>
            <w:vAlign w:val="bottom"/>
            <w:tcBorders>
              <w:top w:val="single" w:sz="8" w:color="0000FF"/>
              <w:bottom w:val="single" w:sz="8" w:color="C6F4F9"/>
            </w:tcBorders>
            <w:shd w:val="clear" w:color="auto" w:fill="C6F4F9"/>
          </w:tcPr>
          <w:p>
            <w:pPr>
              <w:spacing w:after="0"/>
              <w:rPr>
                <w:sz w:val="20"/>
                <w:szCs w:val="20"/>
                <w:color w:val="auto"/>
              </w:rPr>
            </w:pPr>
          </w:p>
        </w:tc>
        <w:tc>
          <w:tcPr>
            <w:tcW w:w="80" w:type="dxa"/>
            <w:vAlign w:val="bottom"/>
            <w:tcBorders>
              <w:top w:val="single" w:sz="8" w:color="0000FF"/>
              <w:bottom w:val="single" w:sz="8" w:color="C6F4F9"/>
            </w:tcBorders>
            <w:shd w:val="clear" w:color="auto" w:fill="C6F4F9"/>
          </w:tcPr>
          <w:p>
            <w:pPr>
              <w:spacing w:after="0"/>
              <w:rPr>
                <w:sz w:val="20"/>
                <w:szCs w:val="20"/>
                <w:color w:val="auto"/>
              </w:rPr>
            </w:pPr>
          </w:p>
        </w:tc>
        <w:tc>
          <w:tcPr>
            <w:tcW w:w="8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60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6380" w:type="dxa"/>
            <w:vAlign w:val="bottom"/>
            <w:tcBorders>
              <w:top w:val="single" w:sz="8" w:color="0000EE"/>
              <w:bottom w:val="single" w:sz="8" w:color="0000EE"/>
            </w:tcBorders>
            <w:gridSpan w:val="10"/>
            <w:shd w:val="clear" w:color="auto" w:fill="C6F4F9"/>
          </w:tcPr>
          <w:p>
            <w:pPr>
              <w:spacing w:after="0" w:line="182"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to Exhibit 10.1 filed with our Current Report on Form 8-K filed on November 16, 2016).</w:t>
              </w:r>
            </w:hyperlink>
          </w:p>
        </w:tc>
        <w:tc>
          <w:tcPr>
            <w:tcW w:w="4000" w:type="dxa"/>
            <w:vAlign w:val="bottom"/>
            <w:tcBorders>
              <w:top w:val="single" w:sz="8" w:color="0000EE"/>
              <w:bottom w:val="single" w:sz="8" w:color="C6F4F9"/>
            </w:tcBorders>
            <w:gridSpan w:val="26"/>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r>
      <w:tr>
        <w:trPr>
          <w:trHeight w:val="202"/>
        </w:trPr>
        <w:tc>
          <w:tcPr>
            <w:tcW w:w="42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20" w:type="dxa"/>
            <w:vAlign w:val="bottom"/>
            <w:gridSpan w:val="38"/>
          </w:tcPr>
          <w:p>
            <w:pPr>
              <w:spacing w:after="0" w:line="202"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Revolving Note dated November 15, 2016 issued by the Company to U.S. Bank National Association (Incorporated by reference to Exhibit</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80" w:type="dxa"/>
            <w:vAlign w:val="bottom"/>
            <w:tcBorders>
              <w:top w:val="single" w:sz="8" w:color="0000EE"/>
            </w:tcBorders>
            <w:gridSpan w:val="31"/>
          </w:tcPr>
          <w:p>
            <w:pPr>
              <w:spacing w:after="0" w:line="182"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filed with our Current Report on Form 8-K filed on November 16, 2016).</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420" w:type="dxa"/>
            <w:vAlign w:val="bottom"/>
            <w:gridSpan w:val="4"/>
            <w:shd w:val="clear" w:color="auto" w:fill="C6F4F9"/>
          </w:tcPr>
          <w:p>
            <w:pPr>
              <w:ind w:left="20"/>
              <w:spacing w:after="0" w:line="202"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2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0420" w:type="dxa"/>
            <w:vAlign w:val="bottom"/>
            <w:gridSpan w:val="38"/>
            <w:shd w:val="clear" w:color="auto" w:fill="C6F4F9"/>
          </w:tcPr>
          <w:p>
            <w:pPr>
              <w:spacing w:after="0" w:line="202"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Second Amendment to Credit Agreement dated as of November 15, 2019 by and between the Company and U.S. Bank National Association</w:t>
              </w:r>
            </w:hyperlink>
          </w:p>
        </w:tc>
      </w:tr>
      <w:tr>
        <w:trPr>
          <w:trHeight w:val="230"/>
        </w:trPr>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40" w:type="dxa"/>
            <w:vAlign w:val="bottom"/>
            <w:tcBorders>
              <w:top w:val="single" w:sz="8" w:color="0000FF"/>
              <w:bottom w:val="single" w:sz="8" w:color="C6F4F9"/>
            </w:tcBorders>
            <w:shd w:val="clear" w:color="auto" w:fill="C6F4F9"/>
          </w:tcPr>
          <w:p>
            <w:pPr>
              <w:spacing w:after="0"/>
              <w:rPr>
                <w:sz w:val="20"/>
                <w:szCs w:val="20"/>
                <w:color w:val="auto"/>
              </w:rPr>
            </w:pPr>
          </w:p>
        </w:tc>
        <w:tc>
          <w:tcPr>
            <w:tcW w:w="80" w:type="dxa"/>
            <w:vAlign w:val="bottom"/>
            <w:tcBorders>
              <w:top w:val="single" w:sz="8" w:color="0000FF"/>
              <w:bottom w:val="single" w:sz="8" w:color="C6F4F9"/>
            </w:tcBorders>
            <w:shd w:val="clear" w:color="auto" w:fill="C6F4F9"/>
          </w:tcPr>
          <w:p>
            <w:pPr>
              <w:spacing w:after="0"/>
              <w:rPr>
                <w:sz w:val="20"/>
                <w:szCs w:val="20"/>
                <w:color w:val="auto"/>
              </w:rPr>
            </w:pPr>
          </w:p>
        </w:tc>
        <w:tc>
          <w:tcPr>
            <w:tcW w:w="8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60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8340" w:type="dxa"/>
            <w:vAlign w:val="bottom"/>
            <w:tcBorders>
              <w:top w:val="single" w:sz="8" w:color="0000EE"/>
              <w:bottom w:val="single" w:sz="8" w:color="0000EE"/>
            </w:tcBorders>
            <w:gridSpan w:val="16"/>
            <w:shd w:val="clear" w:color="auto" w:fill="C6F4F9"/>
          </w:tcPr>
          <w:p>
            <w:pPr>
              <w:spacing w:after="0" w:line="182"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(Incorporated by reference to Exhibit 10.1 filed with our Current Report on Form 8-K filed on November 15, 2019).</w:t>
              </w:r>
            </w:hyperlink>
          </w:p>
        </w:tc>
        <w:tc>
          <w:tcPr>
            <w:tcW w:w="2020" w:type="dxa"/>
            <w:vAlign w:val="bottom"/>
            <w:tcBorders>
              <w:top w:val="single" w:sz="8" w:color="0000EE"/>
              <w:bottom w:val="single" w:sz="8" w:color="C6F4F9"/>
            </w:tcBorders>
            <w:gridSpan w:val="19"/>
            <w:shd w:val="clear" w:color="auto" w:fill="C6F4F9"/>
          </w:tcPr>
          <w:p>
            <w:pPr>
              <w:spacing w:after="0"/>
              <w:rPr>
                <w:sz w:val="20"/>
                <w:szCs w:val="20"/>
                <w:color w:val="auto"/>
              </w:rPr>
            </w:pPr>
          </w:p>
        </w:tc>
        <w:tc>
          <w:tcPr>
            <w:tcW w:w="40" w:type="dxa"/>
            <w:vAlign w:val="bottom"/>
            <w:tcBorders>
              <w:top w:val="single" w:sz="8" w:color="C6F4F9"/>
              <w:bottom w:val="single" w:sz="8" w:color="C6F4F9"/>
            </w:tcBorders>
            <w:gridSpan w:val="2"/>
            <w:shd w:val="clear" w:color="auto" w:fill="C6F4F9"/>
          </w:tcPr>
          <w:p>
            <w:pPr>
              <w:spacing w:after="0"/>
              <w:rPr>
                <w:sz w:val="20"/>
                <w:szCs w:val="20"/>
                <w:color w:val="auto"/>
              </w:rPr>
            </w:pPr>
          </w:p>
        </w:tc>
      </w:tr>
      <w:tr>
        <w:trPr>
          <w:trHeight w:val="202"/>
        </w:trPr>
        <w:tc>
          <w:tcPr>
            <w:tcW w:w="42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20" w:type="dxa"/>
            <w:vAlign w:val="bottom"/>
            <w:gridSpan w:val="38"/>
          </w:tcPr>
          <w:p>
            <w:pPr>
              <w:spacing w:after="0" w:line="202"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Third Amendment to Credit Agreement dated as of August 28, 2020 by and between the Company and U.S. Bank National Association</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60" w:type="dxa"/>
            <w:vAlign w:val="bottom"/>
            <w:tcBorders>
              <w:top w:val="single" w:sz="8" w:color="0000EE"/>
            </w:tcBorders>
            <w:gridSpan w:val="30"/>
          </w:tcPr>
          <w:p>
            <w:pPr>
              <w:spacing w:after="0" w:line="182"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(Incorporated by reference to Exhibit 10.4 filed with our Current Report on Form 10-Q of Daktronics, Inc. filed on August 28, 2020).</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420" w:type="dxa"/>
            <w:vAlign w:val="bottom"/>
            <w:gridSpan w:val="4"/>
            <w:shd w:val="clear" w:color="auto" w:fill="C6F4F9"/>
          </w:tcPr>
          <w:p>
            <w:pPr>
              <w:ind w:left="20"/>
              <w:spacing w:after="0" w:line="202"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2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0420" w:type="dxa"/>
            <w:vAlign w:val="bottom"/>
            <w:gridSpan w:val="38"/>
            <w:shd w:val="clear" w:color="auto" w:fill="C6F4F9"/>
          </w:tcPr>
          <w:p>
            <w:pPr>
              <w:spacing w:after="0" w:line="202"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Fourth Amendment to Credit Agreement dated as of March 11, 2021 by and between the Company and U.S. Bank National Association</w:t>
              </w:r>
            </w:hyperlink>
          </w:p>
        </w:tc>
      </w:tr>
      <w:tr>
        <w:trPr>
          <w:trHeight w:val="230"/>
        </w:trPr>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40" w:type="dxa"/>
            <w:vAlign w:val="bottom"/>
            <w:tcBorders>
              <w:top w:val="single" w:sz="8" w:color="0000FF"/>
              <w:bottom w:val="single" w:sz="8" w:color="C6F4F9"/>
            </w:tcBorders>
            <w:shd w:val="clear" w:color="auto" w:fill="C6F4F9"/>
          </w:tcPr>
          <w:p>
            <w:pPr>
              <w:spacing w:after="0"/>
              <w:rPr>
                <w:sz w:val="20"/>
                <w:szCs w:val="20"/>
                <w:color w:val="auto"/>
              </w:rPr>
            </w:pPr>
          </w:p>
        </w:tc>
        <w:tc>
          <w:tcPr>
            <w:tcW w:w="80" w:type="dxa"/>
            <w:vAlign w:val="bottom"/>
            <w:tcBorders>
              <w:top w:val="single" w:sz="8" w:color="0000FF"/>
              <w:bottom w:val="single" w:sz="8" w:color="C6F4F9"/>
            </w:tcBorders>
            <w:shd w:val="clear" w:color="auto" w:fill="C6F4F9"/>
          </w:tcPr>
          <w:p>
            <w:pPr>
              <w:spacing w:after="0"/>
              <w:rPr>
                <w:sz w:val="20"/>
                <w:szCs w:val="20"/>
                <w:color w:val="auto"/>
              </w:rPr>
            </w:pPr>
          </w:p>
        </w:tc>
        <w:tc>
          <w:tcPr>
            <w:tcW w:w="8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60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7600" w:type="dxa"/>
            <w:vAlign w:val="bottom"/>
            <w:tcBorders>
              <w:top w:val="single" w:sz="8" w:color="0000EE"/>
              <w:bottom w:val="single" w:sz="8" w:color="0000EE"/>
            </w:tcBorders>
            <w:gridSpan w:val="11"/>
            <w:shd w:val="clear" w:color="auto" w:fill="C6F4F9"/>
          </w:tcPr>
          <w:p>
            <w:pPr>
              <w:spacing w:after="0" w:line="182"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(Incorporated by reference to Exhibit 10.5 filed with our Annual Report on Form 10-K on June 11, 2021).</w:t>
              </w:r>
            </w:hyperlink>
          </w:p>
        </w:tc>
        <w:tc>
          <w:tcPr>
            <w:tcW w:w="2160" w:type="dxa"/>
            <w:vAlign w:val="bottom"/>
            <w:tcBorders>
              <w:top w:val="single" w:sz="8" w:color="0000EE"/>
              <w:bottom w:val="single" w:sz="8" w:color="C6F4F9"/>
            </w:tcBorders>
            <w:gridSpan w:val="11"/>
            <w:shd w:val="clear" w:color="auto" w:fill="C6F4F9"/>
          </w:tcPr>
          <w:p>
            <w:pPr>
              <w:spacing w:after="0"/>
              <w:rPr>
                <w:sz w:val="20"/>
                <w:szCs w:val="20"/>
                <w:color w:val="auto"/>
              </w:rPr>
            </w:pPr>
          </w:p>
        </w:tc>
        <w:tc>
          <w:tcPr>
            <w:tcW w:w="400" w:type="dxa"/>
            <w:vAlign w:val="bottom"/>
            <w:tcBorders>
              <w:top w:val="single" w:sz="8" w:color="C6F4F9"/>
              <w:bottom w:val="single" w:sz="8" w:color="C6F4F9"/>
            </w:tcBorders>
            <w:gridSpan w:val="3"/>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80" w:type="dxa"/>
            <w:vAlign w:val="bottom"/>
            <w:tcBorders>
              <w:top w:val="single" w:sz="8" w:color="C6F4F9"/>
              <w:bottom w:val="single" w:sz="8" w:color="C6F4F9"/>
            </w:tcBorders>
            <w:gridSpan w:val="4"/>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60" w:type="dxa"/>
            <w:vAlign w:val="bottom"/>
            <w:tcBorders>
              <w:top w:val="single" w:sz="8" w:color="C6F4F9"/>
              <w:bottom w:val="single" w:sz="8" w:color="C6F4F9"/>
            </w:tcBorders>
            <w:gridSpan w:val="3"/>
            <w:shd w:val="clear" w:color="auto" w:fill="C6F4F9"/>
          </w:tcPr>
          <w:p>
            <w:pPr>
              <w:spacing w:after="0"/>
              <w:rPr>
                <w:sz w:val="20"/>
                <w:szCs w:val="20"/>
                <w:color w:val="auto"/>
              </w:rPr>
            </w:pPr>
          </w:p>
        </w:tc>
      </w:tr>
      <w:tr>
        <w:trPr>
          <w:trHeight w:val="203"/>
        </w:trPr>
        <w:tc>
          <w:tcPr>
            <w:tcW w:w="420" w:type="dxa"/>
            <w:vAlign w:val="bottom"/>
            <w:gridSpan w:val="4"/>
          </w:tcPr>
          <w:p>
            <w:pPr>
              <w:ind w:left="20"/>
              <w:spacing w:after="0" w:line="202"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20" w:type="dxa"/>
            <w:vAlign w:val="bottom"/>
            <w:gridSpan w:val="38"/>
          </w:tcPr>
          <w:p>
            <w:pPr>
              <w:spacing w:after="0" w:line="202"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Fifth Amendment to Credit Agreement dated as of April 29, 2022 by and between the Company and U.S. Bank National Association</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40" w:type="dxa"/>
            <w:vAlign w:val="bottom"/>
            <w:tcBorders>
              <w:top w:val="single" w:sz="8" w:color="0000EE"/>
            </w:tcBorders>
            <w:gridSpan w:val="19"/>
          </w:tcPr>
          <w:p>
            <w:pPr>
              <w:spacing w:after="0" w:line="182"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(Incorporated by reference to Exhibit 10.1 filed with our Current Report on Form 8-K filed on April 29, 2022).</w:t>
              </w:r>
            </w:hyperlink>
          </w:p>
        </w:tc>
        <w:tc>
          <w:tcPr>
            <w:tcW w:w="40" w:type="dxa"/>
            <w:vAlign w:val="bottom"/>
            <w:gridSpan w:val="2"/>
          </w:tcPr>
          <w:p>
            <w:pPr>
              <w:spacing w:after="0"/>
              <w:rPr>
                <w:sz w:val="15"/>
                <w:szCs w:val="15"/>
                <w:color w:val="auto"/>
              </w:rPr>
            </w:pPr>
          </w:p>
        </w:tc>
        <w:tc>
          <w:tcPr>
            <w:tcW w:w="5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20" w:type="dxa"/>
            <w:vAlign w:val="bottom"/>
            <w:gridSpan w:val="4"/>
            <w:shd w:val="clear" w:color="auto" w:fill="C6F4F9"/>
          </w:tcPr>
          <w:p>
            <w:pPr>
              <w:ind w:left="20"/>
              <w:spacing w:after="0" w:line="20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2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0420" w:type="dxa"/>
            <w:vAlign w:val="bottom"/>
            <w:gridSpan w:val="38"/>
            <w:shd w:val="clear" w:color="auto" w:fill="C6F4F9"/>
          </w:tcPr>
          <w:p>
            <w:pPr>
              <w:spacing w:after="0" w:line="202"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Amendment to Credit Agreement dated as of August 16, 2022 by and between the Company and U.S. Bank National Association</w:t>
              </w:r>
            </w:hyperlink>
          </w:p>
        </w:tc>
      </w:tr>
      <w:tr>
        <w:trPr>
          <w:trHeight w:val="230"/>
        </w:trPr>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40" w:type="dxa"/>
            <w:vAlign w:val="bottom"/>
            <w:tcBorders>
              <w:top w:val="single" w:sz="8" w:color="0000FF"/>
              <w:bottom w:val="single" w:sz="8" w:color="C6F4F9"/>
            </w:tcBorders>
            <w:shd w:val="clear" w:color="auto" w:fill="C6F4F9"/>
          </w:tcPr>
          <w:p>
            <w:pPr>
              <w:spacing w:after="0"/>
              <w:rPr>
                <w:sz w:val="20"/>
                <w:szCs w:val="20"/>
                <w:color w:val="auto"/>
              </w:rPr>
            </w:pPr>
          </w:p>
        </w:tc>
        <w:tc>
          <w:tcPr>
            <w:tcW w:w="80" w:type="dxa"/>
            <w:vAlign w:val="bottom"/>
            <w:tcBorders>
              <w:top w:val="single" w:sz="8" w:color="0000FF"/>
              <w:bottom w:val="single" w:sz="8" w:color="C6F4F9"/>
            </w:tcBorders>
            <w:shd w:val="clear" w:color="auto" w:fill="C6F4F9"/>
          </w:tcPr>
          <w:p>
            <w:pPr>
              <w:spacing w:after="0"/>
              <w:rPr>
                <w:sz w:val="20"/>
                <w:szCs w:val="20"/>
                <w:color w:val="auto"/>
              </w:rPr>
            </w:pPr>
          </w:p>
        </w:tc>
        <w:tc>
          <w:tcPr>
            <w:tcW w:w="8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60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8100" w:type="dxa"/>
            <w:vAlign w:val="bottom"/>
            <w:tcBorders>
              <w:top w:val="single" w:sz="8" w:color="0000EE"/>
              <w:bottom w:val="single" w:sz="8" w:color="0000EE"/>
            </w:tcBorders>
            <w:gridSpan w:val="14"/>
            <w:shd w:val="clear" w:color="auto" w:fill="C6F4F9"/>
          </w:tcPr>
          <w:p>
            <w:pPr>
              <w:spacing w:after="0" w:line="182"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(Incorporated by reference to Exhibit 10.1 filed with our Current Report on Form 8-K filed on August 18, 2022).</w:t>
              </w:r>
            </w:hyperlink>
          </w:p>
        </w:tc>
        <w:tc>
          <w:tcPr>
            <w:tcW w:w="1200" w:type="dxa"/>
            <w:vAlign w:val="bottom"/>
            <w:tcBorders>
              <w:top w:val="single" w:sz="8" w:color="0000EE"/>
              <w:bottom w:val="single" w:sz="8" w:color="C6F4F9"/>
            </w:tcBorders>
            <w:gridSpan w:val="3"/>
            <w:shd w:val="clear" w:color="auto" w:fill="C6F4F9"/>
          </w:tcPr>
          <w:p>
            <w:pPr>
              <w:spacing w:after="0"/>
              <w:rPr>
                <w:sz w:val="20"/>
                <w:szCs w:val="20"/>
                <w:color w:val="auto"/>
              </w:rPr>
            </w:pPr>
          </w:p>
        </w:tc>
        <w:tc>
          <w:tcPr>
            <w:tcW w:w="60" w:type="dxa"/>
            <w:vAlign w:val="bottom"/>
            <w:tcBorders>
              <w:top w:val="single" w:sz="8" w:color="C6F4F9"/>
              <w:bottom w:val="single" w:sz="8" w:color="C6F4F9"/>
            </w:tcBorders>
            <w:shd w:val="clear" w:color="auto" w:fill="C6F4F9"/>
          </w:tcPr>
          <w:p>
            <w:pPr>
              <w:spacing w:after="0"/>
              <w:rPr>
                <w:sz w:val="20"/>
                <w:szCs w:val="20"/>
                <w:color w:val="auto"/>
              </w:rPr>
            </w:pPr>
          </w:p>
        </w:tc>
        <w:tc>
          <w:tcPr>
            <w:tcW w:w="180" w:type="dxa"/>
            <w:vAlign w:val="bottom"/>
            <w:tcBorders>
              <w:top w:val="single" w:sz="8" w:color="C6F4F9"/>
              <w:bottom w:val="single" w:sz="8" w:color="C6F4F9"/>
            </w:tcBorders>
            <w:shd w:val="clear" w:color="auto" w:fill="C6F4F9"/>
          </w:tcPr>
          <w:p>
            <w:pPr>
              <w:spacing w:after="0"/>
              <w:rPr>
                <w:sz w:val="20"/>
                <w:szCs w:val="20"/>
                <w:color w:val="auto"/>
              </w:rPr>
            </w:pPr>
          </w:p>
        </w:tc>
        <w:tc>
          <w:tcPr>
            <w:tcW w:w="40" w:type="dxa"/>
            <w:vAlign w:val="bottom"/>
            <w:tcBorders>
              <w:top w:val="single" w:sz="8" w:color="C6F4F9"/>
              <w:bottom w:val="single" w:sz="8" w:color="C6F4F9"/>
            </w:tcBorders>
            <w:gridSpan w:val="2"/>
            <w:shd w:val="clear" w:color="auto" w:fill="C6F4F9"/>
          </w:tcPr>
          <w:p>
            <w:pPr>
              <w:spacing w:after="0"/>
              <w:rPr>
                <w:sz w:val="20"/>
                <w:szCs w:val="20"/>
                <w:color w:val="auto"/>
              </w:rPr>
            </w:pPr>
          </w:p>
        </w:tc>
        <w:tc>
          <w:tcPr>
            <w:tcW w:w="580" w:type="dxa"/>
            <w:vAlign w:val="bottom"/>
            <w:tcBorders>
              <w:top w:val="single" w:sz="8" w:color="C6F4F9"/>
              <w:bottom w:val="single" w:sz="8" w:color="C6F4F9"/>
            </w:tcBorders>
            <w:gridSpan w:val="4"/>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80" w:type="dxa"/>
            <w:vAlign w:val="bottom"/>
            <w:tcBorders>
              <w:top w:val="single" w:sz="8" w:color="C6F4F9"/>
              <w:bottom w:val="single" w:sz="8" w:color="C6F4F9"/>
            </w:tcBorders>
            <w:gridSpan w:val="4"/>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60" w:type="dxa"/>
            <w:vAlign w:val="bottom"/>
            <w:tcBorders>
              <w:top w:val="single" w:sz="8" w:color="C6F4F9"/>
              <w:bottom w:val="single" w:sz="8" w:color="C6F4F9"/>
            </w:tcBorders>
            <w:gridSpan w:val="3"/>
            <w:shd w:val="clear" w:color="auto" w:fill="C6F4F9"/>
          </w:tcPr>
          <w:p>
            <w:pPr>
              <w:spacing w:after="0"/>
              <w:rPr>
                <w:sz w:val="20"/>
                <w:szCs w:val="20"/>
                <w:color w:val="auto"/>
              </w:rPr>
            </w:pPr>
          </w:p>
        </w:tc>
      </w:tr>
      <w:tr>
        <w:trPr>
          <w:trHeight w:val="209"/>
        </w:trPr>
        <w:tc>
          <w:tcPr>
            <w:tcW w:w="42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38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Amendment to Credit Agreement dated as of October 31, 2022 by and between the Company and U.S. Bank National Association</w:t>
              </w:r>
            </w:hyperlink>
          </w:p>
        </w:tc>
        <w:tc>
          <w:tcPr>
            <w:tcW w:w="18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5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r>
      <w:tr>
        <w:trPr>
          <w:trHeight w:val="136"/>
        </w:trPr>
        <w:tc>
          <w:tcPr>
            <w:tcW w:w="20" w:type="dxa"/>
            <w:vAlign w:val="bottom"/>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380" w:type="dxa"/>
            <w:vAlign w:val="bottom"/>
            <w:gridSpan w:val="19"/>
          </w:tcPr>
          <w:p>
            <w:pPr>
              <w:spacing w:after="0" w:line="136" w:lineRule="exact"/>
              <w:rPr>
                <w:rFonts w:ascii="Times New Roman" w:cs="Times New Roman" w:eastAsia="Times New Roman" w:hAnsi="Times New Roman"/>
                <w:sz w:val="15"/>
                <w:szCs w:val="15"/>
                <w:color w:val="0000FF"/>
              </w:rPr>
            </w:pPr>
            <w:hyperlink r:id="rId65">
              <w:r>
                <w:rPr>
                  <w:rFonts w:ascii="Times New Roman" w:cs="Times New Roman" w:eastAsia="Times New Roman" w:hAnsi="Times New Roman"/>
                  <w:sz w:val="15"/>
                  <w:szCs w:val="15"/>
                  <w:color w:val="0000FF"/>
                </w:rPr>
                <w:t>(Incorporated by reference to Exhibit 10.1 filed with our Current Report on Form 8-K filed on November 1, 2022).</w:t>
              </w:r>
            </w:hyperlink>
          </w:p>
        </w:tc>
        <w:tc>
          <w:tcPr>
            <w:tcW w:w="1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5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34"/>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420" w:type="dxa"/>
            <w:vAlign w:val="bottom"/>
            <w:gridSpan w:val="4"/>
            <w:shd w:val="clear" w:color="auto" w:fill="C6F4F9"/>
          </w:tcPr>
          <w:p>
            <w:pPr>
              <w:ind w:left="20"/>
              <w:spacing w:after="0" w:line="20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2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0420" w:type="dxa"/>
            <w:vAlign w:val="bottom"/>
            <w:gridSpan w:val="38"/>
            <w:shd w:val="clear" w:color="auto" w:fill="C6F4F9"/>
          </w:tcPr>
          <w:p>
            <w:pPr>
              <w:spacing w:after="0" w:line="202"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Security Agreement dated as of August 28, 2020 by and between the Company and U.S. Bank National Association (Incorporated by</w:t>
              </w:r>
            </w:hyperlink>
          </w:p>
        </w:tc>
      </w:tr>
      <w:tr>
        <w:trPr>
          <w:trHeight w:val="230"/>
        </w:trPr>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40" w:type="dxa"/>
            <w:vAlign w:val="bottom"/>
            <w:tcBorders>
              <w:top w:val="single" w:sz="8" w:color="0000FF"/>
              <w:bottom w:val="single" w:sz="8" w:color="C6F4F9"/>
            </w:tcBorders>
            <w:shd w:val="clear" w:color="auto" w:fill="C6F4F9"/>
          </w:tcPr>
          <w:p>
            <w:pPr>
              <w:spacing w:after="0"/>
              <w:rPr>
                <w:sz w:val="20"/>
                <w:szCs w:val="20"/>
                <w:color w:val="auto"/>
              </w:rPr>
            </w:pPr>
          </w:p>
        </w:tc>
        <w:tc>
          <w:tcPr>
            <w:tcW w:w="80" w:type="dxa"/>
            <w:vAlign w:val="bottom"/>
            <w:tcBorders>
              <w:top w:val="single" w:sz="8" w:color="0000FF"/>
              <w:bottom w:val="single" w:sz="8" w:color="C6F4F9"/>
            </w:tcBorders>
            <w:shd w:val="clear" w:color="auto" w:fill="C6F4F9"/>
          </w:tcPr>
          <w:p>
            <w:pPr>
              <w:spacing w:after="0"/>
              <w:rPr>
                <w:sz w:val="20"/>
                <w:szCs w:val="20"/>
                <w:color w:val="auto"/>
              </w:rPr>
            </w:pPr>
          </w:p>
        </w:tc>
        <w:tc>
          <w:tcPr>
            <w:tcW w:w="8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60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8340" w:type="dxa"/>
            <w:vAlign w:val="bottom"/>
            <w:tcBorders>
              <w:top w:val="single" w:sz="8" w:color="0000EE"/>
              <w:bottom w:val="single" w:sz="8" w:color="0000EE"/>
            </w:tcBorders>
            <w:gridSpan w:val="16"/>
            <w:shd w:val="clear" w:color="auto" w:fill="C6F4F9"/>
          </w:tcPr>
          <w:p>
            <w:pPr>
              <w:spacing w:after="0" w:line="182"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reference to Exhibit 10.5 filed with our Current Report on Form 10-Q of Daktronics, Inc. filed on August 28, 2020).</w:t>
              </w:r>
            </w:hyperlink>
          </w:p>
        </w:tc>
        <w:tc>
          <w:tcPr>
            <w:tcW w:w="1840" w:type="dxa"/>
            <w:vAlign w:val="bottom"/>
            <w:tcBorders>
              <w:top w:val="single" w:sz="8" w:color="0000EE"/>
              <w:bottom w:val="single" w:sz="8" w:color="C6F4F9"/>
            </w:tcBorders>
            <w:gridSpan w:val="10"/>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80" w:type="dxa"/>
            <w:vAlign w:val="bottom"/>
            <w:tcBorders>
              <w:top w:val="single" w:sz="8" w:color="C6F4F9"/>
              <w:bottom w:val="single" w:sz="8" w:color="C6F4F9"/>
            </w:tcBorders>
            <w:gridSpan w:val="4"/>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60" w:type="dxa"/>
            <w:vAlign w:val="bottom"/>
            <w:tcBorders>
              <w:top w:val="single" w:sz="8" w:color="C6F4F9"/>
              <w:bottom w:val="single" w:sz="8" w:color="C6F4F9"/>
            </w:tcBorders>
            <w:gridSpan w:val="3"/>
            <w:shd w:val="clear" w:color="auto" w:fill="C6F4F9"/>
          </w:tcPr>
          <w:p>
            <w:pPr>
              <w:spacing w:after="0"/>
              <w:rPr>
                <w:sz w:val="20"/>
                <w:szCs w:val="20"/>
                <w:color w:val="auto"/>
              </w:rPr>
            </w:pPr>
          </w:p>
        </w:tc>
      </w:tr>
      <w:tr>
        <w:trPr>
          <w:trHeight w:val="203"/>
        </w:trPr>
        <w:tc>
          <w:tcPr>
            <w:tcW w:w="1040" w:type="dxa"/>
            <w:vAlign w:val="bottom"/>
            <w:gridSpan w:val="6"/>
          </w:tcPr>
          <w:p>
            <w:pPr>
              <w:ind w:left="20"/>
              <w:spacing w:after="0" w:line="202"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10420" w:type="dxa"/>
            <w:vAlign w:val="bottom"/>
            <w:gridSpan w:val="38"/>
          </w:tcPr>
          <w:p>
            <w:pPr>
              <w:spacing w:after="0" w:line="202"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Daktronics, Inc. 2020 Stock Incentive Plan ("2020 Plan") (Incorporated by reference to Exhibit A to the Company's Definitive Proxy</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20" w:type="dxa"/>
            <w:vAlign w:val="bottom"/>
            <w:tcBorders>
              <w:top w:val="single" w:sz="8" w:color="0000EE"/>
            </w:tcBorders>
            <w:gridSpan w:val="33"/>
          </w:tcPr>
          <w:p>
            <w:pPr>
              <w:spacing w:after="0" w:line="182"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Statement on Schedule 14A filed on July 16, 2020).</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40" w:type="dxa"/>
            <w:vAlign w:val="bottom"/>
            <w:gridSpan w:val="5"/>
            <w:shd w:val="clear" w:color="auto" w:fill="C6F4F9"/>
          </w:tcPr>
          <w:p>
            <w:pPr>
              <w:ind w:left="20"/>
              <w:spacing w:after="0" w:line="202" w:lineRule="exact"/>
              <w:rPr>
                <w:rFonts w:ascii="Times New Roman" w:cs="Times New Roman" w:eastAsia="Times New Roman" w:hAnsi="Times New Roman"/>
                <w:sz w:val="18"/>
                <w:szCs w:val="18"/>
                <w:color w:val="0000FF"/>
                <w:w w:val="98"/>
              </w:rPr>
            </w:pPr>
            <w:hyperlink r:id="rId7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600" w:type="dxa"/>
            <w:vAlign w:val="bottom"/>
            <w:shd w:val="clear" w:color="auto" w:fill="C6F4F9"/>
          </w:tcPr>
          <w:p>
            <w:pPr>
              <w:spacing w:after="0"/>
              <w:rPr>
                <w:sz w:val="17"/>
                <w:szCs w:val="17"/>
                <w:color w:val="auto"/>
              </w:rPr>
            </w:pPr>
          </w:p>
        </w:tc>
        <w:tc>
          <w:tcPr>
            <w:tcW w:w="10420" w:type="dxa"/>
            <w:vAlign w:val="bottom"/>
            <w:gridSpan w:val="38"/>
            <w:shd w:val="clear" w:color="auto" w:fill="C6F4F9"/>
          </w:tcPr>
          <w:p>
            <w:pPr>
              <w:spacing w:after="0" w:line="202"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of Restricted Stock Award Agreement under the 2020 Plan (Incorporated by reference to Exhibit 10.2 filed with our Current Report on</w:t>
              </w:r>
            </w:hyperlink>
          </w:p>
        </w:tc>
      </w:tr>
      <w:tr>
        <w:trPr>
          <w:trHeight w:val="183"/>
        </w:trPr>
        <w:tc>
          <w:tcPr>
            <w:tcW w:w="20" w:type="dxa"/>
            <w:vAlign w:val="bottom"/>
            <w:tcBorders>
              <w:top w:val="single" w:sz="8" w:color="C6F4F9"/>
            </w:tcBorders>
            <w:shd w:val="clear" w:color="auto" w:fill="C6F4F9"/>
          </w:tcPr>
          <w:p>
            <w:pPr>
              <w:spacing w:after="0"/>
              <w:rPr>
                <w:sz w:val="15"/>
                <w:szCs w:val="15"/>
                <w:color w:val="auto"/>
              </w:rPr>
            </w:pPr>
          </w:p>
        </w:tc>
        <w:tc>
          <w:tcPr>
            <w:tcW w:w="240" w:type="dxa"/>
            <w:vAlign w:val="bottom"/>
            <w:tcBorders>
              <w:top w:val="single" w:sz="8" w:color="0000FF"/>
            </w:tcBorders>
            <w:shd w:val="clear" w:color="auto" w:fill="C6F4F9"/>
          </w:tcPr>
          <w:p>
            <w:pPr>
              <w:spacing w:after="0"/>
              <w:rPr>
                <w:sz w:val="15"/>
                <w:szCs w:val="15"/>
                <w:color w:val="auto"/>
              </w:rPr>
            </w:pPr>
          </w:p>
        </w:tc>
        <w:tc>
          <w:tcPr>
            <w:tcW w:w="80" w:type="dxa"/>
            <w:vAlign w:val="bottom"/>
            <w:tcBorders>
              <w:top w:val="single" w:sz="8" w:color="0000FF"/>
            </w:tcBorders>
            <w:shd w:val="clear" w:color="auto" w:fill="C6F4F9"/>
          </w:tcPr>
          <w:p>
            <w:pPr>
              <w:spacing w:after="0"/>
              <w:rPr>
                <w:sz w:val="15"/>
                <w:szCs w:val="15"/>
                <w:color w:val="auto"/>
              </w:rPr>
            </w:pPr>
          </w:p>
        </w:tc>
        <w:tc>
          <w:tcPr>
            <w:tcW w:w="80" w:type="dxa"/>
            <w:vAlign w:val="bottom"/>
            <w:tcBorders>
              <w:top w:val="single" w:sz="8" w:color="0000FF"/>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60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10320" w:type="dxa"/>
            <w:vAlign w:val="bottom"/>
            <w:tcBorders>
              <w:top w:val="single" w:sz="8" w:color="0000EE"/>
            </w:tcBorders>
            <w:gridSpan w:val="33"/>
            <w:shd w:val="clear" w:color="auto" w:fill="C6F4F9"/>
          </w:tcPr>
          <w:p>
            <w:pPr>
              <w:spacing w:after="0" w:line="182"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8-K on September 3, 2020).</w:t>
              </w:r>
            </w:hyperlink>
          </w:p>
        </w:tc>
        <w:tc>
          <w:tcPr>
            <w:tcW w:w="20" w:type="dxa"/>
            <w:vAlign w:val="bottom"/>
            <w:tcBorders>
              <w:top w:val="single" w:sz="8" w:color="C6F4F9"/>
            </w:tcBorders>
            <w:shd w:val="clear" w:color="auto" w:fill="C6F4F9"/>
          </w:tcPr>
          <w:p>
            <w:pPr>
              <w:spacing w:after="0"/>
              <w:rPr>
                <w:sz w:val="15"/>
                <w:szCs w:val="15"/>
                <w:color w:val="auto"/>
              </w:rPr>
            </w:pPr>
          </w:p>
        </w:tc>
        <w:tc>
          <w:tcPr>
            <w:tcW w:w="60" w:type="dxa"/>
            <w:vAlign w:val="bottom"/>
            <w:tcBorders>
              <w:top w:val="single" w:sz="8" w:color="C6F4F9"/>
            </w:tcBorders>
            <w:gridSpan w:val="3"/>
            <w:shd w:val="clear" w:color="auto" w:fill="C6F4F9"/>
          </w:tcPr>
          <w:p>
            <w:pPr>
              <w:spacing w:after="0"/>
              <w:rPr>
                <w:sz w:val="15"/>
                <w:szCs w:val="15"/>
                <w:color w:val="auto"/>
              </w:rPr>
            </w:pPr>
          </w:p>
        </w:tc>
      </w:tr>
      <w:tr>
        <w:trPr>
          <w:trHeight w:val="48"/>
        </w:trPr>
        <w:tc>
          <w:tcPr>
            <w:tcW w:w="20" w:type="dxa"/>
            <w:vAlign w:val="bottom"/>
            <w:tcBorders>
              <w:top w:val="single" w:sz="8" w:color="C6F4F9"/>
            </w:tcBorders>
            <w:shd w:val="clear" w:color="auto" w:fill="C6F4F9"/>
          </w:tcPr>
          <w:p>
            <w:pPr>
              <w:spacing w:after="0"/>
              <w:rPr>
                <w:sz w:val="4"/>
                <w:szCs w:val="4"/>
                <w:color w:val="auto"/>
              </w:rPr>
            </w:pPr>
          </w:p>
        </w:tc>
        <w:tc>
          <w:tcPr>
            <w:tcW w:w="240" w:type="dxa"/>
            <w:vAlign w:val="bottom"/>
            <w:tcBorders>
              <w:top w:val="single" w:sz="8" w:color="C6F4F9"/>
            </w:tcBorders>
            <w:shd w:val="clear" w:color="auto" w:fill="C6F4F9"/>
          </w:tcPr>
          <w:p>
            <w:pPr>
              <w:spacing w:after="0"/>
              <w:rPr>
                <w:sz w:val="4"/>
                <w:szCs w:val="4"/>
                <w:color w:val="auto"/>
              </w:rPr>
            </w:pPr>
          </w:p>
        </w:tc>
        <w:tc>
          <w:tcPr>
            <w:tcW w:w="80" w:type="dxa"/>
            <w:vAlign w:val="bottom"/>
            <w:tcBorders>
              <w:top w:val="single" w:sz="8" w:color="C6F4F9"/>
            </w:tcBorders>
            <w:shd w:val="clear" w:color="auto" w:fill="C6F4F9"/>
          </w:tcPr>
          <w:p>
            <w:pPr>
              <w:spacing w:after="0"/>
              <w:rPr>
                <w:sz w:val="4"/>
                <w:szCs w:val="4"/>
                <w:color w:val="auto"/>
              </w:rPr>
            </w:pPr>
          </w:p>
        </w:tc>
        <w:tc>
          <w:tcPr>
            <w:tcW w:w="8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60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080" w:type="dxa"/>
            <w:vAlign w:val="bottom"/>
            <w:tcBorders>
              <w:top w:val="single" w:sz="8" w:color="0000EE"/>
            </w:tcBorders>
            <w:shd w:val="clear" w:color="auto" w:fill="C6F4F9"/>
          </w:tcPr>
          <w:p>
            <w:pPr>
              <w:spacing w:after="0"/>
              <w:rPr>
                <w:sz w:val="4"/>
                <w:szCs w:val="4"/>
                <w:color w:val="auto"/>
              </w:rPr>
            </w:pPr>
          </w:p>
        </w:tc>
        <w:tc>
          <w:tcPr>
            <w:tcW w:w="1340" w:type="dxa"/>
            <w:vAlign w:val="bottom"/>
            <w:tcBorders>
              <w:top w:val="single" w:sz="8" w:color="0000EE"/>
            </w:tcBorders>
            <w:shd w:val="clear" w:color="auto" w:fill="C6F4F9"/>
          </w:tcPr>
          <w:p>
            <w:pPr>
              <w:spacing w:after="0"/>
              <w:rPr>
                <w:sz w:val="4"/>
                <w:szCs w:val="4"/>
                <w:color w:val="auto"/>
              </w:rPr>
            </w:pPr>
          </w:p>
        </w:tc>
        <w:tc>
          <w:tcPr>
            <w:tcW w:w="760" w:type="dxa"/>
            <w:vAlign w:val="bottom"/>
            <w:tcBorders>
              <w:top w:val="single" w:sz="8" w:color="C6F4F9"/>
            </w:tcBorders>
            <w:shd w:val="clear" w:color="auto" w:fill="C6F4F9"/>
          </w:tcPr>
          <w:p>
            <w:pPr>
              <w:spacing w:after="0"/>
              <w:rPr>
                <w:sz w:val="4"/>
                <w:szCs w:val="4"/>
                <w:color w:val="auto"/>
              </w:rPr>
            </w:pPr>
          </w:p>
        </w:tc>
        <w:tc>
          <w:tcPr>
            <w:tcW w:w="520" w:type="dxa"/>
            <w:vAlign w:val="bottom"/>
            <w:tcBorders>
              <w:top w:val="single" w:sz="8" w:color="C6F4F9"/>
            </w:tcBorders>
            <w:shd w:val="clear" w:color="auto" w:fill="C6F4F9"/>
          </w:tcPr>
          <w:p>
            <w:pPr>
              <w:spacing w:after="0"/>
              <w:rPr>
                <w:sz w:val="4"/>
                <w:szCs w:val="4"/>
                <w:color w:val="auto"/>
              </w:rPr>
            </w:pPr>
          </w:p>
        </w:tc>
        <w:tc>
          <w:tcPr>
            <w:tcW w:w="720" w:type="dxa"/>
            <w:vAlign w:val="bottom"/>
            <w:tcBorders>
              <w:top w:val="single" w:sz="8" w:color="C6F4F9"/>
            </w:tcBorders>
            <w:shd w:val="clear" w:color="auto" w:fill="C6F4F9"/>
          </w:tcPr>
          <w:p>
            <w:pPr>
              <w:spacing w:after="0"/>
              <w:rPr>
                <w:sz w:val="4"/>
                <w:szCs w:val="4"/>
                <w:color w:val="auto"/>
              </w:rPr>
            </w:pPr>
          </w:p>
        </w:tc>
        <w:tc>
          <w:tcPr>
            <w:tcW w:w="740" w:type="dxa"/>
            <w:vAlign w:val="bottom"/>
            <w:tcBorders>
              <w:top w:val="single" w:sz="8" w:color="C6F4F9"/>
            </w:tcBorders>
            <w:shd w:val="clear" w:color="auto" w:fill="C6F4F9"/>
          </w:tcPr>
          <w:p>
            <w:pPr>
              <w:spacing w:after="0"/>
              <w:rPr>
                <w:sz w:val="4"/>
                <w:szCs w:val="4"/>
                <w:color w:val="auto"/>
              </w:rPr>
            </w:pPr>
          </w:p>
        </w:tc>
        <w:tc>
          <w:tcPr>
            <w:tcW w:w="200" w:type="dxa"/>
            <w:vAlign w:val="bottom"/>
            <w:tcBorders>
              <w:top w:val="single" w:sz="8" w:color="C6F4F9"/>
            </w:tcBorders>
            <w:shd w:val="clear" w:color="auto" w:fill="C6F4F9"/>
          </w:tcPr>
          <w:p>
            <w:pPr>
              <w:spacing w:after="0"/>
              <w:rPr>
                <w:sz w:val="4"/>
                <w:szCs w:val="4"/>
                <w:color w:val="auto"/>
              </w:rPr>
            </w:pPr>
          </w:p>
        </w:tc>
        <w:tc>
          <w:tcPr>
            <w:tcW w:w="220" w:type="dxa"/>
            <w:vAlign w:val="bottom"/>
            <w:tcBorders>
              <w:top w:val="single" w:sz="8" w:color="C6F4F9"/>
            </w:tcBorders>
            <w:shd w:val="clear" w:color="auto" w:fill="C6F4F9"/>
          </w:tcPr>
          <w:p>
            <w:pPr>
              <w:spacing w:after="0"/>
              <w:rPr>
                <w:sz w:val="4"/>
                <w:szCs w:val="4"/>
                <w:color w:val="auto"/>
              </w:rPr>
            </w:pPr>
          </w:p>
        </w:tc>
        <w:tc>
          <w:tcPr>
            <w:tcW w:w="40" w:type="dxa"/>
            <w:vAlign w:val="bottom"/>
            <w:tcBorders>
              <w:top w:val="single" w:sz="8" w:color="C6F4F9"/>
            </w:tcBorders>
            <w:shd w:val="clear" w:color="auto" w:fill="C6F4F9"/>
          </w:tcPr>
          <w:p>
            <w:pPr>
              <w:spacing w:after="0"/>
              <w:rPr>
                <w:sz w:val="4"/>
                <w:szCs w:val="4"/>
                <w:color w:val="auto"/>
              </w:rPr>
            </w:pPr>
          </w:p>
        </w:tc>
        <w:tc>
          <w:tcPr>
            <w:tcW w:w="760" w:type="dxa"/>
            <w:vAlign w:val="bottom"/>
            <w:tcBorders>
              <w:top w:val="single" w:sz="8" w:color="C6F4F9"/>
            </w:tcBorders>
            <w:shd w:val="clear" w:color="auto" w:fill="C6F4F9"/>
          </w:tcPr>
          <w:p>
            <w:pPr>
              <w:spacing w:after="0"/>
              <w:rPr>
                <w:sz w:val="4"/>
                <w:szCs w:val="4"/>
                <w:color w:val="auto"/>
              </w:rPr>
            </w:pPr>
          </w:p>
        </w:tc>
        <w:tc>
          <w:tcPr>
            <w:tcW w:w="1220" w:type="dxa"/>
            <w:vAlign w:val="bottom"/>
            <w:tcBorders>
              <w:top w:val="single" w:sz="8" w:color="C6F4F9"/>
            </w:tcBorders>
            <w:shd w:val="clear" w:color="auto" w:fill="C6F4F9"/>
          </w:tcPr>
          <w:p>
            <w:pPr>
              <w:spacing w:after="0"/>
              <w:rPr>
                <w:sz w:val="4"/>
                <w:szCs w:val="4"/>
                <w:color w:val="auto"/>
              </w:rPr>
            </w:pPr>
          </w:p>
        </w:tc>
        <w:tc>
          <w:tcPr>
            <w:tcW w:w="220" w:type="dxa"/>
            <w:vAlign w:val="bottom"/>
            <w:tcBorders>
              <w:top w:val="single" w:sz="8" w:color="C6F4F9"/>
            </w:tcBorders>
            <w:shd w:val="clear" w:color="auto" w:fill="C6F4F9"/>
          </w:tcPr>
          <w:p>
            <w:pPr>
              <w:spacing w:after="0"/>
              <w:rPr>
                <w:sz w:val="4"/>
                <w:szCs w:val="4"/>
                <w:color w:val="auto"/>
              </w:rPr>
            </w:pPr>
          </w:p>
        </w:tc>
        <w:tc>
          <w:tcPr>
            <w:tcW w:w="140" w:type="dxa"/>
            <w:vAlign w:val="bottom"/>
            <w:tcBorders>
              <w:top w:val="single" w:sz="8" w:color="C6F4F9"/>
            </w:tcBorders>
            <w:shd w:val="clear" w:color="auto" w:fill="C6F4F9"/>
          </w:tcPr>
          <w:p>
            <w:pPr>
              <w:spacing w:after="0"/>
              <w:rPr>
                <w:sz w:val="4"/>
                <w:szCs w:val="4"/>
                <w:color w:val="auto"/>
              </w:rPr>
            </w:pPr>
          </w:p>
        </w:tc>
        <w:tc>
          <w:tcPr>
            <w:tcW w:w="140" w:type="dxa"/>
            <w:vAlign w:val="bottom"/>
            <w:tcBorders>
              <w:top w:val="single" w:sz="8" w:color="C6F4F9"/>
            </w:tcBorders>
            <w:shd w:val="clear" w:color="auto" w:fill="C6F4F9"/>
          </w:tcPr>
          <w:p>
            <w:pPr>
              <w:spacing w:after="0"/>
              <w:rPr>
                <w:sz w:val="4"/>
                <w:szCs w:val="4"/>
                <w:color w:val="auto"/>
              </w:rPr>
            </w:pPr>
          </w:p>
        </w:tc>
        <w:tc>
          <w:tcPr>
            <w:tcW w:w="140" w:type="dxa"/>
            <w:vAlign w:val="bottom"/>
            <w:tcBorders>
              <w:top w:val="single" w:sz="8" w:color="C6F4F9"/>
            </w:tcBorders>
            <w:shd w:val="clear" w:color="auto" w:fill="C6F4F9"/>
          </w:tcPr>
          <w:p>
            <w:pPr>
              <w:spacing w:after="0"/>
              <w:rPr>
                <w:sz w:val="4"/>
                <w:szCs w:val="4"/>
                <w:color w:val="auto"/>
              </w:rPr>
            </w:pPr>
          </w:p>
        </w:tc>
        <w:tc>
          <w:tcPr>
            <w:tcW w:w="100" w:type="dxa"/>
            <w:vAlign w:val="bottom"/>
            <w:tcBorders>
              <w:top w:val="single" w:sz="8" w:color="C6F4F9"/>
            </w:tcBorders>
            <w:shd w:val="clear" w:color="auto" w:fill="C6F4F9"/>
          </w:tcPr>
          <w:p>
            <w:pPr>
              <w:spacing w:after="0"/>
              <w:rPr>
                <w:sz w:val="4"/>
                <w:szCs w:val="4"/>
                <w:color w:val="auto"/>
              </w:rPr>
            </w:pPr>
          </w:p>
        </w:tc>
        <w:tc>
          <w:tcPr>
            <w:tcW w:w="960" w:type="dxa"/>
            <w:vAlign w:val="bottom"/>
            <w:tcBorders>
              <w:top w:val="single" w:sz="8" w:color="C6F4F9"/>
            </w:tcBorders>
            <w:shd w:val="clear" w:color="auto" w:fill="C6F4F9"/>
          </w:tcPr>
          <w:p>
            <w:pPr>
              <w:spacing w:after="0"/>
              <w:rPr>
                <w:sz w:val="4"/>
                <w:szCs w:val="4"/>
                <w:color w:val="auto"/>
              </w:rPr>
            </w:pPr>
          </w:p>
        </w:tc>
        <w:tc>
          <w:tcPr>
            <w:tcW w:w="60" w:type="dxa"/>
            <w:vAlign w:val="bottom"/>
            <w:tcBorders>
              <w:top w:val="single" w:sz="8" w:color="C6F4F9"/>
            </w:tcBorders>
            <w:shd w:val="clear" w:color="auto" w:fill="C6F4F9"/>
          </w:tcPr>
          <w:p>
            <w:pPr>
              <w:spacing w:after="0"/>
              <w:rPr>
                <w:sz w:val="4"/>
                <w:szCs w:val="4"/>
                <w:color w:val="auto"/>
              </w:rPr>
            </w:pPr>
          </w:p>
        </w:tc>
        <w:tc>
          <w:tcPr>
            <w:tcW w:w="18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8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80" w:type="dxa"/>
            <w:vAlign w:val="bottom"/>
            <w:tcBorders>
              <w:top w:val="single" w:sz="8" w:color="C6F4F9"/>
            </w:tcBorders>
            <w:shd w:val="clear" w:color="auto" w:fill="C6F4F9"/>
          </w:tcPr>
          <w:p>
            <w:pPr>
              <w:spacing w:after="0"/>
              <w:rPr>
                <w:sz w:val="4"/>
                <w:szCs w:val="4"/>
                <w:color w:val="auto"/>
              </w:rPr>
            </w:pPr>
          </w:p>
        </w:tc>
        <w:tc>
          <w:tcPr>
            <w:tcW w:w="20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r>
      <w:tr>
        <w:trPr>
          <w:trHeight w:val="203"/>
        </w:trPr>
        <w:tc>
          <w:tcPr>
            <w:tcW w:w="1040" w:type="dxa"/>
            <w:vAlign w:val="bottom"/>
            <w:gridSpan w:val="6"/>
          </w:tcPr>
          <w:p>
            <w:pPr>
              <w:ind w:left="20"/>
              <w:spacing w:after="0" w:line="202"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10420" w:type="dxa"/>
            <w:vAlign w:val="bottom"/>
            <w:gridSpan w:val="38"/>
          </w:tcPr>
          <w:p>
            <w:pPr>
              <w:spacing w:after="0" w:line="202"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Non-Qualified Stock Option Agreement Terms and Conditions under the 2020 Plan (Incorporated by reference to Exhibit 10.3 filed</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40" w:type="dxa"/>
            <w:vAlign w:val="bottom"/>
            <w:tcBorders>
              <w:top w:val="single" w:sz="8" w:color="0000EE"/>
            </w:tcBorders>
            <w:gridSpan w:val="34"/>
          </w:tcPr>
          <w:p>
            <w:pPr>
              <w:spacing w:after="0" w:line="182"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with our Current Report on Form 8-K on September 3, 2020).</w:t>
              </w:r>
            </w:hyperlink>
          </w:p>
        </w:tc>
        <w:tc>
          <w:tcPr>
            <w:tcW w:w="60" w:type="dxa"/>
            <w:vAlign w:val="bottom"/>
            <w:gridSpan w:val="3"/>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40" w:type="dxa"/>
            <w:vAlign w:val="bottom"/>
            <w:gridSpan w:val="6"/>
            <w:shd w:val="clear" w:color="auto" w:fill="C6F4F9"/>
          </w:tcPr>
          <w:p>
            <w:pPr>
              <w:ind w:left="20"/>
              <w:spacing w:after="0" w:line="20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10420" w:type="dxa"/>
            <w:vAlign w:val="bottom"/>
            <w:gridSpan w:val="38"/>
            <w:shd w:val="clear" w:color="auto" w:fill="C6F4F9"/>
          </w:tcPr>
          <w:p>
            <w:pPr>
              <w:spacing w:after="0" w:line="202"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Incentive Stock Option Terms and Conditions under the 2020 Plan (Incorporated by reference to Exhibit 10.4 filed with our Current</w:t>
              </w:r>
            </w:hyperlink>
          </w:p>
        </w:tc>
      </w:tr>
      <w:tr>
        <w:trPr>
          <w:trHeight w:val="183"/>
        </w:trPr>
        <w:tc>
          <w:tcPr>
            <w:tcW w:w="20" w:type="dxa"/>
            <w:vAlign w:val="bottom"/>
            <w:tcBorders>
              <w:top w:val="single" w:sz="8" w:color="C6F4F9"/>
            </w:tcBorders>
            <w:shd w:val="clear" w:color="auto" w:fill="C6F4F9"/>
          </w:tcPr>
          <w:p>
            <w:pPr>
              <w:spacing w:after="0"/>
              <w:rPr>
                <w:sz w:val="15"/>
                <w:szCs w:val="15"/>
                <w:color w:val="auto"/>
              </w:rPr>
            </w:pPr>
          </w:p>
        </w:tc>
        <w:tc>
          <w:tcPr>
            <w:tcW w:w="240" w:type="dxa"/>
            <w:vAlign w:val="bottom"/>
            <w:tcBorders>
              <w:top w:val="single" w:sz="8" w:color="0000FF"/>
            </w:tcBorders>
            <w:shd w:val="clear" w:color="auto" w:fill="C6F4F9"/>
          </w:tcPr>
          <w:p>
            <w:pPr>
              <w:spacing w:after="0"/>
              <w:rPr>
                <w:sz w:val="15"/>
                <w:szCs w:val="15"/>
                <w:color w:val="auto"/>
              </w:rPr>
            </w:pPr>
          </w:p>
        </w:tc>
        <w:tc>
          <w:tcPr>
            <w:tcW w:w="80" w:type="dxa"/>
            <w:vAlign w:val="bottom"/>
            <w:tcBorders>
              <w:top w:val="single" w:sz="8" w:color="0000FF"/>
            </w:tcBorders>
            <w:shd w:val="clear" w:color="auto" w:fill="C6F4F9"/>
          </w:tcPr>
          <w:p>
            <w:pPr>
              <w:spacing w:after="0"/>
              <w:rPr>
                <w:sz w:val="15"/>
                <w:szCs w:val="15"/>
                <w:color w:val="auto"/>
              </w:rPr>
            </w:pPr>
          </w:p>
        </w:tc>
        <w:tc>
          <w:tcPr>
            <w:tcW w:w="80" w:type="dxa"/>
            <w:vAlign w:val="bottom"/>
            <w:tcBorders>
              <w:top w:val="single" w:sz="8" w:color="0000FF"/>
            </w:tcBorders>
            <w:shd w:val="clear" w:color="auto" w:fill="C6F4F9"/>
          </w:tcPr>
          <w:p>
            <w:pPr>
              <w:spacing w:after="0"/>
              <w:rPr>
                <w:sz w:val="15"/>
                <w:szCs w:val="15"/>
                <w:color w:val="auto"/>
              </w:rPr>
            </w:pPr>
          </w:p>
        </w:tc>
        <w:tc>
          <w:tcPr>
            <w:tcW w:w="20" w:type="dxa"/>
            <w:vAlign w:val="bottom"/>
            <w:tcBorders>
              <w:top w:val="single" w:sz="8" w:color="0000FF"/>
            </w:tcBorders>
            <w:shd w:val="clear" w:color="auto" w:fill="C6F4F9"/>
          </w:tcPr>
          <w:p>
            <w:pPr>
              <w:spacing w:after="0"/>
              <w:rPr>
                <w:sz w:val="15"/>
                <w:szCs w:val="15"/>
                <w:color w:val="auto"/>
              </w:rPr>
            </w:pPr>
          </w:p>
        </w:tc>
        <w:tc>
          <w:tcPr>
            <w:tcW w:w="60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10200" w:type="dxa"/>
            <w:vAlign w:val="bottom"/>
            <w:tcBorders>
              <w:top w:val="single" w:sz="8" w:color="0000EE"/>
            </w:tcBorders>
            <w:gridSpan w:val="27"/>
            <w:shd w:val="clear" w:color="auto" w:fill="C6F4F9"/>
          </w:tcPr>
          <w:p>
            <w:pPr>
              <w:spacing w:after="0" w:line="182"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Report on Form 8-K on September 3, 2020).</w:t>
              </w:r>
            </w:hyperlink>
          </w:p>
        </w:tc>
        <w:tc>
          <w:tcPr>
            <w:tcW w:w="20" w:type="dxa"/>
            <w:vAlign w:val="bottom"/>
            <w:tcBorders>
              <w:top w:val="single" w:sz="8" w:color="C6F4F9"/>
            </w:tcBorders>
            <w:shd w:val="clear" w:color="auto" w:fill="C6F4F9"/>
          </w:tcPr>
          <w:p>
            <w:pPr>
              <w:spacing w:after="0"/>
              <w:rPr>
                <w:sz w:val="15"/>
                <w:szCs w:val="15"/>
                <w:color w:val="auto"/>
              </w:rPr>
            </w:pPr>
          </w:p>
        </w:tc>
        <w:tc>
          <w:tcPr>
            <w:tcW w:w="20" w:type="dxa"/>
            <w:vAlign w:val="bottom"/>
            <w:tcBorders>
              <w:top w:val="single" w:sz="8" w:color="C6F4F9"/>
            </w:tcBorders>
            <w:shd w:val="clear" w:color="auto" w:fill="C6F4F9"/>
          </w:tcPr>
          <w:p>
            <w:pPr>
              <w:spacing w:after="0"/>
              <w:rPr>
                <w:sz w:val="15"/>
                <w:szCs w:val="15"/>
                <w:color w:val="auto"/>
              </w:rPr>
            </w:pPr>
          </w:p>
        </w:tc>
        <w:tc>
          <w:tcPr>
            <w:tcW w:w="80" w:type="dxa"/>
            <w:vAlign w:val="bottom"/>
            <w:tcBorders>
              <w:top w:val="single" w:sz="8" w:color="C6F4F9"/>
            </w:tcBorders>
            <w:gridSpan w:val="4"/>
            <w:shd w:val="clear" w:color="auto" w:fill="C6F4F9"/>
          </w:tcPr>
          <w:p>
            <w:pPr>
              <w:spacing w:after="0"/>
              <w:rPr>
                <w:sz w:val="15"/>
                <w:szCs w:val="15"/>
                <w:color w:val="auto"/>
              </w:rPr>
            </w:pPr>
          </w:p>
        </w:tc>
        <w:tc>
          <w:tcPr>
            <w:tcW w:w="80" w:type="dxa"/>
            <w:vAlign w:val="bottom"/>
            <w:tcBorders>
              <w:top w:val="single" w:sz="8" w:color="C6F4F9"/>
            </w:tcBorders>
            <w:gridSpan w:val="4"/>
            <w:shd w:val="clear" w:color="auto" w:fill="C6F4F9"/>
          </w:tcPr>
          <w:p>
            <w:pPr>
              <w:spacing w:after="0"/>
              <w:rPr>
                <w:sz w:val="15"/>
                <w:szCs w:val="15"/>
                <w:color w:val="auto"/>
              </w:rPr>
            </w:pPr>
          </w:p>
        </w:tc>
      </w:tr>
      <w:tr>
        <w:trPr>
          <w:trHeight w:val="48"/>
        </w:trPr>
        <w:tc>
          <w:tcPr>
            <w:tcW w:w="20" w:type="dxa"/>
            <w:vAlign w:val="bottom"/>
            <w:tcBorders>
              <w:top w:val="single" w:sz="8" w:color="C6F4F9"/>
            </w:tcBorders>
            <w:shd w:val="clear" w:color="auto" w:fill="C6F4F9"/>
          </w:tcPr>
          <w:p>
            <w:pPr>
              <w:spacing w:after="0"/>
              <w:rPr>
                <w:sz w:val="4"/>
                <w:szCs w:val="4"/>
                <w:color w:val="auto"/>
              </w:rPr>
            </w:pPr>
          </w:p>
        </w:tc>
        <w:tc>
          <w:tcPr>
            <w:tcW w:w="240" w:type="dxa"/>
            <w:vAlign w:val="bottom"/>
            <w:tcBorders>
              <w:top w:val="single" w:sz="8" w:color="C6F4F9"/>
            </w:tcBorders>
            <w:shd w:val="clear" w:color="auto" w:fill="C6F4F9"/>
          </w:tcPr>
          <w:p>
            <w:pPr>
              <w:spacing w:after="0"/>
              <w:rPr>
                <w:sz w:val="4"/>
                <w:szCs w:val="4"/>
                <w:color w:val="auto"/>
              </w:rPr>
            </w:pPr>
          </w:p>
        </w:tc>
        <w:tc>
          <w:tcPr>
            <w:tcW w:w="80" w:type="dxa"/>
            <w:vAlign w:val="bottom"/>
            <w:tcBorders>
              <w:top w:val="single" w:sz="8" w:color="C6F4F9"/>
            </w:tcBorders>
            <w:shd w:val="clear" w:color="auto" w:fill="C6F4F9"/>
          </w:tcPr>
          <w:p>
            <w:pPr>
              <w:spacing w:after="0"/>
              <w:rPr>
                <w:sz w:val="4"/>
                <w:szCs w:val="4"/>
                <w:color w:val="auto"/>
              </w:rPr>
            </w:pPr>
          </w:p>
        </w:tc>
        <w:tc>
          <w:tcPr>
            <w:tcW w:w="8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60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080" w:type="dxa"/>
            <w:vAlign w:val="bottom"/>
            <w:tcBorders>
              <w:top w:val="single" w:sz="8" w:color="0000EE"/>
            </w:tcBorders>
            <w:shd w:val="clear" w:color="auto" w:fill="C6F4F9"/>
          </w:tcPr>
          <w:p>
            <w:pPr>
              <w:spacing w:after="0"/>
              <w:rPr>
                <w:sz w:val="4"/>
                <w:szCs w:val="4"/>
                <w:color w:val="auto"/>
              </w:rPr>
            </w:pPr>
          </w:p>
        </w:tc>
        <w:tc>
          <w:tcPr>
            <w:tcW w:w="1340" w:type="dxa"/>
            <w:vAlign w:val="bottom"/>
            <w:tcBorders>
              <w:top w:val="single" w:sz="8" w:color="0000EE"/>
            </w:tcBorders>
            <w:shd w:val="clear" w:color="auto" w:fill="C6F4F9"/>
          </w:tcPr>
          <w:p>
            <w:pPr>
              <w:spacing w:after="0"/>
              <w:rPr>
                <w:sz w:val="4"/>
                <w:szCs w:val="4"/>
                <w:color w:val="auto"/>
              </w:rPr>
            </w:pPr>
          </w:p>
        </w:tc>
        <w:tc>
          <w:tcPr>
            <w:tcW w:w="760" w:type="dxa"/>
            <w:vAlign w:val="bottom"/>
            <w:tcBorders>
              <w:top w:val="single" w:sz="8" w:color="0000EE"/>
            </w:tcBorders>
            <w:shd w:val="clear" w:color="auto" w:fill="C6F4F9"/>
          </w:tcPr>
          <w:p>
            <w:pPr>
              <w:spacing w:after="0"/>
              <w:rPr>
                <w:sz w:val="4"/>
                <w:szCs w:val="4"/>
                <w:color w:val="auto"/>
              </w:rPr>
            </w:pPr>
          </w:p>
        </w:tc>
        <w:tc>
          <w:tcPr>
            <w:tcW w:w="520" w:type="dxa"/>
            <w:vAlign w:val="bottom"/>
            <w:tcBorders>
              <w:top w:val="single" w:sz="8" w:color="C6F4F9"/>
            </w:tcBorders>
            <w:shd w:val="clear" w:color="auto" w:fill="C6F4F9"/>
          </w:tcPr>
          <w:p>
            <w:pPr>
              <w:spacing w:after="0"/>
              <w:rPr>
                <w:sz w:val="4"/>
                <w:szCs w:val="4"/>
                <w:color w:val="auto"/>
              </w:rPr>
            </w:pPr>
          </w:p>
        </w:tc>
        <w:tc>
          <w:tcPr>
            <w:tcW w:w="720" w:type="dxa"/>
            <w:vAlign w:val="bottom"/>
            <w:tcBorders>
              <w:top w:val="single" w:sz="8" w:color="C6F4F9"/>
            </w:tcBorders>
            <w:shd w:val="clear" w:color="auto" w:fill="C6F4F9"/>
          </w:tcPr>
          <w:p>
            <w:pPr>
              <w:spacing w:after="0"/>
              <w:rPr>
                <w:sz w:val="4"/>
                <w:szCs w:val="4"/>
                <w:color w:val="auto"/>
              </w:rPr>
            </w:pPr>
          </w:p>
        </w:tc>
        <w:tc>
          <w:tcPr>
            <w:tcW w:w="740" w:type="dxa"/>
            <w:vAlign w:val="bottom"/>
            <w:tcBorders>
              <w:top w:val="single" w:sz="8" w:color="C6F4F9"/>
            </w:tcBorders>
            <w:shd w:val="clear" w:color="auto" w:fill="C6F4F9"/>
          </w:tcPr>
          <w:p>
            <w:pPr>
              <w:spacing w:after="0"/>
              <w:rPr>
                <w:sz w:val="4"/>
                <w:szCs w:val="4"/>
                <w:color w:val="auto"/>
              </w:rPr>
            </w:pPr>
          </w:p>
        </w:tc>
        <w:tc>
          <w:tcPr>
            <w:tcW w:w="200" w:type="dxa"/>
            <w:vAlign w:val="bottom"/>
            <w:tcBorders>
              <w:top w:val="single" w:sz="8" w:color="C6F4F9"/>
            </w:tcBorders>
            <w:shd w:val="clear" w:color="auto" w:fill="C6F4F9"/>
          </w:tcPr>
          <w:p>
            <w:pPr>
              <w:spacing w:after="0"/>
              <w:rPr>
                <w:sz w:val="4"/>
                <w:szCs w:val="4"/>
                <w:color w:val="auto"/>
              </w:rPr>
            </w:pPr>
          </w:p>
        </w:tc>
        <w:tc>
          <w:tcPr>
            <w:tcW w:w="220" w:type="dxa"/>
            <w:vAlign w:val="bottom"/>
            <w:tcBorders>
              <w:top w:val="single" w:sz="8" w:color="C6F4F9"/>
            </w:tcBorders>
            <w:shd w:val="clear" w:color="auto" w:fill="C6F4F9"/>
          </w:tcPr>
          <w:p>
            <w:pPr>
              <w:spacing w:after="0"/>
              <w:rPr>
                <w:sz w:val="4"/>
                <w:szCs w:val="4"/>
                <w:color w:val="auto"/>
              </w:rPr>
            </w:pPr>
          </w:p>
        </w:tc>
        <w:tc>
          <w:tcPr>
            <w:tcW w:w="40" w:type="dxa"/>
            <w:vAlign w:val="bottom"/>
            <w:tcBorders>
              <w:top w:val="single" w:sz="8" w:color="C6F4F9"/>
            </w:tcBorders>
            <w:shd w:val="clear" w:color="auto" w:fill="C6F4F9"/>
          </w:tcPr>
          <w:p>
            <w:pPr>
              <w:spacing w:after="0"/>
              <w:rPr>
                <w:sz w:val="4"/>
                <w:szCs w:val="4"/>
                <w:color w:val="auto"/>
              </w:rPr>
            </w:pPr>
          </w:p>
        </w:tc>
        <w:tc>
          <w:tcPr>
            <w:tcW w:w="760" w:type="dxa"/>
            <w:vAlign w:val="bottom"/>
            <w:tcBorders>
              <w:top w:val="single" w:sz="8" w:color="C6F4F9"/>
            </w:tcBorders>
            <w:shd w:val="clear" w:color="auto" w:fill="C6F4F9"/>
          </w:tcPr>
          <w:p>
            <w:pPr>
              <w:spacing w:after="0"/>
              <w:rPr>
                <w:sz w:val="4"/>
                <w:szCs w:val="4"/>
                <w:color w:val="auto"/>
              </w:rPr>
            </w:pPr>
          </w:p>
        </w:tc>
        <w:tc>
          <w:tcPr>
            <w:tcW w:w="1220" w:type="dxa"/>
            <w:vAlign w:val="bottom"/>
            <w:tcBorders>
              <w:top w:val="single" w:sz="8" w:color="C6F4F9"/>
            </w:tcBorders>
            <w:shd w:val="clear" w:color="auto" w:fill="C6F4F9"/>
          </w:tcPr>
          <w:p>
            <w:pPr>
              <w:spacing w:after="0"/>
              <w:rPr>
                <w:sz w:val="4"/>
                <w:szCs w:val="4"/>
                <w:color w:val="auto"/>
              </w:rPr>
            </w:pPr>
          </w:p>
        </w:tc>
        <w:tc>
          <w:tcPr>
            <w:tcW w:w="220" w:type="dxa"/>
            <w:vAlign w:val="bottom"/>
            <w:tcBorders>
              <w:top w:val="single" w:sz="8" w:color="C6F4F9"/>
            </w:tcBorders>
            <w:shd w:val="clear" w:color="auto" w:fill="C6F4F9"/>
          </w:tcPr>
          <w:p>
            <w:pPr>
              <w:spacing w:after="0"/>
              <w:rPr>
                <w:sz w:val="4"/>
                <w:szCs w:val="4"/>
                <w:color w:val="auto"/>
              </w:rPr>
            </w:pPr>
          </w:p>
        </w:tc>
        <w:tc>
          <w:tcPr>
            <w:tcW w:w="140" w:type="dxa"/>
            <w:vAlign w:val="bottom"/>
            <w:tcBorders>
              <w:top w:val="single" w:sz="8" w:color="C6F4F9"/>
            </w:tcBorders>
            <w:shd w:val="clear" w:color="auto" w:fill="C6F4F9"/>
          </w:tcPr>
          <w:p>
            <w:pPr>
              <w:spacing w:after="0"/>
              <w:rPr>
                <w:sz w:val="4"/>
                <w:szCs w:val="4"/>
                <w:color w:val="auto"/>
              </w:rPr>
            </w:pPr>
          </w:p>
        </w:tc>
        <w:tc>
          <w:tcPr>
            <w:tcW w:w="140" w:type="dxa"/>
            <w:vAlign w:val="bottom"/>
            <w:tcBorders>
              <w:top w:val="single" w:sz="8" w:color="C6F4F9"/>
            </w:tcBorders>
            <w:shd w:val="clear" w:color="auto" w:fill="C6F4F9"/>
          </w:tcPr>
          <w:p>
            <w:pPr>
              <w:spacing w:after="0"/>
              <w:rPr>
                <w:sz w:val="4"/>
                <w:szCs w:val="4"/>
                <w:color w:val="auto"/>
              </w:rPr>
            </w:pPr>
          </w:p>
        </w:tc>
        <w:tc>
          <w:tcPr>
            <w:tcW w:w="140" w:type="dxa"/>
            <w:vAlign w:val="bottom"/>
            <w:tcBorders>
              <w:top w:val="single" w:sz="8" w:color="C6F4F9"/>
            </w:tcBorders>
            <w:shd w:val="clear" w:color="auto" w:fill="C6F4F9"/>
          </w:tcPr>
          <w:p>
            <w:pPr>
              <w:spacing w:after="0"/>
              <w:rPr>
                <w:sz w:val="4"/>
                <w:szCs w:val="4"/>
                <w:color w:val="auto"/>
              </w:rPr>
            </w:pPr>
          </w:p>
        </w:tc>
        <w:tc>
          <w:tcPr>
            <w:tcW w:w="100" w:type="dxa"/>
            <w:vAlign w:val="bottom"/>
            <w:tcBorders>
              <w:top w:val="single" w:sz="8" w:color="C6F4F9"/>
            </w:tcBorders>
            <w:shd w:val="clear" w:color="auto" w:fill="C6F4F9"/>
          </w:tcPr>
          <w:p>
            <w:pPr>
              <w:spacing w:after="0"/>
              <w:rPr>
                <w:sz w:val="4"/>
                <w:szCs w:val="4"/>
                <w:color w:val="auto"/>
              </w:rPr>
            </w:pPr>
          </w:p>
        </w:tc>
        <w:tc>
          <w:tcPr>
            <w:tcW w:w="960" w:type="dxa"/>
            <w:vAlign w:val="bottom"/>
            <w:tcBorders>
              <w:top w:val="single" w:sz="8" w:color="C6F4F9"/>
            </w:tcBorders>
            <w:shd w:val="clear" w:color="auto" w:fill="C6F4F9"/>
          </w:tcPr>
          <w:p>
            <w:pPr>
              <w:spacing w:after="0"/>
              <w:rPr>
                <w:sz w:val="4"/>
                <w:szCs w:val="4"/>
                <w:color w:val="auto"/>
              </w:rPr>
            </w:pPr>
          </w:p>
        </w:tc>
        <w:tc>
          <w:tcPr>
            <w:tcW w:w="60" w:type="dxa"/>
            <w:vAlign w:val="bottom"/>
            <w:tcBorders>
              <w:top w:val="single" w:sz="8" w:color="C6F4F9"/>
            </w:tcBorders>
            <w:shd w:val="clear" w:color="auto" w:fill="C6F4F9"/>
          </w:tcPr>
          <w:p>
            <w:pPr>
              <w:spacing w:after="0"/>
              <w:rPr>
                <w:sz w:val="4"/>
                <w:szCs w:val="4"/>
                <w:color w:val="auto"/>
              </w:rPr>
            </w:pPr>
          </w:p>
        </w:tc>
        <w:tc>
          <w:tcPr>
            <w:tcW w:w="18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8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180" w:type="dxa"/>
            <w:vAlign w:val="bottom"/>
            <w:tcBorders>
              <w:top w:val="single" w:sz="8" w:color="C6F4F9"/>
            </w:tcBorders>
            <w:shd w:val="clear" w:color="auto" w:fill="C6F4F9"/>
          </w:tcPr>
          <w:p>
            <w:pPr>
              <w:spacing w:after="0"/>
              <w:rPr>
                <w:sz w:val="4"/>
                <w:szCs w:val="4"/>
                <w:color w:val="auto"/>
              </w:rPr>
            </w:pPr>
          </w:p>
        </w:tc>
        <w:tc>
          <w:tcPr>
            <w:tcW w:w="20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c>
          <w:tcPr>
            <w:tcW w:w="20" w:type="dxa"/>
            <w:vAlign w:val="bottom"/>
            <w:tcBorders>
              <w:top w:val="single" w:sz="8" w:color="C6F4F9"/>
            </w:tcBorders>
            <w:shd w:val="clear" w:color="auto" w:fill="C6F4F9"/>
          </w:tcPr>
          <w:p>
            <w:pPr>
              <w:spacing w:after="0"/>
              <w:rPr>
                <w:sz w:val="4"/>
                <w:szCs w:val="4"/>
                <w:color w:val="auto"/>
              </w:rPr>
            </w:pPr>
          </w:p>
        </w:tc>
      </w:tr>
      <w:tr>
        <w:trPr>
          <w:trHeight w:val="203"/>
        </w:trPr>
        <w:tc>
          <w:tcPr>
            <w:tcW w:w="1040" w:type="dxa"/>
            <w:vAlign w:val="bottom"/>
            <w:gridSpan w:val="6"/>
          </w:tcPr>
          <w:p>
            <w:pPr>
              <w:ind w:left="20"/>
              <w:spacing w:after="0" w:line="20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10420" w:type="dxa"/>
            <w:vAlign w:val="bottom"/>
            <w:gridSpan w:val="38"/>
          </w:tcPr>
          <w:p>
            <w:pPr>
              <w:spacing w:after="0" w:line="202"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Restricted Stock Unit Terms and Conditions under the 2020 Plan (Incorporated by reference to Exhibit 10.5 filed with our Current</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40" w:type="dxa"/>
            <w:vAlign w:val="bottom"/>
            <w:tcBorders>
              <w:top w:val="single" w:sz="8" w:color="0000EE"/>
            </w:tcBorders>
            <w:gridSpan w:val="29"/>
          </w:tcPr>
          <w:p>
            <w:pPr>
              <w:spacing w:after="0" w:line="182"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Report on Form 8-K on September 3, 2020).</w:t>
              </w:r>
            </w:hyperlink>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40" w:type="dxa"/>
            <w:vAlign w:val="bottom"/>
            <w:gridSpan w:val="6"/>
            <w:shd w:val="clear" w:color="auto" w:fill="C6F4F9"/>
          </w:tcPr>
          <w:p>
            <w:pPr>
              <w:ind w:left="20"/>
              <w:spacing w:after="0" w:line="20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10420" w:type="dxa"/>
            <w:vAlign w:val="bottom"/>
            <w:gridSpan w:val="38"/>
            <w:shd w:val="clear" w:color="auto" w:fill="C6F4F9"/>
          </w:tcPr>
          <w:p>
            <w:pPr>
              <w:spacing w:after="0" w:line="202"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Cooperation Agreement dated July 23, 2022 by and between the Company and Prairieland Holdco, LLC (Incorporated by reference to</w:t>
              </w:r>
            </w:hyperlink>
          </w:p>
        </w:tc>
      </w:tr>
      <w:tr>
        <w:trPr>
          <w:trHeight w:val="230"/>
        </w:trPr>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40" w:type="dxa"/>
            <w:vAlign w:val="bottom"/>
            <w:tcBorders>
              <w:top w:val="single" w:sz="8" w:color="0000FF"/>
              <w:bottom w:val="single" w:sz="8" w:color="C6F4F9"/>
            </w:tcBorders>
            <w:shd w:val="clear" w:color="auto" w:fill="C6F4F9"/>
          </w:tcPr>
          <w:p>
            <w:pPr>
              <w:spacing w:after="0"/>
              <w:rPr>
                <w:sz w:val="20"/>
                <w:szCs w:val="20"/>
                <w:color w:val="auto"/>
              </w:rPr>
            </w:pPr>
          </w:p>
        </w:tc>
        <w:tc>
          <w:tcPr>
            <w:tcW w:w="80" w:type="dxa"/>
            <w:vAlign w:val="bottom"/>
            <w:tcBorders>
              <w:top w:val="single" w:sz="8" w:color="0000FF"/>
              <w:bottom w:val="single" w:sz="8" w:color="C6F4F9"/>
            </w:tcBorders>
            <w:shd w:val="clear" w:color="auto" w:fill="C6F4F9"/>
          </w:tcPr>
          <w:p>
            <w:pPr>
              <w:spacing w:after="0"/>
              <w:rPr>
                <w:sz w:val="20"/>
                <w:szCs w:val="20"/>
                <w:color w:val="auto"/>
              </w:rPr>
            </w:pPr>
          </w:p>
        </w:tc>
        <w:tc>
          <w:tcPr>
            <w:tcW w:w="80" w:type="dxa"/>
            <w:vAlign w:val="bottom"/>
            <w:tcBorders>
              <w:top w:val="single" w:sz="8" w:color="0000FF"/>
              <w:bottom w:val="single" w:sz="8" w:color="C6F4F9"/>
            </w:tcBorders>
            <w:shd w:val="clear" w:color="auto" w:fill="C6F4F9"/>
          </w:tcPr>
          <w:p>
            <w:pPr>
              <w:spacing w:after="0"/>
              <w:rPr>
                <w:sz w:val="20"/>
                <w:szCs w:val="20"/>
                <w:color w:val="auto"/>
              </w:rPr>
            </w:pPr>
          </w:p>
        </w:tc>
        <w:tc>
          <w:tcPr>
            <w:tcW w:w="20" w:type="dxa"/>
            <w:vAlign w:val="bottom"/>
            <w:tcBorders>
              <w:top w:val="single" w:sz="8" w:color="0000FF"/>
              <w:bottom w:val="single" w:sz="8" w:color="C6F4F9"/>
            </w:tcBorders>
            <w:shd w:val="clear" w:color="auto" w:fill="C6F4F9"/>
          </w:tcPr>
          <w:p>
            <w:pPr>
              <w:spacing w:after="0"/>
              <w:rPr>
                <w:sz w:val="20"/>
                <w:szCs w:val="20"/>
                <w:color w:val="auto"/>
              </w:rPr>
            </w:pPr>
          </w:p>
        </w:tc>
        <w:tc>
          <w:tcPr>
            <w:tcW w:w="60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5360" w:type="dxa"/>
            <w:vAlign w:val="bottom"/>
            <w:tcBorders>
              <w:top w:val="single" w:sz="8" w:color="0000EE"/>
              <w:bottom w:val="single" w:sz="8" w:color="0000EE"/>
            </w:tcBorders>
            <w:gridSpan w:val="7"/>
            <w:shd w:val="clear" w:color="auto" w:fill="C6F4F9"/>
          </w:tcPr>
          <w:p>
            <w:pPr>
              <w:spacing w:after="0" w:line="182"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Exhibit 10.1 filed with our Current Report on Form 8-K on July 27, 2022).</w:t>
              </w:r>
            </w:hyperlink>
          </w:p>
        </w:tc>
        <w:tc>
          <w:tcPr>
            <w:tcW w:w="4860" w:type="dxa"/>
            <w:vAlign w:val="bottom"/>
            <w:tcBorders>
              <w:top w:val="single" w:sz="8" w:color="0000EE"/>
              <w:bottom w:val="single" w:sz="8" w:color="C6F4F9"/>
            </w:tcBorders>
            <w:gridSpan w:val="21"/>
            <w:shd w:val="clear" w:color="auto" w:fill="C6F4F9"/>
          </w:tcPr>
          <w:p>
            <w:pPr>
              <w:spacing w:after="0"/>
              <w:rPr>
                <w:sz w:val="20"/>
                <w:szCs w:val="20"/>
                <w:color w:val="auto"/>
              </w:rPr>
            </w:pPr>
          </w:p>
        </w:tc>
        <w:tc>
          <w:tcPr>
            <w:tcW w:w="100" w:type="dxa"/>
            <w:vAlign w:val="bottom"/>
            <w:tcBorders>
              <w:top w:val="single" w:sz="8" w:color="C6F4F9"/>
              <w:bottom w:val="single" w:sz="8" w:color="C6F4F9"/>
            </w:tcBorders>
            <w:gridSpan w:val="5"/>
            <w:shd w:val="clear" w:color="auto" w:fill="C6F4F9"/>
          </w:tcPr>
          <w:p>
            <w:pPr>
              <w:spacing w:after="0"/>
              <w:rPr>
                <w:sz w:val="20"/>
                <w:szCs w:val="20"/>
                <w:color w:val="auto"/>
              </w:rPr>
            </w:pPr>
          </w:p>
        </w:tc>
        <w:tc>
          <w:tcPr>
            <w:tcW w:w="80" w:type="dxa"/>
            <w:vAlign w:val="bottom"/>
            <w:tcBorders>
              <w:top w:val="single" w:sz="8" w:color="C6F4F9"/>
              <w:bottom w:val="single" w:sz="8" w:color="C6F4F9"/>
            </w:tcBorders>
            <w:gridSpan w:val="4"/>
            <w:shd w:val="clear" w:color="auto" w:fill="C6F4F9"/>
          </w:tcPr>
          <w:p>
            <w:pPr>
              <w:spacing w:after="0"/>
              <w:rPr>
                <w:sz w:val="20"/>
                <w:szCs w:val="20"/>
                <w:color w:val="auto"/>
              </w:rPr>
            </w:pPr>
          </w:p>
        </w:tc>
      </w:tr>
      <w:tr>
        <w:trPr>
          <w:trHeight w:val="196"/>
        </w:trPr>
        <w:tc>
          <w:tcPr>
            <w:tcW w:w="42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20" w:type="dxa"/>
            <w:vAlign w:val="bottom"/>
            <w:gridSpan w:val="38"/>
          </w:tcPr>
          <w:p>
            <w:pPr>
              <w:spacing w:after="0" w:line="189" w:lineRule="exact"/>
              <w:rPr>
                <w:sz w:val="20"/>
                <w:szCs w:val="20"/>
                <w:color w:val="auto"/>
              </w:rPr>
            </w:pPr>
            <w:r>
              <w:rPr>
                <w:rFonts w:ascii="Times New Roman" w:cs="Times New Roman" w:eastAsia="Times New Roman" w:hAnsi="Times New Roman"/>
                <w:sz w:val="18"/>
                <w:szCs w:val="18"/>
                <w:u w:val="single" w:color="auto"/>
                <w:color w:val="0000EE"/>
              </w:rPr>
              <w:t>Certification of the Chief Executive Officer required by Rule 13a-14(a) or Rule 15d-14(a) under the Securities Exchange Act of 1934, as</w:t>
            </w:r>
          </w:p>
        </w:tc>
      </w:tr>
      <w:tr>
        <w:trPr>
          <w:trHeight w:val="189"/>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320" w:type="dxa"/>
            <w:vAlign w:val="bottom"/>
            <w:gridSpan w:val="33"/>
          </w:tcPr>
          <w:p>
            <w:pPr>
              <w:spacing w:after="0" w:line="189" w:lineRule="exact"/>
              <w:rPr>
                <w:sz w:val="20"/>
                <w:szCs w:val="20"/>
                <w:color w:val="auto"/>
              </w:rPr>
            </w:pPr>
            <w:r>
              <w:rPr>
                <w:rFonts w:ascii="Times New Roman" w:cs="Times New Roman" w:eastAsia="Times New Roman" w:hAnsi="Times New Roman"/>
                <w:sz w:val="17"/>
                <w:szCs w:val="17"/>
                <w:color w:val="0000EE"/>
              </w:rPr>
              <w:t>adopted pursuant to Section 302 of the Sarbanes-Oxley Act of 2002. (1)</w:t>
            </w:r>
            <w:r>
              <w:rPr>
                <w:rFonts w:ascii="Times New Roman" w:cs="Times New Roman" w:eastAsia="Times New Roman" w:hAnsi="Times New Roman"/>
                <w:sz w:val="21"/>
                <w:szCs w:val="21"/>
                <w:u w:val="single" w:color="auto"/>
                <w:color w:val="0000EE"/>
                <w:vertAlign w:val="superscript"/>
              </w:rPr>
              <w:t>1</w:t>
            </w:r>
          </w:p>
        </w:tc>
        <w:tc>
          <w:tcPr>
            <w:tcW w:w="80" w:type="dxa"/>
            <w:vAlign w:val="bottom"/>
            <w:gridSpan w:val="4"/>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20" w:type="dxa"/>
            <w:vAlign w:val="bottom"/>
            <w:gridSpan w:val="4"/>
            <w:shd w:val="clear" w:color="auto" w:fill="C6F4F9"/>
          </w:tcPr>
          <w:p>
            <w:pPr>
              <w:ind w:left="20"/>
              <w:spacing w:after="0" w:line="20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2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0420" w:type="dxa"/>
            <w:vAlign w:val="bottom"/>
            <w:gridSpan w:val="38"/>
            <w:shd w:val="clear" w:color="auto" w:fill="C6F4F9"/>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Financial Officer required by Rule 13a-14(a) or Rule 15d-14(a) under the Securities Exchange Act of 1934, as</w:t>
            </w:r>
          </w:p>
        </w:tc>
      </w:tr>
      <w:tr>
        <w:trPr>
          <w:trHeight w:val="230"/>
        </w:trPr>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240" w:type="dxa"/>
            <w:vAlign w:val="bottom"/>
            <w:tcBorders>
              <w:top w:val="single" w:sz="8" w:color="0000FF"/>
              <w:bottom w:val="single" w:sz="8" w:color="C6F4F9"/>
            </w:tcBorders>
            <w:shd w:val="clear" w:color="auto" w:fill="C6F4F9"/>
          </w:tcPr>
          <w:p>
            <w:pPr>
              <w:spacing w:after="0"/>
              <w:rPr>
                <w:sz w:val="20"/>
                <w:szCs w:val="20"/>
                <w:color w:val="auto"/>
              </w:rPr>
            </w:pPr>
          </w:p>
        </w:tc>
        <w:tc>
          <w:tcPr>
            <w:tcW w:w="80" w:type="dxa"/>
            <w:vAlign w:val="bottom"/>
            <w:tcBorders>
              <w:top w:val="single" w:sz="8" w:color="0000FF"/>
              <w:bottom w:val="single" w:sz="8" w:color="C6F4F9"/>
            </w:tcBorders>
            <w:shd w:val="clear" w:color="auto" w:fill="C6F4F9"/>
          </w:tcPr>
          <w:p>
            <w:pPr>
              <w:spacing w:after="0"/>
              <w:rPr>
                <w:sz w:val="20"/>
                <w:szCs w:val="20"/>
                <w:color w:val="auto"/>
              </w:rPr>
            </w:pPr>
          </w:p>
        </w:tc>
        <w:tc>
          <w:tcPr>
            <w:tcW w:w="8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600" w:type="dxa"/>
            <w:vAlign w:val="bottom"/>
            <w:tcBorders>
              <w:top w:val="single" w:sz="8" w:color="C6F4F9"/>
              <w:bottom w:val="single" w:sz="8" w:color="C6F4F9"/>
            </w:tcBorders>
            <w:shd w:val="clear" w:color="auto" w:fill="C6F4F9"/>
          </w:tcPr>
          <w:p>
            <w:pPr>
              <w:spacing w:after="0"/>
              <w:rPr>
                <w:sz w:val="20"/>
                <w:szCs w:val="20"/>
                <w:color w:val="auto"/>
              </w:rPr>
            </w:pPr>
          </w:p>
        </w:tc>
        <w:tc>
          <w:tcPr>
            <w:tcW w:w="20" w:type="dxa"/>
            <w:vAlign w:val="bottom"/>
            <w:tcBorders>
              <w:top w:val="single" w:sz="8" w:color="C6F4F9"/>
              <w:bottom w:val="single" w:sz="8" w:color="C6F4F9"/>
            </w:tcBorders>
            <w:shd w:val="clear" w:color="auto" w:fill="C6F4F9"/>
          </w:tcPr>
          <w:p>
            <w:pPr>
              <w:spacing w:after="0"/>
              <w:rPr>
                <w:sz w:val="20"/>
                <w:szCs w:val="20"/>
                <w:color w:val="auto"/>
              </w:rPr>
            </w:pPr>
          </w:p>
        </w:tc>
        <w:tc>
          <w:tcPr>
            <w:tcW w:w="5160" w:type="dxa"/>
            <w:vAlign w:val="bottom"/>
            <w:tcBorders>
              <w:top w:val="single" w:sz="8" w:color="0000EE"/>
              <w:bottom w:val="single" w:sz="8" w:color="0000EE"/>
            </w:tcBorders>
            <w:gridSpan w:val="6"/>
            <w:shd w:val="clear" w:color="auto" w:fill="C6F4F9"/>
          </w:tcPr>
          <w:p>
            <w:pPr>
              <w:spacing w:after="0" w:line="182"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 (1)</w:t>
            </w:r>
          </w:p>
        </w:tc>
        <w:tc>
          <w:tcPr>
            <w:tcW w:w="5000" w:type="dxa"/>
            <w:vAlign w:val="bottom"/>
            <w:tcBorders>
              <w:top w:val="single" w:sz="8" w:color="0000EE"/>
              <w:bottom w:val="single" w:sz="8" w:color="C6F4F9"/>
            </w:tcBorders>
            <w:gridSpan w:val="19"/>
            <w:shd w:val="clear" w:color="auto" w:fill="C6F4F9"/>
          </w:tcPr>
          <w:p>
            <w:pPr>
              <w:spacing w:after="0"/>
              <w:rPr>
                <w:sz w:val="20"/>
                <w:szCs w:val="20"/>
                <w:color w:val="auto"/>
              </w:rPr>
            </w:pPr>
          </w:p>
        </w:tc>
        <w:tc>
          <w:tcPr>
            <w:tcW w:w="240" w:type="dxa"/>
            <w:vAlign w:val="bottom"/>
            <w:tcBorders>
              <w:top w:val="single" w:sz="8" w:color="C6F4F9"/>
              <w:bottom w:val="single" w:sz="8" w:color="C6F4F9"/>
            </w:tcBorders>
            <w:gridSpan w:val="12"/>
            <w:shd w:val="clear" w:color="auto" w:fill="C6F4F9"/>
          </w:tcPr>
          <w:p>
            <w:pPr>
              <w:spacing w:after="0"/>
              <w:rPr>
                <w:sz w:val="20"/>
                <w:szCs w:val="20"/>
                <w:color w:val="auto"/>
              </w:rPr>
            </w:pPr>
          </w:p>
        </w:tc>
      </w:tr>
      <w:tr>
        <w:trPr>
          <w:trHeight w:val="203"/>
        </w:trPr>
        <w:tc>
          <w:tcPr>
            <w:tcW w:w="42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20" w:type="dxa"/>
            <w:vAlign w:val="bottom"/>
            <w:gridSpan w:val="38"/>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Section 906 of the Sarbanes-Oxley Act of 2002 (18 U.S.C. Section 1350). (1)</w:t>
            </w:r>
          </w:p>
        </w:tc>
      </w:tr>
      <w:tr>
        <w:trPr>
          <w:trHeight w:val="34"/>
        </w:trPr>
        <w:tc>
          <w:tcPr>
            <w:tcW w:w="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134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9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0" w:type="dxa"/>
            <w:vAlign w:val="bottom"/>
            <w:shd w:val="clear" w:color="auto" w:fill="C6F4F9"/>
          </w:tcPr>
          <w:p>
            <w:pPr>
              <w:spacing w:after="0"/>
              <w:rPr>
                <w:sz w:val="17"/>
                <w:szCs w:val="17"/>
                <w:color w:val="auto"/>
              </w:rPr>
            </w:pPr>
          </w:p>
        </w:tc>
        <w:tc>
          <w:tcPr>
            <w:tcW w:w="400" w:type="dxa"/>
            <w:vAlign w:val="bottom"/>
            <w:gridSpan w:val="3"/>
            <w:shd w:val="clear" w:color="auto" w:fill="C6F4F9"/>
          </w:tcPr>
          <w:p>
            <w:pPr>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20" w:type="dxa"/>
            <w:vAlign w:val="bottom"/>
            <w:shd w:val="clear" w:color="auto" w:fill="C6F4F9"/>
          </w:tcPr>
          <w:p>
            <w:pPr>
              <w:spacing w:after="0"/>
              <w:rPr>
                <w:sz w:val="17"/>
                <w:szCs w:val="17"/>
                <w:color w:val="auto"/>
              </w:rPr>
            </w:pPr>
          </w:p>
        </w:tc>
        <w:tc>
          <w:tcPr>
            <w:tcW w:w="600" w:type="dxa"/>
            <w:vAlign w:val="bottom"/>
            <w:shd w:val="clear" w:color="auto" w:fill="C6F4F9"/>
          </w:tcPr>
          <w:p>
            <w:pPr>
              <w:spacing w:after="0"/>
              <w:rPr>
                <w:sz w:val="17"/>
                <w:szCs w:val="17"/>
                <w:color w:val="auto"/>
              </w:rPr>
            </w:pPr>
          </w:p>
        </w:tc>
        <w:tc>
          <w:tcPr>
            <w:tcW w:w="10420" w:type="dxa"/>
            <w:vAlign w:val="bottom"/>
            <w:gridSpan w:val="38"/>
            <w:shd w:val="clear" w:color="auto" w:fill="C6F4F9"/>
          </w:tcPr>
          <w:p>
            <w:pPr>
              <w:spacing w:after="0" w:line="202"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Section 906 of the Sarbanes-Oxley Act of 2002 (18 U.S.C. Section 1350). (1)</w:t>
            </w:r>
          </w:p>
        </w:tc>
      </w:tr>
      <w:tr>
        <w:trPr>
          <w:trHeight w:val="34"/>
        </w:trPr>
        <w:tc>
          <w:tcPr>
            <w:tcW w:w="20" w:type="dxa"/>
            <w:vAlign w:val="bottom"/>
            <w:tcBorders>
              <w:top w:val="single" w:sz="8" w:color="C6F4F9"/>
            </w:tcBorders>
            <w:shd w:val="clear" w:color="auto" w:fill="C6F4F9"/>
          </w:tcPr>
          <w:p>
            <w:pPr>
              <w:spacing w:after="0"/>
              <w:rPr>
                <w:sz w:val="2"/>
                <w:szCs w:val="2"/>
                <w:color w:val="auto"/>
              </w:rPr>
            </w:pPr>
          </w:p>
        </w:tc>
        <w:tc>
          <w:tcPr>
            <w:tcW w:w="240" w:type="dxa"/>
            <w:vAlign w:val="bottom"/>
            <w:tcBorders>
              <w:top w:val="single" w:sz="8" w:color="0000FF"/>
            </w:tcBorders>
            <w:shd w:val="clear" w:color="auto" w:fill="C6F4F9"/>
          </w:tcPr>
          <w:p>
            <w:pPr>
              <w:spacing w:after="0"/>
              <w:rPr>
                <w:sz w:val="2"/>
                <w:szCs w:val="2"/>
                <w:color w:val="auto"/>
              </w:rPr>
            </w:pPr>
          </w:p>
        </w:tc>
        <w:tc>
          <w:tcPr>
            <w:tcW w:w="80" w:type="dxa"/>
            <w:vAlign w:val="bottom"/>
            <w:tcBorders>
              <w:top w:val="single" w:sz="8" w:color="0000FF"/>
            </w:tcBorders>
            <w:shd w:val="clear" w:color="auto" w:fill="C6F4F9"/>
          </w:tcPr>
          <w:p>
            <w:pPr>
              <w:spacing w:after="0"/>
              <w:rPr>
                <w:sz w:val="2"/>
                <w:szCs w:val="2"/>
                <w:color w:val="auto"/>
              </w:rPr>
            </w:pPr>
          </w:p>
        </w:tc>
        <w:tc>
          <w:tcPr>
            <w:tcW w:w="8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60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1080" w:type="dxa"/>
            <w:vAlign w:val="bottom"/>
            <w:tcBorders>
              <w:top w:val="single" w:sz="8" w:color="0000EE"/>
            </w:tcBorders>
            <w:shd w:val="clear" w:color="auto" w:fill="C6F4F9"/>
          </w:tcPr>
          <w:p>
            <w:pPr>
              <w:spacing w:after="0"/>
              <w:rPr>
                <w:sz w:val="2"/>
                <w:szCs w:val="2"/>
                <w:color w:val="auto"/>
              </w:rPr>
            </w:pPr>
          </w:p>
        </w:tc>
        <w:tc>
          <w:tcPr>
            <w:tcW w:w="1340" w:type="dxa"/>
            <w:vAlign w:val="bottom"/>
            <w:tcBorders>
              <w:top w:val="single" w:sz="8" w:color="0000EE"/>
            </w:tcBorders>
            <w:shd w:val="clear" w:color="auto" w:fill="C6F4F9"/>
          </w:tcPr>
          <w:p>
            <w:pPr>
              <w:spacing w:after="0"/>
              <w:rPr>
                <w:sz w:val="2"/>
                <w:szCs w:val="2"/>
                <w:color w:val="auto"/>
              </w:rPr>
            </w:pPr>
          </w:p>
        </w:tc>
        <w:tc>
          <w:tcPr>
            <w:tcW w:w="760" w:type="dxa"/>
            <w:vAlign w:val="bottom"/>
            <w:tcBorders>
              <w:top w:val="single" w:sz="8" w:color="0000EE"/>
            </w:tcBorders>
            <w:shd w:val="clear" w:color="auto" w:fill="C6F4F9"/>
          </w:tcPr>
          <w:p>
            <w:pPr>
              <w:spacing w:after="0"/>
              <w:rPr>
                <w:sz w:val="2"/>
                <w:szCs w:val="2"/>
                <w:color w:val="auto"/>
              </w:rPr>
            </w:pPr>
          </w:p>
        </w:tc>
        <w:tc>
          <w:tcPr>
            <w:tcW w:w="520" w:type="dxa"/>
            <w:vAlign w:val="bottom"/>
            <w:tcBorders>
              <w:top w:val="single" w:sz="8" w:color="0000EE"/>
            </w:tcBorders>
            <w:shd w:val="clear" w:color="auto" w:fill="C6F4F9"/>
          </w:tcPr>
          <w:p>
            <w:pPr>
              <w:spacing w:after="0"/>
              <w:rPr>
                <w:sz w:val="2"/>
                <w:szCs w:val="2"/>
                <w:color w:val="auto"/>
              </w:rPr>
            </w:pPr>
          </w:p>
        </w:tc>
        <w:tc>
          <w:tcPr>
            <w:tcW w:w="720" w:type="dxa"/>
            <w:vAlign w:val="bottom"/>
            <w:tcBorders>
              <w:top w:val="single" w:sz="8" w:color="0000EE"/>
            </w:tcBorders>
            <w:shd w:val="clear" w:color="auto" w:fill="C6F4F9"/>
          </w:tcPr>
          <w:p>
            <w:pPr>
              <w:spacing w:after="0"/>
              <w:rPr>
                <w:sz w:val="2"/>
                <w:szCs w:val="2"/>
                <w:color w:val="auto"/>
              </w:rPr>
            </w:pPr>
          </w:p>
        </w:tc>
        <w:tc>
          <w:tcPr>
            <w:tcW w:w="740" w:type="dxa"/>
            <w:vAlign w:val="bottom"/>
            <w:tcBorders>
              <w:top w:val="single" w:sz="8" w:color="0000EE"/>
            </w:tcBorders>
            <w:shd w:val="clear" w:color="auto" w:fill="C6F4F9"/>
          </w:tcPr>
          <w:p>
            <w:pPr>
              <w:spacing w:after="0"/>
              <w:rPr>
                <w:sz w:val="2"/>
                <w:szCs w:val="2"/>
                <w:color w:val="auto"/>
              </w:rPr>
            </w:pPr>
          </w:p>
        </w:tc>
        <w:tc>
          <w:tcPr>
            <w:tcW w:w="200" w:type="dxa"/>
            <w:vAlign w:val="bottom"/>
            <w:tcBorders>
              <w:top w:val="single" w:sz="8" w:color="0000EE"/>
            </w:tcBorders>
            <w:shd w:val="clear" w:color="auto" w:fill="C6F4F9"/>
          </w:tcPr>
          <w:p>
            <w:pPr>
              <w:spacing w:after="0"/>
              <w:rPr>
                <w:sz w:val="2"/>
                <w:szCs w:val="2"/>
                <w:color w:val="auto"/>
              </w:rPr>
            </w:pPr>
          </w:p>
        </w:tc>
        <w:tc>
          <w:tcPr>
            <w:tcW w:w="220" w:type="dxa"/>
            <w:vAlign w:val="bottom"/>
            <w:tcBorders>
              <w:top w:val="single" w:sz="8" w:color="0000EE"/>
            </w:tcBorders>
            <w:shd w:val="clear" w:color="auto" w:fill="C6F4F9"/>
          </w:tcPr>
          <w:p>
            <w:pPr>
              <w:spacing w:after="0"/>
              <w:rPr>
                <w:sz w:val="2"/>
                <w:szCs w:val="2"/>
                <w:color w:val="auto"/>
              </w:rPr>
            </w:pPr>
          </w:p>
        </w:tc>
        <w:tc>
          <w:tcPr>
            <w:tcW w:w="40" w:type="dxa"/>
            <w:vAlign w:val="bottom"/>
            <w:tcBorders>
              <w:top w:val="single" w:sz="8" w:color="0000EE"/>
            </w:tcBorders>
            <w:shd w:val="clear" w:color="auto" w:fill="C6F4F9"/>
          </w:tcPr>
          <w:p>
            <w:pPr>
              <w:spacing w:after="0"/>
              <w:rPr>
                <w:sz w:val="2"/>
                <w:szCs w:val="2"/>
                <w:color w:val="auto"/>
              </w:rPr>
            </w:pPr>
          </w:p>
        </w:tc>
        <w:tc>
          <w:tcPr>
            <w:tcW w:w="760" w:type="dxa"/>
            <w:vAlign w:val="bottom"/>
            <w:tcBorders>
              <w:top w:val="single" w:sz="8" w:color="0000EE"/>
            </w:tcBorders>
            <w:shd w:val="clear" w:color="auto" w:fill="C6F4F9"/>
          </w:tcPr>
          <w:p>
            <w:pPr>
              <w:spacing w:after="0"/>
              <w:rPr>
                <w:sz w:val="2"/>
                <w:szCs w:val="2"/>
                <w:color w:val="auto"/>
              </w:rPr>
            </w:pPr>
          </w:p>
        </w:tc>
        <w:tc>
          <w:tcPr>
            <w:tcW w:w="1220" w:type="dxa"/>
            <w:vAlign w:val="bottom"/>
            <w:tcBorders>
              <w:top w:val="single" w:sz="8" w:color="0000EE"/>
            </w:tcBorders>
            <w:shd w:val="clear" w:color="auto" w:fill="C6F4F9"/>
          </w:tcPr>
          <w:p>
            <w:pPr>
              <w:spacing w:after="0"/>
              <w:rPr>
                <w:sz w:val="2"/>
                <w:szCs w:val="2"/>
                <w:color w:val="auto"/>
              </w:rPr>
            </w:pPr>
          </w:p>
        </w:tc>
        <w:tc>
          <w:tcPr>
            <w:tcW w:w="220" w:type="dxa"/>
            <w:vAlign w:val="bottom"/>
            <w:tcBorders>
              <w:top w:val="single" w:sz="8" w:color="0000EE"/>
            </w:tcBorders>
            <w:shd w:val="clear" w:color="auto" w:fill="C6F4F9"/>
          </w:tcPr>
          <w:p>
            <w:pPr>
              <w:spacing w:after="0"/>
              <w:rPr>
                <w:sz w:val="2"/>
                <w:szCs w:val="2"/>
                <w:color w:val="auto"/>
              </w:rPr>
            </w:pPr>
          </w:p>
        </w:tc>
        <w:tc>
          <w:tcPr>
            <w:tcW w:w="140" w:type="dxa"/>
            <w:vAlign w:val="bottom"/>
            <w:tcBorders>
              <w:top w:val="single" w:sz="8" w:color="0000EE"/>
            </w:tcBorders>
            <w:shd w:val="clear" w:color="auto" w:fill="C6F4F9"/>
          </w:tcPr>
          <w:p>
            <w:pPr>
              <w:spacing w:after="0"/>
              <w:rPr>
                <w:sz w:val="2"/>
                <w:szCs w:val="2"/>
                <w:color w:val="auto"/>
              </w:rPr>
            </w:pPr>
          </w:p>
        </w:tc>
        <w:tc>
          <w:tcPr>
            <w:tcW w:w="140" w:type="dxa"/>
            <w:vAlign w:val="bottom"/>
            <w:tcBorders>
              <w:top w:val="single" w:sz="8" w:color="0000EE"/>
            </w:tcBorders>
            <w:shd w:val="clear" w:color="auto" w:fill="C6F4F9"/>
          </w:tcPr>
          <w:p>
            <w:pPr>
              <w:spacing w:after="0"/>
              <w:rPr>
                <w:sz w:val="2"/>
                <w:szCs w:val="2"/>
                <w:color w:val="auto"/>
              </w:rPr>
            </w:pPr>
          </w:p>
        </w:tc>
        <w:tc>
          <w:tcPr>
            <w:tcW w:w="140" w:type="dxa"/>
            <w:vAlign w:val="bottom"/>
            <w:tcBorders>
              <w:top w:val="single" w:sz="8" w:color="0000EE"/>
            </w:tcBorders>
            <w:shd w:val="clear" w:color="auto" w:fill="C6F4F9"/>
          </w:tcPr>
          <w:p>
            <w:pPr>
              <w:spacing w:after="0"/>
              <w:rPr>
                <w:sz w:val="2"/>
                <w:szCs w:val="2"/>
                <w:color w:val="auto"/>
              </w:rPr>
            </w:pPr>
          </w:p>
        </w:tc>
        <w:tc>
          <w:tcPr>
            <w:tcW w:w="100" w:type="dxa"/>
            <w:vAlign w:val="bottom"/>
            <w:tcBorders>
              <w:top w:val="single" w:sz="8" w:color="0000EE"/>
            </w:tcBorders>
            <w:shd w:val="clear" w:color="auto" w:fill="C6F4F9"/>
          </w:tcPr>
          <w:p>
            <w:pPr>
              <w:spacing w:after="0"/>
              <w:rPr>
                <w:sz w:val="2"/>
                <w:szCs w:val="2"/>
                <w:color w:val="auto"/>
              </w:rPr>
            </w:pPr>
          </w:p>
        </w:tc>
        <w:tc>
          <w:tcPr>
            <w:tcW w:w="960" w:type="dxa"/>
            <w:vAlign w:val="bottom"/>
            <w:tcBorders>
              <w:top w:val="single" w:sz="8" w:color="0000EE"/>
            </w:tcBorders>
            <w:shd w:val="clear" w:color="auto" w:fill="C6F4F9"/>
          </w:tcPr>
          <w:p>
            <w:pPr>
              <w:spacing w:after="0"/>
              <w:rPr>
                <w:sz w:val="2"/>
                <w:szCs w:val="2"/>
                <w:color w:val="auto"/>
              </w:rPr>
            </w:pPr>
          </w:p>
        </w:tc>
        <w:tc>
          <w:tcPr>
            <w:tcW w:w="60" w:type="dxa"/>
            <w:vAlign w:val="bottom"/>
            <w:tcBorders>
              <w:top w:val="single" w:sz="8" w:color="0000EE"/>
            </w:tcBorders>
            <w:shd w:val="clear" w:color="auto" w:fill="C6F4F9"/>
          </w:tcPr>
          <w:p>
            <w:pPr>
              <w:spacing w:after="0"/>
              <w:rPr>
                <w:sz w:val="2"/>
                <w:szCs w:val="2"/>
                <w:color w:val="auto"/>
              </w:rPr>
            </w:pPr>
          </w:p>
        </w:tc>
        <w:tc>
          <w:tcPr>
            <w:tcW w:w="180" w:type="dxa"/>
            <w:vAlign w:val="bottom"/>
            <w:tcBorders>
              <w:top w:val="single" w:sz="8" w:color="0000EE"/>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18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180" w:type="dxa"/>
            <w:vAlign w:val="bottom"/>
            <w:tcBorders>
              <w:top w:val="single" w:sz="8" w:color="C6F4F9"/>
            </w:tcBorders>
            <w:shd w:val="clear" w:color="auto" w:fill="C6F4F9"/>
          </w:tcPr>
          <w:p>
            <w:pPr>
              <w:spacing w:after="0"/>
              <w:rPr>
                <w:sz w:val="2"/>
                <w:szCs w:val="2"/>
                <w:color w:val="auto"/>
              </w:rPr>
            </w:pPr>
          </w:p>
        </w:tc>
        <w:tc>
          <w:tcPr>
            <w:tcW w:w="20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c>
          <w:tcPr>
            <w:tcW w:w="20" w:type="dxa"/>
            <w:vAlign w:val="bottom"/>
            <w:tcBorders>
              <w:top w:val="single" w:sz="8" w:color="C6F4F9"/>
            </w:tcBorders>
            <w:shd w:val="clear" w:color="auto" w:fill="C6F4F9"/>
          </w:tcPr>
          <w:p>
            <w:pPr>
              <w:spacing w:after="0"/>
              <w:rPr>
                <w:sz w:val="2"/>
                <w:szCs w:val="2"/>
                <w:color w:val="auto"/>
              </w:rPr>
            </w:pPr>
          </w:p>
        </w:tc>
      </w:tr>
      <w:tr>
        <w:trPr>
          <w:trHeight w:val="211"/>
        </w:trPr>
        <w:tc>
          <w:tcPr>
            <w:tcW w:w="20" w:type="dxa"/>
            <w:vAlign w:val="bottom"/>
          </w:tcPr>
          <w:p>
            <w:pPr>
              <w:spacing w:after="0"/>
              <w:rPr>
                <w:sz w:val="18"/>
                <w:szCs w:val="18"/>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1042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2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56"/>
        </w:trPr>
        <w:tc>
          <w:tcPr>
            <w:tcW w:w="20" w:type="dxa"/>
            <w:vAlign w:val="bottom"/>
          </w:tcPr>
          <w:p>
            <w:pPr>
              <w:spacing w:after="0"/>
              <w:rPr>
                <w:sz w:val="22"/>
                <w:szCs w:val="22"/>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1042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6"/>
        </w:trPr>
        <w:tc>
          <w:tcPr>
            <w:tcW w:w="20" w:type="dxa"/>
            <w:vAlign w:val="bottom"/>
          </w:tcPr>
          <w:p>
            <w:pPr>
              <w:spacing w:after="0"/>
              <w:rPr>
                <w:sz w:val="22"/>
                <w:szCs w:val="22"/>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1042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6"/>
        </w:trPr>
        <w:tc>
          <w:tcPr>
            <w:tcW w:w="20" w:type="dxa"/>
            <w:vAlign w:val="bottom"/>
          </w:tcPr>
          <w:p>
            <w:pPr>
              <w:spacing w:after="0"/>
              <w:rPr>
                <w:sz w:val="22"/>
                <w:szCs w:val="22"/>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1042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6"/>
        </w:trPr>
        <w:tc>
          <w:tcPr>
            <w:tcW w:w="20" w:type="dxa"/>
            <w:vAlign w:val="bottom"/>
          </w:tcPr>
          <w:p>
            <w:pPr>
              <w:spacing w:after="0"/>
              <w:rPr>
                <w:sz w:val="22"/>
                <w:szCs w:val="22"/>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1042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20" w:type="dxa"/>
            <w:vAlign w:val="bottom"/>
          </w:tcPr>
          <w:p>
            <w:pPr>
              <w:spacing w:after="0"/>
              <w:rPr>
                <w:sz w:val="22"/>
                <w:szCs w:val="22"/>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1042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 w:lineRule="exact"/>
        <w:rPr>
          <w:sz w:val="20"/>
          <w:szCs w:val="20"/>
          <w:color w:val="auto"/>
        </w:rPr>
      </w:pPr>
    </w:p>
    <w:p>
      <w:pPr>
        <w:ind w:left="1040" w:hanging="1014"/>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49" w:lineRule="exact"/>
        <w:rPr>
          <w:rFonts w:ascii="Times New Roman" w:cs="Times New Roman" w:eastAsia="Times New Roman" w:hAnsi="Times New Roman"/>
          <w:sz w:val="18"/>
          <w:szCs w:val="18"/>
          <w:color w:val="auto"/>
        </w:rPr>
      </w:pPr>
    </w:p>
    <w:p>
      <w:pPr>
        <w:ind w:left="1360" w:hanging="322"/>
        <w:spacing w:after="0"/>
        <w:tabs>
          <w:tab w:leader="none" w:pos="13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14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u w:val="single" w:color="auto"/>
          <w:color w:val="auto"/>
        </w:rPr>
        <w:t>/s/ Sheila M. Anderson</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Daktronics, Inc.</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2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Date: December 13, 2022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October 29, 2022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680"/>
        <w:spacing w:after="0"/>
        <w:tabs>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13, 2022</w:t>
      </w:r>
    </w:p>
    <w:p>
      <w:pPr>
        <w:sectPr>
          <w:pgSz w:w="11900" w:h="16838" w:orient="portrait"/>
          <w:cols w:equalWidth="0" w:num="1">
            <w:col w:w="11240"/>
          </w:cols>
          <w:pgMar w:left="320" w:top="93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October 29, 2022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80"/>
        <w:spacing w:after="0"/>
        <w:tabs>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13, 2022</w:t>
      </w:r>
    </w:p>
    <w:p>
      <w:pPr>
        <w:sectPr>
          <w:pgSz w:w="11900" w:h="16838" w:orient="portrait"/>
          <w:cols w:equalWidth="0" w:num="1">
            <w:col w:w="11240"/>
          </w:cols>
          <w:pgMar w:left="320" w:top="93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October 29, 2022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5680"/>
        <w:spacing w:after="0"/>
        <w:tabs>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13, 2022</w:t>
      </w:r>
    </w:p>
    <w:p>
      <w:pPr>
        <w:sectPr>
          <w:pgSz w:w="11900" w:h="16838" w:orient="portrait"/>
          <w:cols w:equalWidth="0" w:num="1">
            <w:col w:w="11240"/>
          </w:cols>
          <w:pgMar w:left="320" w:top="93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October 29, 2022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680"/>
        <w:spacing w:after="0"/>
        <w:tabs>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13, 2022</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04"/>
    </w:lvl>
    <w:lvl w:ilvl="1">
      <w:lvlJc w:val="left"/>
      <w:lvlText w:val="(%2)"/>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79" Type="http://schemas.openxmlformats.org/officeDocument/2006/relationships/image" Target="media/image38.png"/><Relationship Id="rId80" Type="http://schemas.openxmlformats.org/officeDocument/2006/relationships/image" Target="media/image39.png"/><Relationship Id="rId81" Type="http://schemas.openxmlformats.org/officeDocument/2006/relationships/image" Target="media/image40.png"/><Relationship Id="rId45" Type="http://schemas.openxmlformats.org/officeDocument/2006/relationships/hyperlink" Target="https://www.sec.gov/Archives/edgar/data/915779/000091577918000119/exhibit31.htm" TargetMode="External"/><Relationship Id="rId46" Type="http://schemas.openxmlformats.org/officeDocument/2006/relationships/hyperlink" Target="http://www.sec.gov/Archives/edgar/data/915779/000091577918000119/exhibit31.htm" TargetMode="External"/><Relationship Id="rId47" Type="http://schemas.openxmlformats.org/officeDocument/2006/relationships/hyperlink" Target="https://www.sec.gov/Archives/edgar/data/915779/000091577913000026/dakt_exx34x10-kx2013.htm" TargetMode="External"/><Relationship Id="rId48" Type="http://schemas.openxmlformats.org/officeDocument/2006/relationships/hyperlink" Target="http://www.sec.gov/Archives/edgar/data/915779/000091577913000026/dakt_exx34x10-kx2013.htm" TargetMode="External"/><Relationship Id="rId49" Type="http://schemas.openxmlformats.org/officeDocument/2006/relationships/hyperlink" Target="https://www.sec.gov/Archives/edgar/data/915779/000091577918000089/dakt_20181116x8-kxex41.htm" TargetMode="External"/><Relationship Id="rId50" Type="http://schemas.openxmlformats.org/officeDocument/2006/relationships/hyperlink" Target="http://www.sec.gov/Archives/edgar/data/915779/000091577918000089/dakt_20181116x8-kxex41.htm" TargetMode="External"/><Relationship Id="rId51" Type="http://schemas.openxmlformats.org/officeDocument/2006/relationships/hyperlink" Target="https://www.sec.gov/Archives/edgar/data/915779/000143774921027158/ex_309612.htm" TargetMode="External"/><Relationship Id="rId52" Type="http://schemas.openxmlformats.org/officeDocument/2006/relationships/hyperlink" Target="http://www.sec.gov/Archives/edgar/data/915779/000143774921027158/ex_309612.htm" TargetMode="External"/><Relationship Id="rId53" Type="http://schemas.openxmlformats.org/officeDocument/2006/relationships/hyperlink" Target="https://www.sec.gov/Archives/edgar/data/915779/000091577916000233/dakt_20161115xex101.htm" TargetMode="External"/><Relationship Id="rId54" Type="http://schemas.openxmlformats.org/officeDocument/2006/relationships/hyperlink" Target="http://www.sec.gov/Archives/edgar/data/915779/000091577916000233/dakt_20161115xex101.htm" TargetMode="External"/><Relationship Id="rId55" Type="http://schemas.openxmlformats.org/officeDocument/2006/relationships/hyperlink" Target="https://www.sec.gov/Archives/edgar/data/915779/000091577916000233/dakt_20161115xex102.htm" TargetMode="External"/><Relationship Id="rId56" Type="http://schemas.openxmlformats.org/officeDocument/2006/relationships/hyperlink" Target="http://www.sec.gov/Archives/edgar/data/915779/000091577916000233/dakt_20161115xex102.htm" TargetMode="External"/><Relationship Id="rId57" Type="http://schemas.openxmlformats.org/officeDocument/2006/relationships/hyperlink" Target="https://www.sec.gov/Archives/edgar/data/915779/000091577919000079/dakt_20191115xex101.htm" TargetMode="External"/><Relationship Id="rId58" Type="http://schemas.openxmlformats.org/officeDocument/2006/relationships/hyperlink" Target="http://www.sec.gov/Archives/edgar/data/915779/000091577919000079/dakt_20191115xex101.htm" TargetMode="External"/><Relationship Id="rId59" Type="http://schemas.openxmlformats.org/officeDocument/2006/relationships/hyperlink" Target="https://www.sec.gov/Archives/edgar/data/915779/000091577920000052/dakt20200801q1ex104.htm" TargetMode="External"/><Relationship Id="rId60" Type="http://schemas.openxmlformats.org/officeDocument/2006/relationships/hyperlink" Target="http://www.sec.gov/Archives/edgar/data/915779/000091577920000052/dakt20200801q1ex104.htm" TargetMode="External"/><Relationship Id="rId61" Type="http://schemas.openxmlformats.org/officeDocument/2006/relationships/hyperlink" Target="https://www.sec.gov/Archives/edgar/data/915779/000143774921014600/ex_246991.htm" TargetMode="External"/><Relationship Id="rId62" Type="http://schemas.openxmlformats.org/officeDocument/2006/relationships/hyperlink" Target="http://www.sec.gov/Archives/edgar/data/915779/000143774921014600/ex_246991.htm" TargetMode="External"/><Relationship Id="rId63" Type="http://schemas.openxmlformats.org/officeDocument/2006/relationships/hyperlink" Target="https://www.sec.gov/Archives/edgar/data/915779/000143774922010278/ex_367356.htm" TargetMode="External"/><Relationship Id="rId64" Type="http://schemas.openxmlformats.org/officeDocument/2006/relationships/hyperlink" Target="https://www.sec.gov/Archives/edgar/data/915779/000091577922000023/exhibit101_08152022credita.htm" TargetMode="External"/><Relationship Id="rId65" Type="http://schemas.openxmlformats.org/officeDocument/2006/relationships/hyperlink" Target="https://www.sec.gov/Archives/edgar/data/915779/000091577922000092/a101amendmenttocreditagree.htm" TargetMode="External"/><Relationship Id="rId66" Type="http://schemas.openxmlformats.org/officeDocument/2006/relationships/hyperlink" Target="https://www.sec.gov/Archives/edgar/data/915779/000091577920000052/dakt20200801q1ex105.htm" TargetMode="External"/><Relationship Id="rId67" Type="http://schemas.openxmlformats.org/officeDocument/2006/relationships/hyperlink" Target="http://www.sec.gov/Archives/edgar/data/915779/000091577920000052/dakt20200801q1ex105.htm" TargetMode="External"/><Relationship Id="rId68" Type="http://schemas.openxmlformats.org/officeDocument/2006/relationships/hyperlink" Target="https://www.sec.gov/Archives/edgar/data/915779/000091577920000033/dakt-20200502_defx14a.htm" TargetMode="External"/><Relationship Id="rId69" Type="http://schemas.openxmlformats.org/officeDocument/2006/relationships/hyperlink" Target="http://www.sec.gov/Archives/edgar/data/915779/000091577920000033/dakt-20200502_defx14a.htm" TargetMode="External"/><Relationship Id="rId70" Type="http://schemas.openxmlformats.org/officeDocument/2006/relationships/hyperlink" Target="https://www.sec.gov/Archives/edgar/data/915779/000091577920000054/daktex1028-ksom2020.htm" TargetMode="External"/><Relationship Id="rId71" Type="http://schemas.openxmlformats.org/officeDocument/2006/relationships/hyperlink" Target="http://www.sec.gov/Archives/edgar/data/915779/000091577920000054/daktex1028-ksom2020.htm" TargetMode="External"/><Relationship Id="rId72" Type="http://schemas.openxmlformats.org/officeDocument/2006/relationships/hyperlink" Target="https://www.sec.gov/Archives/edgar/data/915779/000091577920000054/daktex1038-ksom2020.htm" TargetMode="External"/><Relationship Id="rId73" Type="http://schemas.openxmlformats.org/officeDocument/2006/relationships/hyperlink" Target="http://www.sec.gov/Archives/edgar/data/915779/000091577920000054/daktex1038-ksom2020.htm" TargetMode="External"/><Relationship Id="rId74" Type="http://schemas.openxmlformats.org/officeDocument/2006/relationships/hyperlink" Target="https://www.sec.gov/Archives/edgar/data/915779/000091577920000054/daktex1048-ksom2020.htm" TargetMode="External"/><Relationship Id="rId75" Type="http://schemas.openxmlformats.org/officeDocument/2006/relationships/hyperlink" Target="http://www.sec.gov/Archives/edgar/data/915779/000091577920000054/daktex1048-ksom2020.htm" TargetMode="External"/><Relationship Id="rId76" Type="http://schemas.openxmlformats.org/officeDocument/2006/relationships/hyperlink" Target="https://www.sec.gov/Archives/edgar/data/915779/000091577920000054/daktex1058-ksom2020.htm" TargetMode="External"/><Relationship Id="rId77" Type="http://schemas.openxmlformats.org/officeDocument/2006/relationships/hyperlink" Target="http://www.sec.gov/Archives/edgar/data/915779/000091577920000054/daktex1058-ksom2020.htm" TargetMode="External"/><Relationship Id="rId78" Type="http://schemas.openxmlformats.org/officeDocument/2006/relationships/hyperlink" Target="https://www.sec.gov/Archives/edgar/data/915779/000091577922000010/exhibit101_0718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2022-12-13T13:30:59Z</dcterms:created>
  <dcterms:modified xsi:type="dcterms:W3CDTF">2022-12-13T13:30:59Z</dcterms:modified>
</cp:coreProperties>
</file>