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5160"/>
        <w:spacing w:after="0"/>
        <w:rPr>
          <w:sz w:val="20"/>
          <w:szCs w:val="20"/>
          <w:color w:val="auto"/>
        </w:rPr>
      </w:pPr>
      <w:r>
        <w:rPr>
          <w:rFonts w:ascii="Arial" w:cs="Arial" w:eastAsia="Arial" w:hAnsi="Arial"/>
          <w:sz w:val="22"/>
          <w:szCs w:val="22"/>
          <w:color w:val="auto"/>
        </w:rPr>
        <w:t>FORM 10-Q</w:t>
      </w:r>
    </w:p>
    <w:p>
      <w:pPr>
        <w:spacing w:after="0" w:line="206" w:lineRule="exact"/>
        <w:rPr>
          <w:sz w:val="24"/>
          <w:szCs w:val="24"/>
          <w:color w:val="auto"/>
        </w:rPr>
      </w:pPr>
    </w:p>
    <w:p>
      <w:pPr>
        <w:ind w:left="4120"/>
        <w:spacing w:after="0"/>
        <w:rPr>
          <w:sz w:val="20"/>
          <w:szCs w:val="20"/>
          <w:color w:val="auto"/>
        </w:rPr>
      </w:pPr>
      <w:r>
        <w:rPr>
          <w:rFonts w:ascii="Arial" w:cs="Arial" w:eastAsia="Arial" w:hAnsi="Arial"/>
          <w:sz w:val="22"/>
          <w:szCs w:val="22"/>
          <w:b w:val="1"/>
          <w:bCs w:val="1"/>
          <w:i w:val="1"/>
          <w:iCs w:val="1"/>
          <w:color w:val="auto"/>
        </w:rPr>
        <w:t>(Mark One)</w:t>
      </w:r>
    </w:p>
    <w:p>
      <w:pPr>
        <w:spacing w:after="0" w:line="200" w:lineRule="exact"/>
        <w:rPr>
          <w:sz w:val="24"/>
          <w:szCs w:val="24"/>
          <w:color w:val="auto"/>
        </w:rPr>
      </w:pPr>
    </w:p>
    <w:p>
      <w:pPr>
        <w:ind w:left="1840" w:hanging="51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UNDER SECTION 13 OR 15(d) OF THE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left="4420" w:right="1300" w:hanging="3111"/>
        <w:spacing w:after="0" w:line="435" w:lineRule="auto"/>
        <w:tabs>
          <w:tab w:leader="none" w:pos="1549"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DAKTRONICS,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275590</wp:posOffset>
            </wp:positionV>
            <wp:extent cx="127762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ectPr>
          <w:pgSz w:w="11900" w:h="16838" w:orient="portrait"/>
          <w:cols w:equalWidth="0" w:num="1">
            <w:col w:w="11420"/>
          </w:cols>
          <w:pgMar w:left="240" w:top="612"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57006</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00" w:space="300"/>
            <w:col w:w="4520"/>
          </w:cols>
          <w:pgMar w:left="240" w:top="612" w:right="239" w:bottom="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0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594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 X ] No [ ]</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420" w:type="dxa"/>
            <w:vAlign w:val="bottom"/>
            <w:gridSpan w:val="3"/>
          </w:tcPr>
          <w:p>
            <w:pPr>
              <w:spacing w:after="0"/>
              <w:rPr>
                <w:sz w:val="20"/>
                <w:szCs w:val="20"/>
                <w:color w:val="auto"/>
              </w:rPr>
            </w:pPr>
            <w:r>
              <w:rPr>
                <w:rFonts w:ascii="Arial" w:cs="Arial" w:eastAsia="Arial" w:hAnsi="Arial"/>
                <w:sz w:val="18"/>
                <w:szCs w:val="18"/>
                <w:color w:val="auto"/>
                <w:w w:val="90"/>
              </w:rPr>
              <w:t>Indicate by check mark whether the registrant is an accelerated filer (as defined in Rule 12b-2 of the Exchange Act).   Yes [ X] No [</w:t>
            </w:r>
          </w:p>
        </w:tc>
        <w:tc>
          <w:tcPr>
            <w:tcW w:w="2000" w:type="dxa"/>
            <w:vAlign w:val="bottom"/>
          </w:tcPr>
          <w:p>
            <w:pPr>
              <w:jc w:val="right"/>
              <w:ind w:right="1812"/>
              <w:spacing w:after="0"/>
              <w:rPr>
                <w:sz w:val="20"/>
                <w:szCs w:val="20"/>
                <w:color w:val="auto"/>
              </w:rPr>
            </w:pPr>
            <w:r>
              <w:rPr>
                <w:rFonts w:ascii="Arial" w:cs="Arial" w:eastAsia="Arial" w:hAnsi="Arial"/>
                <w:sz w:val="18"/>
                <w:szCs w:val="18"/>
                <w:color w:val="auto"/>
              </w:rPr>
              <w:t>]</w:t>
            </w:r>
          </w:p>
        </w:tc>
      </w:tr>
      <w:tr>
        <w:trPr>
          <w:trHeight w:val="432"/>
        </w:trPr>
        <w:tc>
          <w:tcPr>
            <w:tcW w:w="942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 ] No [ X ]</w:t>
            </w:r>
          </w:p>
        </w:tc>
        <w:tc>
          <w:tcPr>
            <w:tcW w:w="2000" w:type="dxa"/>
            <w:vAlign w:val="bottom"/>
          </w:tcPr>
          <w:p>
            <w:pPr>
              <w:spacing w:after="0"/>
              <w:rPr>
                <w:sz w:val="24"/>
                <w:szCs w:val="24"/>
                <w:color w:val="auto"/>
              </w:rPr>
            </w:pPr>
          </w:p>
        </w:tc>
      </w:tr>
      <w:tr>
        <w:trPr>
          <w:trHeight w:val="432"/>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November 11, 2005 was 19,326,766.</w:t>
            </w:r>
          </w:p>
        </w:tc>
        <w:tc>
          <w:tcPr>
            <w:tcW w:w="2000" w:type="dxa"/>
            <w:vAlign w:val="bottom"/>
          </w:tcPr>
          <w:p>
            <w:pPr>
              <w:spacing w:after="0"/>
              <w:rPr>
                <w:sz w:val="24"/>
                <w:szCs w:val="24"/>
                <w:color w:val="auto"/>
              </w:rPr>
            </w:pPr>
          </w:p>
        </w:tc>
      </w:tr>
      <w:tr>
        <w:trPr>
          <w:trHeight w:val="215"/>
        </w:trPr>
        <w:tc>
          <w:tcPr>
            <w:tcW w:w="6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74"/>
        </w:trPr>
        <w:tc>
          <w:tcPr>
            <w:tcW w:w="640" w:type="dxa"/>
            <w:vAlign w:val="bottom"/>
            <w:shd w:val="clear" w:color="auto" w:fill="808080"/>
          </w:tcPr>
          <w:p>
            <w:pPr>
              <w:spacing w:after="0"/>
              <w:rPr>
                <w:sz w:val="6"/>
                <w:szCs w:val="6"/>
                <w:color w:val="auto"/>
              </w:rPr>
            </w:pPr>
          </w:p>
        </w:tc>
        <w:tc>
          <w:tcPr>
            <w:tcW w:w="5100" w:type="dxa"/>
            <w:vAlign w:val="bottom"/>
            <w:shd w:val="clear" w:color="auto" w:fill="808080"/>
          </w:tcPr>
          <w:p>
            <w:pPr>
              <w:spacing w:after="0"/>
              <w:rPr>
                <w:sz w:val="6"/>
                <w:szCs w:val="6"/>
                <w:color w:val="auto"/>
              </w:rPr>
            </w:pPr>
          </w:p>
        </w:tc>
        <w:tc>
          <w:tcPr>
            <w:tcW w:w="368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r>
      <w:tr>
        <w:trPr>
          <w:trHeight w:val="421"/>
        </w:trPr>
        <w:tc>
          <w:tcPr>
            <w:tcW w:w="640" w:type="dxa"/>
            <w:vAlign w:val="bottom"/>
          </w:tcPr>
          <w:p>
            <w:pPr>
              <w:spacing w:after="0"/>
              <w:rPr>
                <w:sz w:val="24"/>
                <w:szCs w:val="24"/>
                <w:color w:val="auto"/>
              </w:rPr>
            </w:pPr>
          </w:p>
        </w:tc>
        <w:tc>
          <w:tcPr>
            <w:tcW w:w="8780" w:type="dxa"/>
            <w:vAlign w:val="bottom"/>
            <w:gridSpan w:val="2"/>
          </w:tcPr>
          <w:p>
            <w:pPr>
              <w:jc w:val="center"/>
              <w:ind w:left="1272"/>
              <w:spacing w:after="0"/>
              <w:rPr>
                <w:sz w:val="20"/>
                <w:szCs w:val="20"/>
                <w:color w:val="auto"/>
              </w:rPr>
            </w:pPr>
            <w:r>
              <w:rPr>
                <w:rFonts w:ascii="Arial" w:cs="Arial" w:eastAsia="Arial" w:hAnsi="Arial"/>
                <w:sz w:val="18"/>
                <w:szCs w:val="18"/>
                <w:b w:val="1"/>
                <w:bCs w:val="1"/>
                <w:color w:val="auto"/>
                <w:w w:val="97"/>
              </w:rPr>
              <w:t>DAKTRONICS, INC. AND SUBSIDIARIES</w:t>
            </w:r>
          </w:p>
        </w:tc>
        <w:tc>
          <w:tcPr>
            <w:tcW w:w="200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8780" w:type="dxa"/>
            <w:vAlign w:val="bottom"/>
            <w:gridSpan w:val="2"/>
          </w:tcPr>
          <w:p>
            <w:pPr>
              <w:jc w:val="center"/>
              <w:ind w:left="1272"/>
              <w:spacing w:after="0"/>
              <w:rPr>
                <w:sz w:val="20"/>
                <w:szCs w:val="20"/>
                <w:color w:val="auto"/>
              </w:rPr>
            </w:pPr>
            <w:r>
              <w:rPr>
                <w:rFonts w:ascii="Arial" w:cs="Arial" w:eastAsia="Arial" w:hAnsi="Arial"/>
                <w:sz w:val="18"/>
                <w:szCs w:val="18"/>
                <w:color w:val="auto"/>
                <w:w w:val="91"/>
              </w:rPr>
              <w:t>FORM 10-Q</w:t>
            </w:r>
          </w:p>
        </w:tc>
        <w:tc>
          <w:tcPr>
            <w:tcW w:w="200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8780" w:type="dxa"/>
            <w:vAlign w:val="bottom"/>
            <w:gridSpan w:val="2"/>
          </w:tcPr>
          <w:p>
            <w:pPr>
              <w:jc w:val="center"/>
              <w:ind w:left="1292"/>
              <w:spacing w:after="0"/>
              <w:rPr>
                <w:sz w:val="20"/>
                <w:szCs w:val="20"/>
                <w:color w:val="auto"/>
              </w:rPr>
            </w:pPr>
            <w:r>
              <w:rPr>
                <w:rFonts w:ascii="Arial" w:cs="Arial" w:eastAsia="Arial" w:hAnsi="Arial"/>
                <w:sz w:val="18"/>
                <w:szCs w:val="18"/>
                <w:color w:val="auto"/>
                <w:w w:val="87"/>
              </w:rPr>
              <w:t>For the Quarter Ended October 29, 2005</w:t>
            </w:r>
          </w:p>
        </w:tc>
        <w:tc>
          <w:tcPr>
            <w:tcW w:w="2000" w:type="dxa"/>
            <w:vAlign w:val="bottom"/>
          </w:tcPr>
          <w:p>
            <w:pPr>
              <w:spacing w:after="0"/>
              <w:rPr>
                <w:sz w:val="19"/>
                <w:szCs w:val="19"/>
                <w:color w:val="auto"/>
              </w:rPr>
            </w:pPr>
          </w:p>
        </w:tc>
      </w:tr>
      <w:tr>
        <w:trPr>
          <w:trHeight w:val="432"/>
        </w:trPr>
        <w:tc>
          <w:tcPr>
            <w:tcW w:w="640" w:type="dxa"/>
            <w:vAlign w:val="bottom"/>
          </w:tcPr>
          <w:p>
            <w:pPr>
              <w:spacing w:after="0"/>
              <w:rPr>
                <w:sz w:val="24"/>
                <w:szCs w:val="24"/>
                <w:color w:val="auto"/>
              </w:rPr>
            </w:pPr>
          </w:p>
        </w:tc>
        <w:tc>
          <w:tcPr>
            <w:tcW w:w="878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w w:val="96"/>
              </w:rPr>
              <w:t>TABLE OF CONTENTS</w:t>
            </w:r>
          </w:p>
        </w:tc>
        <w:tc>
          <w:tcPr>
            <w:tcW w:w="200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jc w:val="right"/>
              <w:ind w:right="1152"/>
              <w:spacing w:after="0"/>
              <w:rPr>
                <w:sz w:val="20"/>
                <w:szCs w:val="20"/>
                <w:color w:val="auto"/>
              </w:rPr>
            </w:pPr>
            <w:r>
              <w:rPr>
                <w:rFonts w:ascii="Arial" w:cs="Arial" w:eastAsia="Arial" w:hAnsi="Arial"/>
                <w:sz w:val="18"/>
                <w:szCs w:val="18"/>
                <w:color w:val="auto"/>
              </w:rPr>
              <w:t>Page</w:t>
            </w:r>
          </w:p>
        </w:tc>
      </w:tr>
      <w:tr>
        <w:trPr>
          <w:trHeight w:val="184"/>
        </w:trPr>
        <w:tc>
          <w:tcPr>
            <w:tcW w:w="640" w:type="dxa"/>
            <w:vAlign w:val="bottom"/>
          </w:tcPr>
          <w:p>
            <w:pPr>
              <w:spacing w:after="0"/>
              <w:rPr>
                <w:sz w:val="15"/>
                <w:szCs w:val="15"/>
                <w:color w:val="auto"/>
              </w:rPr>
            </w:pPr>
          </w:p>
        </w:tc>
        <w:tc>
          <w:tcPr>
            <w:tcW w:w="8780" w:type="dxa"/>
            <w:vAlign w:val="bottom"/>
            <w:gridSpan w:val="2"/>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 LOOKING STATEMENT</w:t>
              </w:r>
            </w:hyperlink>
          </w:p>
        </w:tc>
        <w:tc>
          <w:tcPr>
            <w:tcW w:w="2000" w:type="dxa"/>
            <w:vAlign w:val="bottom"/>
          </w:tcPr>
          <w:p>
            <w:pPr>
              <w:jc w:val="right"/>
              <w:ind w:right="1152"/>
              <w:spacing w:after="0" w:line="184" w:lineRule="exact"/>
              <w:rPr>
                <w:sz w:val="20"/>
                <w:szCs w:val="20"/>
                <w:color w:val="auto"/>
              </w:rPr>
            </w:pPr>
            <w:r>
              <w:rPr>
                <w:rFonts w:ascii="Arial" w:cs="Arial" w:eastAsia="Arial" w:hAnsi="Arial"/>
                <w:sz w:val="18"/>
                <w:szCs w:val="18"/>
                <w:color w:val="auto"/>
              </w:rPr>
              <w:t>2</w:t>
            </w:r>
          </w:p>
        </w:tc>
      </w:tr>
      <w:tr>
        <w:trPr>
          <w:trHeight w:val="20"/>
        </w:trPr>
        <w:tc>
          <w:tcPr>
            <w:tcW w:w="64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ectPr>
          <w:pgSz w:w="11900" w:h="16838" w:orient="portrait"/>
          <w:cols w:equalWidth="0" w:num="1">
            <w:col w:w="11420"/>
          </w:cols>
          <w:pgMar w:left="240" w:top="612"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826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5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FINANCIAL STATEMENTS</w:t>
              </w:r>
            </w:hyperlink>
          </w:p>
        </w:tc>
        <w:tc>
          <w:tcPr>
            <w:tcW w:w="240" w:type="dxa"/>
            <w:vAlign w:val="bottom"/>
            <w:tcBorders>
              <w:top w:val="single" w:sz="8" w:color="0000EE"/>
            </w:tcBorders>
          </w:tcPr>
          <w:p>
            <w:pPr>
              <w:spacing w:after="0"/>
              <w:rPr>
                <w:sz w:val="17"/>
                <w:szCs w:val="17"/>
                <w:color w:val="auto"/>
              </w:rPr>
            </w:pPr>
          </w:p>
        </w:tc>
        <w:tc>
          <w:tcPr>
            <w:tcW w:w="5220" w:type="dxa"/>
            <w:vAlign w:val="bottom"/>
            <w:gridSpan w:val="12"/>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CONSOLIDATED BALANCE SHEETS AS OF October 29, 2005 AND APRIL 30, 2005</w:t>
              </w:r>
            </w:hyperlink>
          </w:p>
        </w:tc>
        <w:tc>
          <w:tcPr>
            <w:tcW w:w="1160" w:type="dxa"/>
            <w:vAlign w:val="bottom"/>
            <w:gridSpan w:val="2"/>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3</w:t>
            </w: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50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FOR THE THREE AND SIX MONTHS</w:t>
              </w:r>
            </w:hyperlink>
          </w:p>
        </w:tc>
        <w:tc>
          <w:tcPr>
            <w:tcW w:w="25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ENDED OCTOBER 29, 2005 AND OCTOBER 30, 2004</w:t>
              </w:r>
            </w:hyperlink>
          </w:p>
        </w:tc>
        <w:tc>
          <w:tcPr>
            <w:tcW w:w="2120" w:type="dxa"/>
            <w:vAlign w:val="bottom"/>
            <w:tcBorders>
              <w:top w:val="single" w:sz="8" w:color="0000EE"/>
            </w:tcBorders>
            <w:gridSpan w:val="7"/>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5</w:t>
            </w: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50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SIX MONTHS</w:t>
              </w:r>
            </w:hyperlink>
          </w:p>
        </w:tc>
        <w:tc>
          <w:tcPr>
            <w:tcW w:w="25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ENDED OCTOBER 29, 2005 AND OCTOBER 30, 2004</w:t>
              </w:r>
            </w:hyperlink>
          </w:p>
        </w:tc>
        <w:tc>
          <w:tcPr>
            <w:tcW w:w="1720" w:type="dxa"/>
            <w:vAlign w:val="bottom"/>
            <w:gridSpan w:val="5"/>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6</w:t>
            </w: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50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CONSOLIDATED FINANCIAL STATEMENTS</w:t>
              </w:r>
            </w:hyperlink>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7</w:t>
            </w: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826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ITEM 2. MANAGEMENT'S DISCUSSION AND ANALYSIS OF FINANCIAL CONDITION AND RESULTS OF</w:t>
              </w:r>
            </w:hyperlink>
          </w:p>
        </w:tc>
        <w:tc>
          <w:tcPr>
            <w:tcW w:w="25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8260" w:type="dxa"/>
            <w:vAlign w:val="bottom"/>
            <w:gridSpan w:val="2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OPERATIONS</w:t>
              </w:r>
            </w:hyperlink>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15</w:t>
            </w:r>
          </w:p>
        </w:tc>
      </w:tr>
      <w:tr>
        <w:trPr>
          <w:trHeight w:val="20"/>
        </w:trPr>
        <w:tc>
          <w:tcPr>
            <w:tcW w:w="6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70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ITEM 3. QUANTITATIVE AND QUALITATIVE DISCLOSURES ABOUT MARKET RISK</w:t>
              </w:r>
            </w:hyperlink>
          </w:p>
        </w:tc>
        <w:tc>
          <w:tcPr>
            <w:tcW w:w="1560" w:type="dxa"/>
            <w:vAlign w:val="bottom"/>
            <w:gridSpan w:val="3"/>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23</w:t>
            </w:r>
          </w:p>
        </w:tc>
      </w:tr>
      <w:tr>
        <w:trPr>
          <w:trHeight w:val="196"/>
        </w:trPr>
        <w:tc>
          <w:tcPr>
            <w:tcW w:w="64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ITEM 4. CONTROLS AND PROCEDURES</w:t>
              </w:r>
            </w:hyperlink>
          </w:p>
        </w:tc>
        <w:tc>
          <w:tcPr>
            <w:tcW w:w="5020" w:type="dxa"/>
            <w:vAlign w:val="bottom"/>
            <w:gridSpan w:val="11"/>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24</w:t>
            </w:r>
          </w:p>
        </w:tc>
      </w:tr>
      <w:tr>
        <w:trPr>
          <w:trHeight w:val="439"/>
        </w:trPr>
        <w:tc>
          <w:tcPr>
            <w:tcW w:w="640" w:type="dxa"/>
            <w:vAlign w:val="bottom"/>
          </w:tcPr>
          <w:p>
            <w:pPr>
              <w:spacing w:after="0"/>
              <w:rPr>
                <w:sz w:val="24"/>
                <w:szCs w:val="24"/>
                <w:color w:val="auto"/>
              </w:rPr>
            </w:pPr>
          </w:p>
        </w:tc>
        <w:tc>
          <w:tcPr>
            <w:tcW w:w="8260" w:type="dxa"/>
            <w:vAlign w:val="bottom"/>
            <w:gridSpan w:val="2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 OTHER INFORMATION</w:t>
              </w:r>
            </w:hyperlink>
          </w:p>
        </w:tc>
        <w:tc>
          <w:tcPr>
            <w:tcW w:w="25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ITEM 1. LEGAL PROCEEDINGS</w:t>
              </w:r>
            </w:hyperlink>
          </w:p>
        </w:tc>
        <w:tc>
          <w:tcPr>
            <w:tcW w:w="160" w:type="dxa"/>
            <w:vAlign w:val="bottom"/>
            <w:tcBorders>
              <w:top w:val="single" w:sz="8" w:color="0000EE"/>
            </w:tcBorders>
          </w:tcPr>
          <w:p>
            <w:pPr>
              <w:spacing w:after="0"/>
              <w:rPr>
                <w:sz w:val="17"/>
                <w:szCs w:val="17"/>
                <w:color w:val="auto"/>
              </w:rPr>
            </w:pPr>
          </w:p>
        </w:tc>
        <w:tc>
          <w:tcPr>
            <w:tcW w:w="5560" w:type="dxa"/>
            <w:vAlign w:val="bottom"/>
            <w:gridSpan w:val="14"/>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826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 UNREGISTERED SALES OF EQUITY SECURITIES AND USE OF PROCEEDS</w:t>
              </w:r>
            </w:hyperlink>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ITEM 3. DEFAULTS UPON SENIOR SECURITES</w:t>
              </w:r>
            </w:hyperlink>
          </w:p>
        </w:tc>
        <w:tc>
          <w:tcPr>
            <w:tcW w:w="2860" w:type="dxa"/>
            <w:vAlign w:val="bottom"/>
            <w:tcBorders>
              <w:top w:val="single" w:sz="8" w:color="0000EE"/>
            </w:tcBorders>
            <w:gridSpan w:val="6"/>
          </w:tcPr>
          <w:p>
            <w:pPr>
              <w:spacing w:after="0"/>
              <w:rPr>
                <w:sz w:val="17"/>
                <w:szCs w:val="17"/>
                <w:color w:val="auto"/>
              </w:rPr>
            </w:pPr>
          </w:p>
        </w:tc>
        <w:tc>
          <w:tcPr>
            <w:tcW w:w="1640" w:type="dxa"/>
            <w:vAlign w:val="bottom"/>
            <w:gridSpan w:val="4"/>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4. SUBMISSION OF MATTERS TO A VOTE OF SECURITY HOLDERS</w:t>
              </w:r>
            </w:hyperlink>
          </w:p>
        </w:tc>
        <w:tc>
          <w:tcPr>
            <w:tcW w:w="2400" w:type="dxa"/>
            <w:vAlign w:val="bottom"/>
            <w:gridSpan w:val="6"/>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826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5. OTHER INFORMATION</w:t>
              </w:r>
            </w:hyperlink>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2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6. EXHIBITS</w:t>
              </w:r>
            </w:hyperlink>
          </w:p>
        </w:tc>
        <w:tc>
          <w:tcPr>
            <w:tcW w:w="5720" w:type="dxa"/>
            <w:vAlign w:val="bottom"/>
            <w:gridSpan w:val="15"/>
          </w:tcPr>
          <w:p>
            <w:pPr>
              <w:spacing w:after="0"/>
              <w:rPr>
                <w:sz w:val="17"/>
                <w:szCs w:val="17"/>
                <w:color w:val="auto"/>
              </w:rPr>
            </w:pPr>
          </w:p>
        </w:tc>
        <w:tc>
          <w:tcPr>
            <w:tcW w:w="252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412"/>
        </w:trPr>
        <w:tc>
          <w:tcPr>
            <w:tcW w:w="640" w:type="dxa"/>
            <w:vAlign w:val="bottom"/>
          </w:tcPr>
          <w:p>
            <w:pPr>
              <w:spacing w:after="0"/>
              <w:rPr>
                <w:sz w:val="24"/>
                <w:szCs w:val="24"/>
                <w:color w:val="auto"/>
              </w:rPr>
            </w:pPr>
          </w:p>
        </w:tc>
        <w:tc>
          <w:tcPr>
            <w:tcW w:w="150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SIGNATURE</w:t>
              </w:r>
            </w:hyperlink>
          </w:p>
        </w:tc>
        <w:tc>
          <w:tcPr>
            <w:tcW w:w="6760" w:type="dxa"/>
            <w:vAlign w:val="bottom"/>
            <w:gridSpan w:val="16"/>
          </w:tcPr>
          <w:p>
            <w:pPr>
              <w:spacing w:after="0"/>
              <w:rPr>
                <w:sz w:val="24"/>
                <w:szCs w:val="24"/>
                <w:color w:val="auto"/>
              </w:rPr>
            </w:pPr>
          </w:p>
        </w:tc>
        <w:tc>
          <w:tcPr>
            <w:tcW w:w="2520" w:type="dxa"/>
            <w:vAlign w:val="bottom"/>
          </w:tcPr>
          <w:p>
            <w:pPr>
              <w:jc w:val="right"/>
              <w:ind w:right="1152"/>
              <w:spacing w:after="0"/>
              <w:rPr>
                <w:sz w:val="20"/>
                <w:szCs w:val="20"/>
                <w:color w:val="auto"/>
              </w:rPr>
            </w:pPr>
            <w:r>
              <w:rPr>
                <w:rFonts w:ascii="Arial" w:cs="Arial" w:eastAsia="Arial" w:hAnsi="Arial"/>
                <w:sz w:val="18"/>
                <w:szCs w:val="18"/>
                <w:color w:val="auto"/>
              </w:rPr>
              <w:t>26</w:t>
            </w:r>
          </w:p>
        </w:tc>
      </w:tr>
      <w:tr>
        <w:trPr>
          <w:trHeight w:val="412"/>
        </w:trPr>
        <w:tc>
          <w:tcPr>
            <w:tcW w:w="640" w:type="dxa"/>
            <w:vAlign w:val="bottom"/>
          </w:tcPr>
          <w:p>
            <w:pPr>
              <w:spacing w:after="0"/>
              <w:rPr>
                <w:sz w:val="24"/>
                <w:szCs w:val="24"/>
                <w:color w:val="auto"/>
              </w:rPr>
            </w:pPr>
          </w:p>
        </w:tc>
        <w:tc>
          <w:tcPr>
            <w:tcW w:w="10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EXHIBITS</w:t>
            </w:r>
          </w:p>
        </w:tc>
        <w:tc>
          <w:tcPr>
            <w:tcW w:w="7180" w:type="dxa"/>
            <w:vAlign w:val="bottom"/>
            <w:gridSpan w:val="17"/>
          </w:tcPr>
          <w:p>
            <w:pPr>
              <w:spacing w:after="0"/>
              <w:rPr>
                <w:sz w:val="24"/>
                <w:szCs w:val="24"/>
                <w:color w:val="auto"/>
              </w:rPr>
            </w:pPr>
          </w:p>
        </w:tc>
        <w:tc>
          <w:tcPr>
            <w:tcW w:w="2520" w:type="dxa"/>
            <w:vAlign w:val="bottom"/>
          </w:tcPr>
          <w:p>
            <w:pPr>
              <w:spacing w:after="0"/>
              <w:rPr>
                <w:sz w:val="24"/>
                <w:szCs w:val="24"/>
                <w:color w:val="auto"/>
              </w:rPr>
            </w:pPr>
          </w:p>
        </w:tc>
      </w:tr>
      <w:tr>
        <w:trPr>
          <w:trHeight w:val="341"/>
        </w:trPr>
        <w:tc>
          <w:tcPr>
            <w:tcW w:w="6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74"/>
        </w:trPr>
        <w:tc>
          <w:tcPr>
            <w:tcW w:w="64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00" w:type="dxa"/>
            <w:vAlign w:val="bottom"/>
            <w:tcBorders>
              <w:right w:val="single" w:sz="8" w:color="808080"/>
            </w:tcBorders>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0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52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1100" w:type="dxa"/>
            <w:vAlign w:val="bottom"/>
            <w:shd w:val="clear" w:color="auto" w:fill="808080"/>
          </w:tcPr>
          <w:p>
            <w:pPr>
              <w:spacing w:after="0"/>
              <w:rPr>
                <w:sz w:val="6"/>
                <w:szCs w:val="6"/>
                <w:color w:val="auto"/>
              </w:rPr>
            </w:pPr>
          </w:p>
        </w:tc>
        <w:tc>
          <w:tcPr>
            <w:tcW w:w="2520" w:type="dxa"/>
            <w:vAlign w:val="bottom"/>
            <w:shd w:val="clear" w:color="auto" w:fill="808080"/>
          </w:tcPr>
          <w:p>
            <w:pPr>
              <w:spacing w:after="0"/>
              <w:rPr>
                <w:sz w:val="6"/>
                <w:szCs w:val="6"/>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April 30, 2005 in the section entitled “Item 7. Management’s Discussion and Analysis of Financial Condition and Results of Operations – Business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85"/>
              </w:rPr>
              <w:t>October 29,</w:t>
            </w:r>
          </w:p>
        </w:tc>
        <w:tc>
          <w:tcPr>
            <w:tcW w:w="680" w:type="dxa"/>
            <w:vAlign w:val="bottom"/>
          </w:tcPr>
          <w:p>
            <w:pPr>
              <w:jc w:val="center"/>
              <w:ind w:left="55"/>
              <w:spacing w:after="0" w:line="147"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780" w:type="dxa"/>
            <w:vAlign w:val="bottom"/>
            <w:gridSpan w:val="2"/>
          </w:tcPr>
          <w:p>
            <w:pPr>
              <w:jc w:val="center"/>
              <w:ind w:left="1233"/>
              <w:spacing w:after="0" w:line="149" w:lineRule="exact"/>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2"/>
                <w:szCs w:val="12"/>
                <w:color w:val="auto"/>
              </w:rPr>
            </w:pPr>
          </w:p>
        </w:tc>
        <w:tc>
          <w:tcPr>
            <w:tcW w:w="68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174"/>
        </w:trPr>
        <w:tc>
          <w:tcPr>
            <w:tcW w:w="5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(unaudited)</w:t>
            </w:r>
          </w:p>
        </w:tc>
        <w:tc>
          <w:tcPr>
            <w:tcW w:w="680" w:type="dxa"/>
            <w:vAlign w:val="bottom"/>
          </w:tcPr>
          <w:p>
            <w:pPr>
              <w:jc w:val="center"/>
              <w:ind w:left="35"/>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$ 12,140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$ 15,961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7,757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526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33,658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6,133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29,811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24,612</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21,194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5,012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Rental equipment available for sale</w:t>
            </w:r>
          </w:p>
        </w:tc>
        <w:tc>
          <w:tcPr>
            <w:tcW w:w="1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117,667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104,283</w:t>
            </w: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260" w:type="dxa"/>
            <w:vAlign w:val="bottom"/>
          </w:tcPr>
          <w:p>
            <w:pPr>
              <w:ind w:left="80"/>
              <w:spacing w:after="0"/>
              <w:rPr>
                <w:sz w:val="20"/>
                <w:szCs w:val="20"/>
                <w:color w:val="auto"/>
              </w:rPr>
            </w:pPr>
            <w:r>
              <w:rPr>
                <w:rFonts w:ascii="Arial" w:cs="Arial" w:eastAsia="Arial" w:hAnsi="Arial"/>
                <w:sz w:val="18"/>
                <w:szCs w:val="18"/>
                <w:color w:val="auto"/>
              </w:rPr>
              <w:t>Advertising rights, net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Long–term receivables, less current maturities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9,553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2,644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Intangible and other assets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5243195</wp:posOffset>
            </wp:positionH>
            <wp:positionV relativeFrom="page">
              <wp:posOffset>88900</wp:posOffset>
            </wp:positionV>
            <wp:extent cx="1012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16,263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16,126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Land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Buildings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18,393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Machinery and equipment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19,152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17,592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Office furniture and equipment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19,382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Equipment held for rental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Demonstration equipment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Transportation equipment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70,431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Less accumulated depreciation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34,969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32,281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35,462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31,053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$169,392</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151,462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7"/>
              </w:rPr>
              <w:t>DAKTRONICS, INC. AND SUBSIDIARIES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5"/>
              </w:rPr>
              <w:t xml:space="preserve">CONSOLIDATED BALANCE SHEETS </w:t>
            </w:r>
            <w:r>
              <w:rPr>
                <w:rFonts w:ascii="Arial" w:cs="Arial" w:eastAsia="Arial" w:hAnsi="Arial"/>
                <w:sz w:val="18"/>
                <w:szCs w:val="18"/>
                <w:color w:val="auto"/>
                <w:w w:val="95"/>
              </w:rPr>
              <w:t>(continued)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32"/>
              <w:spacing w:after="0"/>
              <w:rPr>
                <w:sz w:val="20"/>
                <w:szCs w:val="20"/>
                <w:color w:val="auto"/>
              </w:rPr>
            </w:pPr>
            <w:r>
              <w:rPr>
                <w:rFonts w:ascii="Arial" w:cs="Arial" w:eastAsia="Arial" w:hAnsi="Arial"/>
                <w:sz w:val="18"/>
                <w:szCs w:val="18"/>
                <w:color w:val="auto"/>
                <w:w w:val="86"/>
              </w:rPr>
              <w:t>(in thousands, except share data)</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October 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2"/>
            <w:vMerge w:val="restart"/>
          </w:tcPr>
          <w:p>
            <w:pPr>
              <w:jc w:val="center"/>
              <w:ind w:right="1820"/>
              <w:spacing w:after="0"/>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138"/>
        </w:trPr>
        <w:tc>
          <w:tcPr>
            <w:tcW w:w="7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2005</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Notes payable, bank</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Accrued expenses and warranty obligations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debt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marketing obligations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Customer deposits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Deferred maintenance revenue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2"/>
          </w:tcPr>
          <w:p>
            <w:pPr>
              <w:jc w:val="right"/>
              <w:ind w:righ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41,996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marketing obligations, less current maturities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Deferred income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47,552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Common stock, no par value, authorized 60,000,000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840"/>
              <w:spacing w:after="0"/>
              <w:rPr>
                <w:sz w:val="20"/>
                <w:szCs w:val="20"/>
                <w:color w:val="auto"/>
              </w:rPr>
            </w:pPr>
            <w:r>
              <w:rPr>
                <w:rFonts w:ascii="Arial" w:cs="Arial" w:eastAsia="Arial" w:hAnsi="Arial"/>
                <w:sz w:val="18"/>
                <w:szCs w:val="18"/>
                <w:color w:val="auto"/>
              </w:rPr>
              <w:t>shares, 19,326,148 and 19,165,369 shares issued at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840"/>
              <w:spacing w:after="0"/>
              <w:rPr>
                <w:sz w:val="20"/>
                <w:szCs w:val="20"/>
                <w:color w:val="auto"/>
              </w:rPr>
            </w:pPr>
            <w:r>
              <w:rPr>
                <w:rFonts w:ascii="Arial" w:cs="Arial" w:eastAsia="Arial" w:hAnsi="Arial"/>
                <w:sz w:val="18"/>
                <w:szCs w:val="18"/>
                <w:color w:val="auto"/>
              </w:rPr>
              <w:t>October 29, 2005 and April 30, 2005, respectively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17,739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83,337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Treasury stock, at cost, 19,680 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2"/>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Accumulated other comprehensive (loss) income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112,435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103,910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$169,392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151,462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-6881495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-6881495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-6881495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-6881495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-415290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-415290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-415290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-415290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910" w:orient="portrait"/>
          <w:cols w:equalWidth="0" w:num="1">
            <w:col w:w="11420"/>
          </w:cols>
          <w:pgMar w:left="240" w:top="253" w:right="239" w:bottom="0" w:gutter="0" w:footer="0" w:header="0"/>
        </w:sectPr>
      </w:pPr>
    </w:p>
    <w:p>
      <w:pPr>
        <w:spacing w:after="0" w:line="228" w:lineRule="exact"/>
        <w:rPr>
          <w:sz w:val="20"/>
          <w:szCs w:val="20"/>
          <w:color w:val="auto"/>
        </w:rPr>
      </w:pPr>
    </w:p>
    <w:tbl>
      <w:tblPr>
        <w:tblLayout w:type="fixed"/>
        <w:tblInd w:w="48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78"/>
              </w:rPr>
              <w:t>October</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gridSpan w:val="2"/>
          </w:tcPr>
          <w:p>
            <w:pPr>
              <w:jc w:val="center"/>
              <w:ind w:right="232"/>
              <w:spacing w:after="0" w:line="129" w:lineRule="exact"/>
              <w:rPr>
                <w:sz w:val="20"/>
                <w:szCs w:val="20"/>
                <w:color w:val="auto"/>
              </w:rPr>
            </w:pPr>
            <w:r>
              <w:rPr>
                <w:rFonts w:ascii="Arial" w:cs="Arial" w:eastAsia="Arial" w:hAnsi="Arial"/>
                <w:sz w:val="14"/>
                <w:szCs w:val="14"/>
                <w:b w:val="1"/>
                <w:bCs w:val="1"/>
                <w:color w:val="auto"/>
                <w:w w:val="88"/>
              </w:rPr>
              <w:t>October 29,</w:t>
            </w:r>
          </w:p>
        </w:tc>
        <w:tc>
          <w:tcPr>
            <w:tcW w:w="13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October 30,</w:t>
            </w:r>
          </w:p>
        </w:tc>
        <w:tc>
          <w:tcPr>
            <w:tcW w:w="760" w:type="dxa"/>
            <w:vAlign w:val="bottom"/>
            <w:vMerge w:val="continue"/>
          </w:tcPr>
          <w:p>
            <w:pPr>
              <w:spacing w:after="0"/>
              <w:rPr>
                <w:sz w:val="11"/>
                <w:szCs w:val="11"/>
                <w:color w:val="auto"/>
              </w:rPr>
            </w:pPr>
          </w:p>
        </w:tc>
        <w:tc>
          <w:tcPr>
            <w:tcW w:w="56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29,</w:t>
            </w:r>
          </w:p>
        </w:tc>
        <w:tc>
          <w:tcPr>
            <w:tcW w:w="980" w:type="dxa"/>
            <w:vAlign w:val="bottom"/>
            <w:gridSpan w:val="2"/>
          </w:tcPr>
          <w:p>
            <w:pPr>
              <w:jc w:val="center"/>
              <w:ind w:left="252"/>
              <w:spacing w:after="0" w:line="129" w:lineRule="exact"/>
              <w:rPr>
                <w:sz w:val="20"/>
                <w:szCs w:val="20"/>
                <w:color w:val="auto"/>
              </w:rPr>
            </w:pPr>
            <w:r>
              <w:rPr>
                <w:rFonts w:ascii="Arial" w:cs="Arial" w:eastAsia="Arial" w:hAnsi="Arial"/>
                <w:sz w:val="14"/>
                <w:szCs w:val="14"/>
                <w:b w:val="1"/>
                <w:bCs w:val="1"/>
                <w:color w:val="auto"/>
                <w:w w:val="85"/>
              </w:rPr>
              <w:t>October 30,</w:t>
            </w:r>
          </w:p>
        </w:tc>
        <w:tc>
          <w:tcPr>
            <w:tcW w:w="0" w:type="dxa"/>
            <w:vAlign w:val="bottom"/>
          </w:tcPr>
          <w:p>
            <w:pPr>
              <w:spacing w:after="0"/>
              <w:rPr>
                <w:sz w:val="1"/>
                <w:szCs w:val="1"/>
                <w:color w:val="auto"/>
              </w:rPr>
            </w:pPr>
          </w:p>
        </w:tc>
      </w:tr>
      <w:tr>
        <w:trPr>
          <w:trHeight w:val="174"/>
        </w:trPr>
        <w:tc>
          <w:tcPr>
            <w:tcW w:w="98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2004</w:t>
            </w:r>
          </w:p>
        </w:tc>
        <w:tc>
          <w:tcPr>
            <w:tcW w:w="13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bl>
    <w:p>
      <w:pPr>
        <w:sectPr>
          <w:pgSz w:w="11900" w:h="16910" w:orient="portrait"/>
          <w:cols w:equalWidth="0" w:num="1">
            <w:col w:w="11420"/>
          </w:cols>
          <w:pgMar w:left="240" w:top="253" w:right="239" w:bottom="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3013075</wp:posOffset>
            </wp:positionH>
            <wp:positionV relativeFrom="page">
              <wp:posOffset>88900</wp:posOffset>
            </wp:positionV>
            <wp:extent cx="3190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00" w:type="dxa"/>
            <w:vAlign w:val="bottom"/>
          </w:tcPr>
          <w:p>
            <w:pPr>
              <w:ind w:left="1660"/>
              <w:spacing w:after="0"/>
              <w:rPr>
                <w:sz w:val="20"/>
                <w:szCs w:val="20"/>
                <w:color w:val="auto"/>
              </w:rPr>
            </w:pPr>
            <w:r>
              <w:rPr>
                <w:rFonts w:ascii="Arial" w:cs="Arial" w:eastAsia="Arial" w:hAnsi="Arial"/>
                <w:sz w:val="18"/>
                <w:szCs w:val="18"/>
                <w:color w:val="auto"/>
              </w:rPr>
              <w:t>Net sales</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75,802</w:t>
            </w:r>
          </w:p>
        </w:tc>
        <w:tc>
          <w:tcPr>
            <w:tcW w:w="220" w:type="dxa"/>
            <w:vAlign w:val="bottom"/>
          </w:tcPr>
          <w:p>
            <w:pPr>
              <w:spacing w:after="0"/>
              <w:rPr>
                <w:sz w:val="18"/>
                <w:szCs w:val="18"/>
                <w:color w:val="auto"/>
              </w:rPr>
            </w:pP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59,472</w:t>
            </w:r>
          </w:p>
        </w:tc>
        <w:tc>
          <w:tcPr>
            <w:tcW w:w="240" w:type="dxa"/>
            <w:vAlign w:val="bottom"/>
          </w:tcPr>
          <w:p>
            <w:pPr>
              <w:spacing w:after="0"/>
              <w:rPr>
                <w:sz w:val="18"/>
                <w:szCs w:val="18"/>
                <w:color w:val="auto"/>
              </w:rPr>
            </w:pPr>
          </w:p>
        </w:tc>
        <w:tc>
          <w:tcPr>
            <w:tcW w:w="320" w:type="dxa"/>
            <w:vAlign w:val="bottom"/>
          </w:tcPr>
          <w:p>
            <w:pPr>
              <w:jc w:val="right"/>
              <w:ind w:right="15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148,147</w:t>
            </w:r>
          </w:p>
        </w:tc>
        <w:tc>
          <w:tcPr>
            <w:tcW w:w="24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118,182</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66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53,485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103,636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78,070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5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22,317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19,994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44,511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40,112</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00" w:type="dxa"/>
            <w:vAlign w:val="bottom"/>
            <w:vMerge w:val="restart"/>
          </w:tcPr>
          <w:p>
            <w:pPr>
              <w:ind w:left="166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760"/>
              <w:spacing w:after="0"/>
              <w:rPr>
                <w:sz w:val="20"/>
                <w:szCs w:val="20"/>
                <w:color w:val="auto"/>
              </w:rPr>
            </w:pPr>
            <w:r>
              <w:rPr>
                <w:rFonts w:ascii="Arial" w:cs="Arial" w:eastAsia="Arial" w:hAnsi="Arial"/>
                <w:sz w:val="18"/>
                <w:szCs w:val="18"/>
                <w:color w:val="auto"/>
              </w:rPr>
              <w:t>Selling</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14,727</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7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760"/>
              <w:spacing w:after="0"/>
              <w:rPr>
                <w:sz w:val="20"/>
                <w:szCs w:val="20"/>
                <w:color w:val="auto"/>
              </w:rPr>
            </w:pPr>
            <w:r>
              <w:rPr>
                <w:rFonts w:ascii="Arial" w:cs="Arial" w:eastAsia="Arial" w:hAnsi="Arial"/>
                <w:sz w:val="18"/>
                <w:szCs w:val="18"/>
                <w:color w:val="auto"/>
              </w:rPr>
              <w:t>Product design and development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14,610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29,526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24,660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14,985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15,452</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00" w:type="dxa"/>
            <w:vAlign w:val="bottom"/>
          </w:tcPr>
          <w:p>
            <w:pPr>
              <w:ind w:left="1660"/>
              <w:spacing w:after="0"/>
              <w:rPr>
                <w:sz w:val="20"/>
                <w:szCs w:val="20"/>
                <w:color w:val="auto"/>
              </w:rPr>
            </w:pPr>
            <w:r>
              <w:rPr>
                <w:rFonts w:ascii="Arial" w:cs="Arial" w:eastAsia="Arial" w:hAnsi="Arial"/>
                <w:sz w:val="18"/>
                <w:szCs w:val="18"/>
                <w:color w:val="auto"/>
              </w:rPr>
              <w:t>Nonoperating income (expense):</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7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7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2640" w:type="dxa"/>
            <w:vAlign w:val="bottom"/>
            <w:gridSpan w:val="2"/>
          </w:tcPr>
          <w:p>
            <w:pPr>
              <w:jc w:val="right"/>
              <w:ind w:right="18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2"/>
        </w:trPr>
        <w:tc>
          <w:tcPr>
            <w:tcW w:w="4500" w:type="dxa"/>
            <w:vAlign w:val="bottom"/>
          </w:tcPr>
          <w:p>
            <w:pPr>
              <w:ind w:left="176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5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8,204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15,696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16,421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76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5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00" w:type="dxa"/>
            <w:vAlign w:val="bottom"/>
            <w:vMerge w:val="continue"/>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5,185</w:t>
            </w:r>
          </w:p>
        </w:tc>
        <w:tc>
          <w:tcPr>
            <w:tcW w:w="220" w:type="dxa"/>
            <w:vAlign w:val="bottom"/>
          </w:tcPr>
          <w:p>
            <w:pPr>
              <w:spacing w:after="0"/>
              <w:rPr>
                <w:sz w:val="24"/>
                <w:szCs w:val="24"/>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9,816</w:t>
            </w:r>
          </w:p>
        </w:tc>
        <w:tc>
          <w:tcPr>
            <w:tcW w:w="24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10,220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00" w:type="dxa"/>
            <w:vAlign w:val="bottom"/>
            <w:vMerge w:val="restart"/>
          </w:tcPr>
          <w:p>
            <w:pPr>
              <w:ind w:left="1660"/>
              <w:spacing w:after="0"/>
              <w:rPr>
                <w:sz w:val="20"/>
                <w:szCs w:val="20"/>
                <w:color w:val="auto"/>
              </w:rPr>
            </w:pPr>
            <w:r>
              <w:rPr>
                <w:rFonts w:ascii="Arial" w:cs="Arial" w:eastAsia="Arial" w:hAnsi="Arial"/>
                <w:sz w:val="18"/>
                <w:szCs w:val="18"/>
                <w:color w:val="auto"/>
              </w:rPr>
              <w:t>Weighted average number of fully</w:t>
            </w: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760"/>
              <w:spacing w:after="0"/>
              <w:rPr>
                <w:sz w:val="20"/>
                <w:szCs w:val="20"/>
                <w:color w:val="auto"/>
              </w:rPr>
            </w:pPr>
            <w:r>
              <w:rPr>
                <w:rFonts w:ascii="Arial" w:cs="Arial" w:eastAsia="Arial" w:hAnsi="Arial"/>
                <w:sz w:val="18"/>
                <w:szCs w:val="18"/>
                <w:color w:val="auto"/>
              </w:rPr>
              <w:t>diluted shares and common</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760"/>
              <w:spacing w:after="0"/>
              <w:rPr>
                <w:sz w:val="20"/>
                <w:szCs w:val="20"/>
                <w:color w:val="auto"/>
              </w:rPr>
            </w:pPr>
            <w:r>
              <w:rPr>
                <w:rFonts w:ascii="Arial" w:cs="Arial" w:eastAsia="Arial" w:hAnsi="Arial"/>
                <w:sz w:val="18"/>
                <w:szCs w:val="18"/>
                <w:color w:val="auto"/>
              </w:rPr>
              <w:t>equivalent shares</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20,152</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500" w:type="dxa"/>
            <w:vAlign w:val="bottom"/>
            <w:vMerge w:val="restart"/>
          </w:tcPr>
          <w:p>
            <w:pPr>
              <w:ind w:left="1660"/>
              <w:spacing w:after="0"/>
              <w:rPr>
                <w:sz w:val="20"/>
                <w:szCs w:val="20"/>
                <w:color w:val="auto"/>
              </w:rPr>
            </w:pPr>
            <w:r>
              <w:rPr>
                <w:rFonts w:ascii="Arial" w:cs="Arial" w:eastAsia="Arial" w:hAnsi="Arial"/>
                <w:sz w:val="18"/>
                <w:szCs w:val="18"/>
                <w:color w:val="auto"/>
              </w:rPr>
              <w:t>Earnings per share:</w:t>
            </w: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76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9"/>
                <w:szCs w:val="19"/>
                <w:color w:val="auto"/>
              </w:rPr>
            </w:pP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9"/>
                <w:szCs w:val="19"/>
                <w:color w:val="auto"/>
              </w:rPr>
            </w:pP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5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00" w:type="dxa"/>
            <w:vAlign w:val="bottom"/>
          </w:tcPr>
          <w:p>
            <w:pPr>
              <w:ind w:left="176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4500" w:type="dxa"/>
            <w:vAlign w:val="bottom"/>
          </w:tcPr>
          <w:p>
            <w:pPr>
              <w:ind w:left="1660"/>
              <w:spacing w:after="0"/>
              <w:rPr>
                <w:sz w:val="20"/>
                <w:szCs w:val="20"/>
                <w:color w:val="auto"/>
              </w:rPr>
            </w:pPr>
            <w:r>
              <w:rPr>
                <w:rFonts w:ascii="Arial" w:cs="Arial" w:eastAsia="Arial" w:hAnsi="Arial"/>
                <w:sz w:val="18"/>
                <w:szCs w:val="18"/>
                <w:color w:val="auto"/>
              </w:rPr>
              <w:t>Cash dividend paid per share</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40" w:type="dxa"/>
            <w:vAlign w:val="bottom"/>
            <w:gridSpan w:val="2"/>
          </w:tcPr>
          <w:p>
            <w:pPr>
              <w:jc w:val="right"/>
              <w:ind w:right="1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45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50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-1978025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-1978025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-1978025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-1978025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-1978025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-1978025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-1978025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-1978025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-1412240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-1412240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-1412240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-1412240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-1412240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-1412240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-1412240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-1412240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-983615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-983615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-983615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-983615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-983615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-983615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-983615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-983615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-691515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-691515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-691515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-691515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-691515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-691515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-691515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-691515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-262890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-262890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-262890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-262890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-262890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-262890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80" w:type="dxa"/>
            <w:vAlign w:val="bottom"/>
          </w:tcPr>
          <w:p>
            <w:pPr>
              <w:spacing w:after="0"/>
              <w:rPr>
                <w:sz w:val="11"/>
                <w:szCs w:val="11"/>
                <w:color w:val="auto"/>
              </w:rPr>
            </w:pPr>
          </w:p>
        </w:tc>
        <w:tc>
          <w:tcPr>
            <w:tcW w:w="110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October 29,</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October 30,</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9,816</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$ 10,220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by operating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4,203</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(Gain) loss on sale of property and equipment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(255)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(6,591)</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6,255</w:t>
            </w: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Cash consideration paid for acquired business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(7,946)</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Sales (purchases) of mareketable securities, net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(7,695)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110"/>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USED IN FINANCING ACTIVITIES:</w:t>
            </w: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Dividend paid</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(1,917)</w:t>
            </w:r>
          </w:p>
        </w:tc>
        <w:tc>
          <w:tcPr>
            <w:tcW w:w="4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(525)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borrowing (payments) on notes payable</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(84)</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 and warrants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0" w:gutter="0" w:footer="0" w:header="0"/>
        </w:sectPr>
      </w:pPr>
    </w:p>
    <w:bookmarkStart w:id="4" w:name="page5"/>
    <w:bookmarkEnd w:id="4"/>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5200" w:type="dxa"/>
            <w:vAlign w:val="bottom"/>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(3,821)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15,961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16,255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12,140</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17,832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5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Supplemental schedule of non-cash investing and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Tax benefits related to exercise of stock options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220"/>
              <w:spacing w:after="0"/>
              <w:rPr>
                <w:sz w:val="20"/>
                <w:szCs w:val="20"/>
                <w:color w:val="auto"/>
              </w:rPr>
            </w:pPr>
            <w:r>
              <w:rPr>
                <w:rFonts w:ascii="Arial" w:cs="Arial" w:eastAsia="Arial" w:hAnsi="Arial"/>
                <w:sz w:val="18"/>
                <w:szCs w:val="18"/>
                <w:color w:val="auto"/>
              </w:rPr>
              <w:t>Property and equipment acquired through accounts payable</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-1329690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-1329690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-1329690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-1329690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30, 2005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April 30, 2005,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consolidated financial statements include the accounts of our wholly-owned subsidiaries, Daktronics GmbH, Star Circuits, Inc., Sports Link, Ltd., MSC Technologies, Inc., Daktronics UK, Ltd., Daktronics Hong Kong, Ltd., Daktronics Shanghai Co., Ltd. and Daktronics Canada, Inc. Investments in affiliates owned 50% or less are accounted for by the equity method. Intercompany balances and transactions have been eliminated in consolidation.</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inventory valuation reserves for doubtful accounts and estimated effective annual tax rates. Changes in estimates are reflected in the periods in which they become known.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1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xml:space="preserve"> At October 29, 2005, we had four stock-based employee compensation plans, which are described more fully in our Annual Report on Form 10-K. We account for these plans under the recognition and measurement principles of APB Opinion No. 25, “Accounting for Stock Issued to 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Statement of Financial Accounting Standards (“SFAS”) No. 123, “Accounting for Stock-Based Compensation,” to stock-based compensation.</w:t>
      </w:r>
    </w:p>
    <w:p>
      <w:pPr>
        <w:spacing w:after="0" w:line="329" w:lineRule="exact"/>
        <w:rPr>
          <w:sz w:val="20"/>
          <w:szCs w:val="20"/>
          <w:color w:val="auto"/>
        </w:rPr>
      </w:pPr>
    </w:p>
    <w:tbl>
      <w:tblPr>
        <w:tblLayout w:type="fixed"/>
        <w:tblInd w:w="41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w w:val="78"/>
              </w:rPr>
              <w:t>October</w:t>
            </w: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b w:val="1"/>
                <w:bCs w:val="1"/>
                <w:color w:val="auto"/>
                <w:w w:val="70"/>
              </w:rPr>
              <w:t>October</w:t>
            </w: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line="20" w:lineRule="exact"/>
              <w:rPr>
                <w:sz w:val="1"/>
                <w:szCs w:val="1"/>
                <w:color w:val="auto"/>
              </w:rPr>
            </w:pPr>
          </w:p>
        </w:tc>
      </w:tr>
      <w:tr>
        <w:trPr>
          <w:trHeight w:val="129"/>
        </w:trPr>
        <w:tc>
          <w:tcPr>
            <w:tcW w:w="380" w:type="dxa"/>
            <w:vAlign w:val="bottom"/>
            <w:vMerge w:val="continue"/>
          </w:tcPr>
          <w:p>
            <w:pPr>
              <w:spacing w:after="0"/>
              <w:rPr>
                <w:sz w:val="11"/>
                <w:szCs w:val="11"/>
                <w:color w:val="auto"/>
              </w:rPr>
            </w:pPr>
          </w:p>
        </w:tc>
        <w:tc>
          <w:tcPr>
            <w:tcW w:w="4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29,</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October 30,</w:t>
            </w:r>
          </w:p>
        </w:tc>
        <w:tc>
          <w:tcPr>
            <w:tcW w:w="580" w:type="dxa"/>
            <w:vAlign w:val="bottom"/>
            <w:vMerge w:val="continue"/>
          </w:tcPr>
          <w:p>
            <w:pPr>
              <w:spacing w:after="0"/>
              <w:rPr>
                <w:sz w:val="11"/>
                <w:szCs w:val="11"/>
                <w:color w:val="auto"/>
              </w:rPr>
            </w:pPr>
          </w:p>
        </w:tc>
        <w:tc>
          <w:tcPr>
            <w:tcW w:w="4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29,</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October</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10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60325</wp:posOffset>
            </wp:positionV>
            <wp:extent cx="2418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80" w:type="dxa"/>
            <w:vAlign w:val="bottom"/>
          </w:tcPr>
          <w:p>
            <w:pPr>
              <w:spacing w:after="0"/>
              <w:rPr>
                <w:sz w:val="20"/>
                <w:szCs w:val="20"/>
                <w:color w:val="auto"/>
              </w:rPr>
            </w:pPr>
            <w:r>
              <w:rPr>
                <w:rFonts w:ascii="Arial" w:cs="Arial" w:eastAsia="Arial" w:hAnsi="Arial"/>
                <w:sz w:val="18"/>
                <w:szCs w:val="18"/>
                <w:color w:val="auto"/>
              </w:rPr>
              <w:t>Net Income as reported</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5,185</w:t>
            </w:r>
          </w:p>
        </w:tc>
        <w:tc>
          <w:tcPr>
            <w:tcW w:w="60" w:type="dxa"/>
            <w:vAlign w:val="bottom"/>
          </w:tcPr>
          <w:p>
            <w:pPr>
              <w:spacing w:after="0"/>
              <w:rPr>
                <w:sz w:val="22"/>
                <w:szCs w:val="22"/>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Deduct: Total stock-based method</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employee compensation expense</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determined under fair value</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based method for all awards,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net of related tax effects</w:t>
            </w:r>
          </w:p>
        </w:tc>
        <w:tc>
          <w:tcPr>
            <w:tcW w:w="2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110"/>
        </w:trPr>
        <w:tc>
          <w:tcPr>
            <w:tcW w:w="3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55"/>
        </w:trPr>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5,014</w:t>
            </w:r>
          </w:p>
        </w:tc>
        <w:tc>
          <w:tcPr>
            <w:tcW w:w="60" w:type="dxa"/>
            <w:vAlign w:val="bottom"/>
          </w:tcPr>
          <w:p>
            <w:pPr>
              <w:spacing w:after="0"/>
              <w:rPr>
                <w:sz w:val="24"/>
                <w:szCs w:val="24"/>
                <w:color w:val="auto"/>
              </w:rPr>
            </w:pPr>
          </w:p>
        </w:tc>
      </w:tr>
      <w:tr>
        <w:trPr>
          <w:trHeight w:val="108"/>
        </w:trPr>
        <w:tc>
          <w:tcPr>
            <w:tcW w:w="3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260" w:val="left"/>
          <w:tab w:leader="none" w:pos="960" w:val="left"/>
          <w:tab w:leader="none" w:pos="1240" w:val="left"/>
          <w:tab w:leader="none" w:pos="20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5,188</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9,816</w:t>
      </w:r>
      <w:r>
        <w:rPr>
          <w:sz w:val="20"/>
          <w:szCs w:val="20"/>
          <w:color w:val="auto"/>
        </w:rPr>
        <w:tab/>
      </w:r>
      <w:r>
        <w:rPr>
          <w:rFonts w:ascii="Arial" w:cs="Arial" w:eastAsia="Arial" w:hAnsi="Arial"/>
          <w:sz w:val="19"/>
          <w:szCs w:val="19"/>
          <w:color w:val="auto"/>
        </w:rPr>
        <w:t xml:space="preserve">$ </w:t>
      </w:r>
      <w:r>
        <w:rPr>
          <w:rFonts w:ascii="Arial" w:cs="Arial" w:eastAsia="Arial" w:hAnsi="Arial"/>
          <w:sz w:val="15"/>
          <w:szCs w:val="15"/>
          <w:color w:val="auto"/>
        </w:rPr>
        <w:t>10,220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60"/>
        <w:spacing w:after="0"/>
        <w:tabs>
          <w:tab w:leader="none" w:pos="1320" w:val="left"/>
          <w:tab w:leader="none" w:pos="23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(339)</w:t>
      </w:r>
      <w:r>
        <w:rPr>
          <w:sz w:val="20"/>
          <w:szCs w:val="20"/>
          <w:color w:val="auto"/>
        </w:rPr>
        <w:tab/>
      </w:r>
      <w:r>
        <w:rPr>
          <w:rFonts w:ascii="Arial" w:cs="Arial" w:eastAsia="Arial" w:hAnsi="Arial"/>
          <w:sz w:val="16"/>
          <w:szCs w:val="16"/>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80010</wp:posOffset>
            </wp:positionV>
            <wp:extent cx="17494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6" w:lineRule="exact"/>
        <w:rPr>
          <w:sz w:val="20"/>
          <w:szCs w:val="20"/>
          <w:color w:val="auto"/>
        </w:rPr>
      </w:pPr>
    </w:p>
    <w:p>
      <w:pPr>
        <w:spacing w:after="0"/>
        <w:tabs>
          <w:tab w:leader="none" w:pos="260" w:val="left"/>
          <w:tab w:leader="none" w:pos="960" w:val="left"/>
          <w:tab w:leader="none" w:pos="1240" w:val="left"/>
          <w:tab w:leader="none" w:pos="2020" w:val="left"/>
          <w:tab w:leader="none" w:pos="2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5,041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9,477</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5"/>
          <w:szCs w:val="15"/>
          <w:color w:val="auto"/>
        </w:rPr>
        <w:t>9,941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73660</wp:posOffset>
            </wp:positionV>
            <wp:extent cx="175387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53870" cy="21590"/>
                    </a:xfrm>
                    <a:prstGeom prst="rect">
                      <a:avLst/>
                    </a:prstGeom>
                    <a:noFill/>
                  </pic:spPr>
                </pic:pic>
              </a:graphicData>
            </a:graphic>
          </wp:anchor>
        </w:drawing>
      </w:r>
    </w:p>
    <w:p>
      <w:pPr>
        <w:sectPr>
          <w:pgSz w:w="11900" w:h="16838" w:orient="portrait"/>
          <w:cols w:equalWidth="0" w:num="2">
            <w:col w:w="4760" w:space="320"/>
            <w:col w:w="634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Earnings per share:</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840" w:type="dxa"/>
            <w:vAlign w:val="bottom"/>
          </w:tcPr>
          <w:p>
            <w:pPr>
              <w:ind w:left="140"/>
              <w:spacing w:after="0"/>
              <w:rPr>
                <w:sz w:val="20"/>
                <w:szCs w:val="20"/>
                <w:color w:val="auto"/>
              </w:rPr>
            </w:pPr>
            <w:r>
              <w:rPr>
                <w:rFonts w:ascii="Arial" w:cs="Arial" w:eastAsia="Arial" w:hAnsi="Arial"/>
                <w:sz w:val="18"/>
                <w:szCs w:val="18"/>
                <w:color w:val="auto"/>
              </w:rPr>
              <w:t>Basic – as reported</w:t>
            </w:r>
          </w:p>
        </w:tc>
        <w:tc>
          <w:tcPr>
            <w:tcW w:w="2060" w:type="dxa"/>
            <w:vAlign w:val="bottom"/>
          </w:tcPr>
          <w:p>
            <w:pPr>
              <w:jc w:val="right"/>
              <w:ind w:right="112"/>
              <w:spacing w:after="0"/>
              <w:rPr>
                <w:sz w:val="20"/>
                <w:szCs w:val="20"/>
                <w:color w:val="auto"/>
              </w:rPr>
            </w:pPr>
            <w:r>
              <w:rPr>
                <w:rFonts w:ascii="Arial" w:cs="Arial" w:eastAsia="Arial" w:hAnsi="Arial"/>
                <w:sz w:val="18"/>
                <w:szCs w:val="18"/>
                <w:color w:val="auto"/>
              </w:rPr>
              <w:t>$   0.27</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   0.27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   0.51</w:t>
            </w:r>
          </w:p>
        </w:tc>
        <w:tc>
          <w:tcPr>
            <w:tcW w:w="840" w:type="dxa"/>
            <w:vAlign w:val="bottom"/>
          </w:tcPr>
          <w:p>
            <w:pPr>
              <w:jc w:val="right"/>
              <w:spacing w:after="0"/>
              <w:rPr>
                <w:sz w:val="20"/>
                <w:szCs w:val="20"/>
                <w:color w:val="auto"/>
              </w:rPr>
            </w:pPr>
            <w:r>
              <w:rPr>
                <w:rFonts w:ascii="Arial" w:cs="Arial" w:eastAsia="Arial" w:hAnsi="Arial"/>
                <w:sz w:val="18"/>
                <w:szCs w:val="18"/>
                <w:color w:val="auto"/>
              </w:rPr>
              <w:t>$   0.54</w:t>
            </w:r>
          </w:p>
        </w:tc>
      </w:tr>
      <w:tr>
        <w:trPr>
          <w:trHeight w:val="216"/>
        </w:trPr>
        <w:tc>
          <w:tcPr>
            <w:tcW w:w="2840" w:type="dxa"/>
            <w:vAlign w:val="bottom"/>
          </w:tcPr>
          <w:p>
            <w:pPr>
              <w:ind w:left="140"/>
              <w:spacing w:after="0"/>
              <w:rPr>
                <w:sz w:val="20"/>
                <w:szCs w:val="20"/>
                <w:color w:val="auto"/>
              </w:rPr>
            </w:pPr>
            <w:r>
              <w:rPr>
                <w:rFonts w:ascii="Arial" w:cs="Arial" w:eastAsia="Arial" w:hAnsi="Arial"/>
                <w:sz w:val="18"/>
                <w:szCs w:val="18"/>
                <w:color w:val="auto"/>
              </w:rPr>
              <w:t>Basic – pro forma</w:t>
            </w:r>
          </w:p>
        </w:tc>
        <w:tc>
          <w:tcPr>
            <w:tcW w:w="2060" w:type="dxa"/>
            <w:vAlign w:val="bottom"/>
          </w:tcPr>
          <w:p>
            <w:pPr>
              <w:jc w:val="right"/>
              <w:ind w:right="112"/>
              <w:spacing w:after="0"/>
              <w:rPr>
                <w:sz w:val="20"/>
                <w:szCs w:val="20"/>
                <w:color w:val="auto"/>
              </w:rPr>
            </w:pPr>
            <w:r>
              <w:rPr>
                <w:rFonts w:ascii="Arial" w:cs="Arial" w:eastAsia="Arial" w:hAnsi="Arial"/>
                <w:sz w:val="18"/>
                <w:szCs w:val="18"/>
                <w:color w:val="auto"/>
              </w:rPr>
              <w:t>0.26</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0.27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0.49</w:t>
            </w:r>
          </w:p>
        </w:tc>
        <w:tc>
          <w:tcPr>
            <w:tcW w:w="84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16"/>
        </w:trPr>
        <w:tc>
          <w:tcPr>
            <w:tcW w:w="2840" w:type="dxa"/>
            <w:vAlign w:val="bottom"/>
          </w:tcPr>
          <w:p>
            <w:pPr>
              <w:ind w:left="140"/>
              <w:spacing w:after="0"/>
              <w:rPr>
                <w:sz w:val="20"/>
                <w:szCs w:val="20"/>
                <w:color w:val="auto"/>
              </w:rPr>
            </w:pPr>
            <w:r>
              <w:rPr>
                <w:rFonts w:ascii="Arial" w:cs="Arial" w:eastAsia="Arial" w:hAnsi="Arial"/>
                <w:sz w:val="18"/>
                <w:szCs w:val="18"/>
                <w:color w:val="auto"/>
              </w:rPr>
              <w:t>Diluted – as reported</w:t>
            </w:r>
          </w:p>
        </w:tc>
        <w:tc>
          <w:tcPr>
            <w:tcW w:w="2060" w:type="dxa"/>
            <w:vAlign w:val="bottom"/>
          </w:tcPr>
          <w:p>
            <w:pPr>
              <w:jc w:val="right"/>
              <w:ind w:right="112"/>
              <w:spacing w:after="0"/>
              <w:rPr>
                <w:sz w:val="20"/>
                <w:szCs w:val="20"/>
                <w:color w:val="auto"/>
              </w:rPr>
            </w:pPr>
            <w:r>
              <w:rPr>
                <w:rFonts w:ascii="Arial" w:cs="Arial" w:eastAsia="Arial" w:hAnsi="Arial"/>
                <w:sz w:val="18"/>
                <w:szCs w:val="18"/>
                <w:color w:val="auto"/>
              </w:rPr>
              <w:t>0.26</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0.26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0.49</w:t>
            </w:r>
          </w:p>
        </w:tc>
        <w:tc>
          <w:tcPr>
            <w:tcW w:w="84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22"/>
        </w:trPr>
        <w:tc>
          <w:tcPr>
            <w:tcW w:w="284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2060" w:type="dxa"/>
            <w:vAlign w:val="bottom"/>
          </w:tcPr>
          <w:p>
            <w:pPr>
              <w:jc w:val="right"/>
              <w:ind w:right="112"/>
              <w:spacing w:after="0"/>
              <w:rPr>
                <w:sz w:val="20"/>
                <w:szCs w:val="20"/>
                <w:color w:val="auto"/>
              </w:rPr>
            </w:pPr>
            <w:r>
              <w:rPr>
                <w:rFonts w:ascii="Arial" w:cs="Arial" w:eastAsia="Arial" w:hAnsi="Arial"/>
                <w:sz w:val="18"/>
                <w:szCs w:val="18"/>
                <w:color w:val="auto"/>
              </w:rPr>
              <w:t>0.25</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0.25</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0.47</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r>
    </w:tbl>
    <w:p>
      <w:pPr>
        <w:spacing w:after="0" w:line="21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we have agreed to accept a specified level of recourse on the money owed by our customers to other financial institutions. At October 29, 2005 and at April 30, 2005, we were contingently liable on such recourse agreements in the amount of $250.</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six months ended October 29, 2005 consisted of the following:</w:t>
      </w:r>
    </w:p>
    <w:p>
      <w:pPr>
        <w:spacing w:after="0" w:line="21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83820</wp:posOffset>
            </wp:positionV>
            <wp:extent cx="668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p>
      <w:pPr>
        <w:spacing w:after="0" w:line="24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Beginning accrued warranty costs</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Changes in accrued warranty costs for pre-</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existing warranties during the period,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including expirations</w:t>
      </w:r>
    </w:p>
    <w:p>
      <w:pPr>
        <w:spacing w:after="0" w:line="23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5,028</w:t>
      </w:r>
    </w:p>
    <w:p>
      <w:pPr>
        <w:spacing w:after="0" w:line="3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3,368</w:t>
      </w:r>
    </w:p>
    <w:p>
      <w:pPr>
        <w:spacing w:after="0" w:line="32"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(2,260)</w:t>
      </w:r>
    </w:p>
    <w:p>
      <w:pPr>
        <w:spacing w:after="0" w:line="200" w:lineRule="exact"/>
        <w:rPr>
          <w:sz w:val="20"/>
          <w:szCs w:val="20"/>
          <w:color w:val="auto"/>
        </w:rPr>
      </w:pPr>
    </w:p>
    <w:p>
      <w:pPr>
        <w:spacing w:after="0" w:line="235" w:lineRule="exact"/>
        <w:rPr>
          <w:sz w:val="20"/>
          <w:szCs w:val="20"/>
          <w:color w:val="auto"/>
        </w:rPr>
      </w:pPr>
    </w:p>
    <w:p>
      <w:pPr>
        <w:jc w:val="center"/>
        <w:ind w:right="2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94615</wp:posOffset>
            </wp:positionV>
            <wp:extent cx="668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42" w:lineRule="exact"/>
        <w:rPr>
          <w:sz w:val="20"/>
          <w:szCs w:val="20"/>
          <w:color w:val="auto"/>
        </w:rPr>
      </w:pPr>
    </w:p>
    <w:p>
      <w:pPr>
        <w:ind w:left="600" w:hanging="591"/>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6,135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92075</wp:posOffset>
            </wp:positionV>
            <wp:extent cx="67310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0" cy="215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80" w:space="720"/>
            <w:col w:w="4020"/>
          </w:cols>
          <w:pgMar w:left="240" w:top="158" w:right="239" w:bottom="0" w:gutter="0" w:footer="0" w:header="0"/>
          <w:type w:val="continuous"/>
        </w:sectPr>
      </w:pPr>
    </w:p>
    <w:p>
      <w:pPr>
        <w:spacing w:after="0" w:line="26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We lease office space for various sales and service locations and various equipment, primarily office equipment. Rental expense for operating leases was $697 and $514 for the six months ended October 29, 2005 and October 30, 2004, respectively. Future minimum payments under noncancelable operating leases, excluding executory costs such as management and maintenance fees, with initial or remaining terms of one year or more consisted of the following at October 29, 2005:</w:t>
      </w:r>
    </w:p>
    <w:p>
      <w:pPr>
        <w:spacing w:after="0" w:line="174"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we commit to purchase inventory and advertising rights over periods that extend over a year. As of October 29, 2005, we were obligated to purchase inventory and advertising rights through fiscal year 2009 as follows:</w:t>
      </w:r>
    </w:p>
    <w:p>
      <w:pPr>
        <w:spacing w:after="0" w:line="163"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u w:val="single" w:color="auto"/>
          <w:color w:val="auto"/>
        </w:rPr>
        <w:t>Sub-lease Commitments.</w:t>
      </w:r>
      <w:r>
        <w:rPr>
          <w:rFonts w:ascii="Arial" w:cs="Arial" w:eastAsia="Arial" w:hAnsi="Arial"/>
          <w:sz w:val="18"/>
          <w:szCs w:val="18"/>
          <w:color w:val="auto"/>
        </w:rPr>
        <w:t xml:space="preserve"> We sublease office space in our Florida office location. Future minimum lease payments under non-cancelable operating leases, excluding executory costs such as management and maintenance fees, with initial or remaining terms of one year or more consisted of the following at October 29, 2005:</w:t>
      </w:r>
    </w:p>
    <w:p>
      <w:pPr>
        <w:spacing w:after="0" w:line="171"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Recently Issued Accounting Pronouncements</w:t>
      </w:r>
    </w:p>
    <w:p>
      <w:pPr>
        <w:sectPr>
          <w:pgSz w:w="11900" w:h="16838" w:orient="portrait"/>
          <w:cols w:equalWidth="0" w:num="1">
            <w:col w:w="11420"/>
          </w:cols>
          <w:pgMar w:left="240" w:top="158" w:right="239" w:bottom="0" w:gutter="0" w:footer="0" w:header="0"/>
          <w:type w:val="continuous"/>
        </w:sectPr>
      </w:pPr>
    </w:p>
    <w:bookmarkStart w:id="6" w:name="page7"/>
    <w:bookmarkEnd w:id="6"/>
    <w:p>
      <w:pPr>
        <w:spacing w:after="0" w:line="11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May 2005, the Financial Accounting Standards Board (“FASB”) issued SFAS No. 154, “Accounting Changes and Error Corrections”. SFAS No. 154 supersedes APB Opinion No. 20, “Accounting Changes”, and SFAS No. 3, “Reporting Accounting Changes in Interim Financial Statements.” Generally, the provisions of SFAS No. 154 are similar to the provisions of both APB Opinion No. 20 and SFAS No. 3. However, SFAS No. 154 requires retrospective application to prior periods’ financial statements of a voluntary change in accounting principle. Recognition of the cumulative effect of a voluntary change in accounting principle in net earnings in the period of change would be permitted only if retrospective application to prior periods’ financial statements is impractical. SFAS No. 154 is effective for fiscal years beginning after December 15, 2005. The adoption of SFAS No. 154 is not expected to have any impact on our consolidated results of operations, financial position or cash flows.</w:t>
      </w:r>
    </w:p>
    <w:p>
      <w:pPr>
        <w:spacing w:after="0" w:line="172"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November 2004, the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supersedes APB Opinion No. 25, “Accounting for Stock Issued to Employees,” and amends FASB Statement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will no longer be an alternative. SFAS No. 123R must be adopted no later than the first annual period beginning after June 15, 2005. Early adoption will be permitted in periods in which financial statements have not yet been issued.</w:t>
      </w:r>
    </w:p>
    <w:p>
      <w:pPr>
        <w:spacing w:after="0" w:line="17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 impact on our result of operations, although it will have no impact on our overall financial position. The ultimate impact of the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in Note 2 to our consolidated financial statements. SFAS No. 123R also requires the benefits of tax deductions in excess of recognized compensation cost to be reported as a financing cash flow rather than as an operating cash flow as required under current literature. This requirement will reduce our net operating cash flows and increase net financing cash flows in periods after adoption. We are currently analyzing the impact of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 and then only if the revenue is fixed and determinable.</w:t>
      </w:r>
    </w:p>
    <w:p>
      <w:pPr>
        <w:spacing w:after="0" w:line="186"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 the rights to sell or to retain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7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net of amortization, was $2,401 as of October 29, 2005 and $1,722 as of April 30,2005</w:t>
      </w:r>
    </w:p>
    <w:p>
      <w:pPr>
        <w:spacing w:after="0" w:line="225"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is deferred and recognized ratably as net sales over the term of the contracts, which varies from one to 10 years.</w:t>
      </w:r>
    </w:p>
    <w:p>
      <w:pPr>
        <w:spacing w:after="0" w:line="11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 Institute of Certified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as the services are performed.</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SFAS No. 133, “Accounting for Derivative Instruments and Hedging Activities”, requires companies to recognize all of its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either assets or liabilities in the statement of financial position at fair value. The accounting for changes in the fair value of a derivative instrument depends on whether it has been designated and qualifies as part of a hedging relationship and also on the type of hedging relationship. For those derivative instruments that are designated and qualify as hedging instruments, a company must designate the hedging instrument, based upon the exposure being hedged, as a fair value hedge, cash flow hedge or hedge of a net investment in a foreign operation.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derivative instruments that are designated and qualify as a fair value hedge (that is,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are recognized in the same line item associated with the hedged item in current earnings during the period of the change in fair values. For derivative instruments that are designated and qualify as a cash flow hedge (that is, hedging the exposure to variability in expected</w:t>
      </w:r>
    </w:p>
    <w:p>
      <w:pPr>
        <w:sectPr>
          <w:pgSz w:w="11900" w:h="16952" w:orient="portrait"/>
          <w:cols w:equalWidth="0" w:num="1">
            <w:col w:w="11420"/>
          </w:cols>
          <w:pgMar w:left="240" w:top="131" w:right="239" w:bottom="0" w:gutter="0" w:footer="0" w:header="0"/>
        </w:sectPr>
      </w:pPr>
    </w:p>
    <w:bookmarkStart w:id="7" w:name="page8"/>
    <w:bookmarkEnd w:id="7"/>
    <w:p>
      <w:pPr>
        <w:jc w:val="both"/>
        <w:ind w:right="120"/>
        <w:spacing w:after="0" w:line="310" w:lineRule="auto"/>
        <w:rPr>
          <w:sz w:val="20"/>
          <w:szCs w:val="20"/>
          <w:color w:val="auto"/>
        </w:rPr>
      </w:pPr>
      <w:r>
        <w:rPr>
          <w:rFonts w:ascii="Arial" w:cs="Arial" w:eastAsia="Arial" w:hAnsi="Arial"/>
          <w:sz w:val="15"/>
          <w:szCs w:val="15"/>
          <w:color w:val="auto"/>
        </w:rPr>
        <w:t>future cash flows that is attributable to a particular risk), the effective portion of the gain or loss on the derivative instrument is reported as a component of other comprehensive income and reclassified into earnings in the same line item associated with the forecasted transaction in the same period or periods during which the hedged transaction affects earnings. The remaining gain or loss on the derivative instrument in excess of the cumulative change in the present value of future cash flows of the hedged item, if any, is recognized in other income/expense in current earnings during the period of change. For derivative instruments that are designated and qualify as a hedge of a net investment in a foreign currency, the gain or loss is reported in other comprehensive income as part of the cumulative translation adjustment to the extent it is effective. Any ineffective portions of net investment hedges are recognized in other income/expense in current earnings during the period of change. For derivative instruments not designated as hedging instruments, the gain or loss is recognized in other income/expense in current earnings during the period of change. Currently, we have not designated any hedges as fair value hedges or as hedges of a net investment in a foreign currency.</w:t>
      </w:r>
    </w:p>
    <w:p>
      <w:pPr>
        <w:spacing w:after="0" w:line="162"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Cash Flow Hedging Strategy — To protect against the reduction in value of forecasted foreign currency cash flows resulting from certain expected export sales,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Derivatives —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As of January 1, 2001, we adopted SFAS No. 133, “Accounting for Derivative Instruments and Hedging Activities,” as amended by SFAS No. 137 and No. 138. SFAS No. 133, as amended, requires us to recognize all derivatives on the balance sheet at fair value. Derivatives that are not hedges must be adjusted to fair value through earnings. If a derivative is a hedge, depending on the nature of the hedge, changes in the fair value of the derivative are either offset against the change in the fair value of the hedged assets, liabilities or firm commitments through earnings or recognized in accumulated other comprehensive gain (loss) until the hedged item is recognized in earnings.</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six months ended October 29, 2005, we did not recognize any net gain or loss related to the ineffective portion of our hedging instruments, or any net gain or loss related to the portion of the hedging instrument excluded from the assessment of hedge effectiveness. A cash flow hedge was discontinued which would have caused the recognition of a gain or loss in other income (expense), net of $15. The fair value of all derivatives is included in prepaid expenses and other in the statement of financial condition.</w:t>
      </w:r>
    </w:p>
    <w:p>
      <w:pPr>
        <w:spacing w:after="0" w:line="197"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 of October 29, 2005, we expect to reclassify $37 of net gains (losses) on derivative instruments from accumulated other comprehensive income to earnings during the next 12 months due to actual export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31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reconciliation of the income and common share amounts used in the calculation of basic and diluted EPS for the three months ended October 29, 2005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October 30, 2004 follows:</w:t>
      </w:r>
    </w:p>
    <w:p>
      <w:pPr>
        <w:spacing w:after="0" w:line="213"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Net Income</w:t>
            </w:r>
          </w:p>
        </w:tc>
        <w:tc>
          <w:tcPr>
            <w:tcW w:w="24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110"/>
        </w:trPr>
        <w:tc>
          <w:tcPr>
            <w:tcW w:w="3720" w:type="dxa"/>
            <w:vAlign w:val="bottom"/>
            <w:vMerge w:val="restart"/>
          </w:tcPr>
          <w:p>
            <w:pPr>
              <w:spacing w:after="0"/>
              <w:rPr>
                <w:sz w:val="20"/>
                <w:szCs w:val="20"/>
                <w:color w:val="auto"/>
              </w:rPr>
            </w:pPr>
            <w:r>
              <w:rPr>
                <w:rFonts w:ascii="Arial" w:cs="Arial" w:eastAsia="Arial" w:hAnsi="Arial"/>
                <w:sz w:val="18"/>
                <w:szCs w:val="18"/>
                <w:color w:val="auto"/>
                <w:w w:val="99"/>
              </w:rPr>
              <w:t>For the three months ended October 29, 2005:</w:t>
            </w:r>
          </w:p>
        </w:tc>
        <w:tc>
          <w:tcPr>
            <w:tcW w:w="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19,293,179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840,354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20,133,533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20" w:type="dxa"/>
            <w:vAlign w:val="bottom"/>
            <w:vMerge w:val="restart"/>
          </w:tcPr>
          <w:p>
            <w:pPr>
              <w:spacing w:after="0"/>
              <w:rPr>
                <w:sz w:val="20"/>
                <w:szCs w:val="20"/>
                <w:color w:val="auto"/>
              </w:rPr>
            </w:pPr>
            <w:r>
              <w:rPr>
                <w:rFonts w:ascii="Arial" w:cs="Arial" w:eastAsia="Arial" w:hAnsi="Arial"/>
                <w:sz w:val="18"/>
                <w:szCs w:val="18"/>
                <w:color w:val="auto"/>
                <w:w w:val="99"/>
              </w:rPr>
              <w:t>For the three months ended October 30, 2004:</w:t>
            </w:r>
          </w:p>
        </w:tc>
        <w:tc>
          <w:tcPr>
            <w:tcW w:w="4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18,932,204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1,247,612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20,179,916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20" w:type="dxa"/>
            <w:vAlign w:val="bottom"/>
            <w:vMerge w:val="restart"/>
          </w:tcPr>
          <w:p>
            <w:pPr>
              <w:spacing w:after="0"/>
              <w:rPr>
                <w:sz w:val="20"/>
                <w:szCs w:val="20"/>
                <w:color w:val="auto"/>
              </w:rPr>
            </w:pPr>
            <w:r>
              <w:rPr>
                <w:rFonts w:ascii="Arial" w:cs="Arial" w:eastAsia="Arial" w:hAnsi="Arial"/>
                <w:sz w:val="18"/>
                <w:szCs w:val="18"/>
                <w:color w:val="auto"/>
              </w:rPr>
              <w:t>For the six months ended October 29, 2005:</w:t>
            </w:r>
          </w:p>
        </w:tc>
        <w:tc>
          <w:tcPr>
            <w:tcW w:w="4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19,247,314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877,089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20,124,403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20" w:type="dxa"/>
            <w:vAlign w:val="bottom"/>
            <w:vMerge w:val="restart"/>
          </w:tcPr>
          <w:p>
            <w:pPr>
              <w:spacing w:after="0"/>
              <w:rPr>
                <w:sz w:val="20"/>
                <w:szCs w:val="20"/>
                <w:color w:val="auto"/>
              </w:rPr>
            </w:pPr>
            <w:r>
              <w:rPr>
                <w:rFonts w:ascii="Arial" w:cs="Arial" w:eastAsia="Arial" w:hAnsi="Arial"/>
                <w:sz w:val="18"/>
                <w:szCs w:val="18"/>
                <w:color w:val="auto"/>
              </w:rPr>
              <w:t>For the six months ended October 30, 2004:</w:t>
            </w:r>
          </w:p>
        </w:tc>
        <w:tc>
          <w:tcPr>
            <w:tcW w:w="4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18,910,705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1,241,804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-2679065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-2679065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-2679065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-2679065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-2679065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-2679065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-1692910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-1692910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-1692910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-1692910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-1692910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-1692910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-706755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-706755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-706755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-706755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-706755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-706755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8" w:name="page9"/>
    <w:bookmarkEnd w:id="8"/>
    <w:p>
      <w:pPr>
        <w:ind w:left="1920"/>
        <w:spacing w:after="0"/>
        <w:tabs>
          <w:tab w:leader="none" w:pos="5840" w:val="left"/>
          <w:tab w:leader="none" w:pos="6340" w:val="left"/>
          <w:tab w:leader="none" w:pos="7320" w:val="left"/>
          <w:tab w:leader="none" w:pos="8520" w:val="left"/>
          <w:tab w:leader="none" w:pos="9280" w:val="left"/>
        </w:tabs>
        <w:rPr>
          <w:sz w:val="20"/>
          <w:szCs w:val="20"/>
          <w:color w:val="auto"/>
        </w:rPr>
      </w:pPr>
      <w:r>
        <w:rPr>
          <w:rFonts w:ascii="Arial" w:cs="Arial" w:eastAsia="Arial" w:hAnsi="Arial"/>
          <w:sz w:val="18"/>
          <w:szCs w:val="18"/>
          <w:color w:val="auto"/>
        </w:rPr>
        <w:t>Diluted earnings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10,220</w:t>
      </w:r>
      <w:r>
        <w:rPr>
          <w:sz w:val="20"/>
          <w:szCs w:val="20"/>
          <w:color w:val="auto"/>
        </w:rPr>
        <w:tab/>
      </w:r>
      <w:r>
        <w:rPr>
          <w:rFonts w:ascii="Arial" w:cs="Arial" w:eastAsia="Arial" w:hAnsi="Arial"/>
          <w:sz w:val="18"/>
          <w:szCs w:val="18"/>
          <w:color w:val="auto"/>
        </w:rPr>
        <w:t>20,152,509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77470</wp:posOffset>
            </wp:positionV>
            <wp:extent cx="238823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88235"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312"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186"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Goodwill, net of accumulated amortization, was $2,644 at October 29, 2005 and $2,621 at April 30, 2005. Accumulated amortization was $157 at October 29, 2005 and at April 30, 2005. We performed our annual impairment analysis of goodwill as of October 30, 2005. The result of this analysis indicated that no goodwill impairment existed as of that date.</w:t>
      </w:r>
    </w:p>
    <w:p>
      <w:pPr>
        <w:spacing w:after="0" w:line="194"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required by SFAS No. 142, intangibles with finite lives continue to be amortized. Included in intangible assets are a non-compete agreement and a patent license. Intangible assets before accumulated amortization were $690 at October 29, 2005 and $560 at April 30, 2005. Accumulated amortization was $550 and $524 at October 29, 2005 and April 30, 2005, respectively. The net value of intangible assets is included as a component of intangible and other assets in the accompanying consolidated balance sheets. Estimated amortization expense based on intangibles as of April 30, 2005 is $44, $27, $27, $27, $27 and $11 for the fiscal years 2006, 2007, 2008, 2009, 2010 and 2011,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October 29,</w:t>
            </w:r>
          </w:p>
        </w:tc>
        <w:tc>
          <w:tcPr>
            <w:tcW w:w="340" w:type="dxa"/>
            <w:vAlign w:val="bottom"/>
          </w:tcPr>
          <w:p>
            <w:pPr>
              <w:spacing w:after="0"/>
              <w:rPr>
                <w:sz w:val="14"/>
                <w:szCs w:val="14"/>
                <w:color w:val="auto"/>
              </w:rPr>
            </w:pPr>
          </w:p>
        </w:tc>
        <w:tc>
          <w:tcPr>
            <w:tcW w:w="1300" w:type="dxa"/>
            <w:vAlign w:val="bottom"/>
          </w:tcPr>
          <w:p>
            <w:pPr>
              <w:jc w:val="right"/>
              <w:ind w:right="459"/>
              <w:spacing w:after="0"/>
              <w:rPr>
                <w:sz w:val="20"/>
                <w:szCs w:val="20"/>
                <w:color w:val="auto"/>
              </w:rPr>
            </w:pPr>
            <w:r>
              <w:rPr>
                <w:rFonts w:ascii="Arial" w:cs="Arial" w:eastAsia="Arial" w:hAnsi="Arial"/>
                <w:sz w:val="14"/>
                <w:szCs w:val="14"/>
                <w:b w:val="1"/>
                <w:bCs w:val="1"/>
                <w:color w:val="auto"/>
              </w:rPr>
              <w:t>April 30,</w:t>
            </w:r>
          </w:p>
        </w:tc>
      </w:tr>
      <w:tr>
        <w:trPr>
          <w:trHeight w:val="174"/>
        </w:trPr>
        <w:tc>
          <w:tcPr>
            <w:tcW w:w="3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579"/>
              <w:spacing w:after="0"/>
              <w:rPr>
                <w:sz w:val="20"/>
                <w:szCs w:val="20"/>
                <w:color w:val="auto"/>
              </w:rPr>
            </w:pPr>
            <w:r>
              <w:rPr>
                <w:rFonts w:ascii="Arial" w:cs="Arial" w:eastAsia="Arial" w:hAnsi="Arial"/>
                <w:sz w:val="14"/>
                <w:szCs w:val="14"/>
                <w:b w:val="1"/>
                <w:bCs w:val="1"/>
                <w:color w:val="auto"/>
              </w:rPr>
              <w:t>2005</w:t>
            </w:r>
          </w:p>
        </w:tc>
      </w:tr>
      <w:tr>
        <w:trPr>
          <w:trHeight w:val="95"/>
        </w:trPr>
        <w:tc>
          <w:tcPr>
            <w:tcW w:w="38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12,981</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10,446</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Work-in-progress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5,208</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8,958</w:t>
            </w:r>
          </w:p>
        </w:tc>
      </w:tr>
      <w:tr>
        <w:trPr>
          <w:trHeight w:val="110"/>
        </w:trPr>
        <w:tc>
          <w:tcPr>
            <w:tcW w:w="38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29,811</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24,612</w:t>
            </w:r>
          </w:p>
        </w:tc>
      </w:tr>
      <w:tr>
        <w:trPr>
          <w:trHeight w:val="120"/>
        </w:trPr>
        <w:tc>
          <w:tcPr>
            <w:tcW w:w="38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31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United States</w:t>
            </w:r>
          </w:p>
        </w:tc>
        <w:tc>
          <w:tcPr>
            <w:tcW w:w="20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4920" w:type="dxa"/>
            <w:vAlign w:val="bottom"/>
            <w:vMerge w:val="restart"/>
          </w:tcPr>
          <w:p>
            <w:pPr>
              <w:spacing w:after="0"/>
              <w:rPr>
                <w:sz w:val="20"/>
                <w:szCs w:val="20"/>
                <w:color w:val="auto"/>
              </w:rPr>
            </w:pPr>
            <w:r>
              <w:rPr>
                <w:rFonts w:ascii="Arial" w:cs="Arial" w:eastAsia="Arial" w:hAnsi="Arial"/>
                <w:sz w:val="18"/>
                <w:szCs w:val="18"/>
                <w:color w:val="auto"/>
              </w:rPr>
              <w:t>Net sales for the six months ended:</w:t>
            </w: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October 29, 2005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129,977</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18,170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148,147</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October 30, 2004</w:t>
            </w:r>
          </w:p>
        </w:tc>
        <w:tc>
          <w:tcPr>
            <w:tcW w:w="900" w:type="dxa"/>
            <w:vAlign w:val="bottom"/>
          </w:tcPr>
          <w:p>
            <w:pPr>
              <w:jc w:val="right"/>
              <w:spacing w:after="0"/>
              <w:rPr>
                <w:sz w:val="20"/>
                <w:szCs w:val="20"/>
                <w:color w:val="auto"/>
              </w:rPr>
            </w:pPr>
            <w:r>
              <w:rPr>
                <w:rFonts w:ascii="Arial" w:cs="Arial" w:eastAsia="Arial" w:hAnsi="Arial"/>
                <w:sz w:val="18"/>
                <w:szCs w:val="18"/>
                <w:color w:val="auto"/>
              </w:rPr>
              <w:t>107,206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Long-lived assets at: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October 29,2005</w:t>
            </w:r>
          </w:p>
        </w:tc>
        <w:tc>
          <w:tcPr>
            <w:tcW w:w="900" w:type="dxa"/>
            <w:vAlign w:val="bottom"/>
          </w:tcPr>
          <w:p>
            <w:pPr>
              <w:jc w:val="right"/>
              <w:spacing w:after="0"/>
              <w:rPr>
                <w:sz w:val="20"/>
                <w:szCs w:val="20"/>
                <w:color w:val="auto"/>
              </w:rPr>
            </w:pPr>
            <w:r>
              <w:rPr>
                <w:rFonts w:ascii="Arial" w:cs="Arial" w:eastAsia="Arial" w:hAnsi="Arial"/>
                <w:sz w:val="18"/>
                <w:szCs w:val="18"/>
                <w:color w:val="auto"/>
              </w:rPr>
              <w:t>34,251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35,462</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October 30, 2004</w:t>
            </w:r>
          </w:p>
        </w:tc>
        <w:tc>
          <w:tcPr>
            <w:tcW w:w="900" w:type="dxa"/>
            <w:vAlign w:val="bottom"/>
          </w:tcPr>
          <w:p>
            <w:pPr>
              <w:jc w:val="right"/>
              <w:spacing w:after="0"/>
              <w:rPr>
                <w:sz w:val="20"/>
                <w:szCs w:val="20"/>
                <w:color w:val="auto"/>
              </w:rPr>
            </w:pPr>
            <w:r>
              <w:rPr>
                <w:rFonts w:ascii="Arial" w:cs="Arial" w:eastAsia="Arial" w:hAnsi="Arial"/>
                <w:sz w:val="18"/>
                <w:szCs w:val="18"/>
                <w:color w:val="auto"/>
              </w:rPr>
              <w:t>26,682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Equipment Held for Sale</w:t>
      </w:r>
    </w:p>
    <w:p>
      <w:pPr>
        <w:spacing w:after="0" w:line="2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During the second quarter of fiscal year 2005, we entered into a plan to sell the rental equipment owned by a wholly-owned subsidiary to allow us to focus more on sales of our new line of ProTour™ displays and to provide deeper support of the display rental market. As a result, this equipment was classified in the April 30, 2005 balance sheet as rental equipment held for sale, and based on our analysis of recoverability, no loss had been recognized related to the equipment, in accordance with SFAS No. 144. During the first quarter of fiscal year 2006, we completed the transaction. The sale and related costs of sold equipment were reported in income from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Acquisitions</w:t>
      </w:r>
    </w:p>
    <w:p>
      <w:pPr>
        <w:spacing w:after="0" w:line="299"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On November 30, 2004, we acquired all of the assets and assumed certain liabilities of Dodge Electronics, Inc. (“Dodge”), and on December 14, 2004, we acquired 100% of the outstanding stock of European Timing Systems, Ltd. Both acquisitions were paid for in cash, and the related acquisition agreements contain provisions for contingent consideration based on the gross profit of future transactions connected with each business. The amount of the contingent consideration</w:t>
      </w:r>
    </w:p>
    <w:p>
      <w:pPr>
        <w:sectPr>
          <w:pgSz w:w="11900" w:h="16838" w:orient="portrait"/>
          <w:cols w:equalWidth="0" w:num="1">
            <w:col w:w="11380"/>
          </w:cols>
          <w:pgMar w:left="240" w:top="131" w:right="279" w:bottom="0" w:gutter="0" w:footer="0" w:header="0"/>
        </w:sectPr>
      </w:pPr>
    </w:p>
    <w:bookmarkStart w:id="9" w:name="page10"/>
    <w:bookmarkEnd w:id="9"/>
    <w:p>
      <w:pPr>
        <w:ind w:right="80"/>
        <w:spacing w:after="0" w:line="332" w:lineRule="auto"/>
        <w:rPr>
          <w:sz w:val="20"/>
          <w:szCs w:val="20"/>
          <w:color w:val="auto"/>
        </w:rPr>
      </w:pPr>
      <w:r>
        <w:rPr>
          <w:rFonts w:ascii="Arial" w:cs="Arial" w:eastAsia="Arial" w:hAnsi="Arial"/>
          <w:sz w:val="16"/>
          <w:szCs w:val="16"/>
          <w:color w:val="auto"/>
        </w:rPr>
        <w:t>is not expected to be significant and will be treated as compensation expense as it becomes earned. No contingent consideration has been earned through October 29, 2005. We are also currently leasing facilities in Topeka, Kansas from the seller of Dodge for a term of up to five years.</w:t>
      </w:r>
    </w:p>
    <w:p>
      <w:pPr>
        <w:spacing w:after="0" w:line="139"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aggregate cost of these acquisitions was approximately $1,024. Goodwill in the amount of $1,126 was recognized, and that amount is expected to be fully deductible for tax purposes. Because these transactions are not material to us, no pro forma disclosures have been made.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312" w:lineRule="exact"/>
        <w:rPr>
          <w:sz w:val="20"/>
          <w:szCs w:val="20"/>
          <w:color w:val="auto"/>
        </w:rPr>
      </w:pPr>
    </w:p>
    <w:p>
      <w:pPr>
        <w:ind w:right="100" w:firstLine="392"/>
        <w:spacing w:after="0" w:line="254" w:lineRule="auto"/>
        <w:rPr>
          <w:sz w:val="20"/>
          <w:szCs w:val="20"/>
          <w:color w:val="auto"/>
        </w:rPr>
      </w:pPr>
      <w:r>
        <w:rPr>
          <w:rFonts w:ascii="Arial" w:cs="Arial" w:eastAsia="Arial" w:hAnsi="Arial"/>
          <w:sz w:val="18"/>
          <w:szCs w:val="18"/>
          <w:color w:val="auto"/>
        </w:rPr>
        <w:t>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5"/>
              </w:rPr>
              <w:t>Six Months Ended</w:t>
            </w:r>
          </w:p>
        </w:tc>
      </w:tr>
      <w:tr>
        <w:trPr>
          <w:trHeight w:val="129"/>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78"/>
              </w:rPr>
              <w:t>October</w:t>
            </w:r>
          </w:p>
        </w:tc>
        <w:tc>
          <w:tcPr>
            <w:tcW w:w="5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29,</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8"/>
              </w:rPr>
              <w:t>October</w:t>
            </w:r>
          </w:p>
        </w:tc>
        <w:tc>
          <w:tcPr>
            <w:tcW w:w="2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30,</w:t>
            </w:r>
          </w:p>
        </w:tc>
      </w:tr>
      <w:tr>
        <w:trPr>
          <w:trHeight w:val="174"/>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95"/>
        </w:trPr>
        <w:tc>
          <w:tcPr>
            <w:tcW w:w="39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5,185</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Net gain on derivatives</w:t>
            </w:r>
          </w:p>
        </w:tc>
        <w:tc>
          <w:tcPr>
            <w:tcW w:w="16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10"/>
        </w:trPr>
        <w:tc>
          <w:tcPr>
            <w:tcW w:w="3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5,349</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4"/>
                <w:szCs w:val="24"/>
                <w:color w:val="auto"/>
              </w:rPr>
            </w:pPr>
          </w:p>
        </w:tc>
      </w:tr>
      <w:tr>
        <w:trPr>
          <w:trHeight w:val="120"/>
        </w:trPr>
        <w:tc>
          <w:tcPr>
            <w:tcW w:w="39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2"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2006 and 2005 each contains 52 weeks.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w:t>
      </w:r>
    </w:p>
    <w:p>
      <w:pPr>
        <w:sectPr>
          <w:pgSz w:w="11900" w:h="16838" w:orient="portrait"/>
          <w:cols w:equalWidth="0" w:num="1">
            <w:col w:w="11420"/>
          </w:cols>
          <w:pgMar w:left="240" w:top="131" w:right="239" w:bottom="160" w:gutter="0" w:footer="0" w:header="0"/>
        </w:sectPr>
      </w:pPr>
    </w:p>
    <w:bookmarkStart w:id="10" w:name="page11"/>
    <w:bookmarkEnd w:id="10"/>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October 29, 2005, we had an allowance for doubtful accounts balance of approximately $1.2 million.</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created a reserve for warranties on our products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October 29, 2005, we had approximately $6.1 million reserved for these costs.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have deferred revenue related to separately priced extended warranty and product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and other information on the contracts and compare that to the deferred revenue. As of October 29, 2005, we had $3.4 million of deferred revenue related to extended warranty and product maintenance.</w:t>
      </w:r>
    </w:p>
    <w:p>
      <w:pPr>
        <w:spacing w:after="0" w:line="170"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i w:val="1"/>
          <w:iCs w:val="1"/>
          <w:color w:val="auto"/>
        </w:rPr>
        <w:t xml:space="preserve">Inventory. </w:t>
      </w:r>
      <w:r>
        <w:rPr>
          <w:rFonts w:ascii="Arial" w:cs="Arial" w:eastAsia="Arial" w:hAnsi="Arial"/>
          <w:sz w:val="15"/>
          <w:szCs w:val="15"/>
          <w:color w:val="auto"/>
        </w:rPr>
        <w:t>Inventories are stated at the lower of cost or market. Market refers to the current replacement cost, except that market may not exceed the net</w:t>
      </w:r>
      <w:r>
        <w:rPr>
          <w:rFonts w:ascii="Arial" w:cs="Arial" w:eastAsia="Arial" w:hAnsi="Arial"/>
          <w:sz w:val="15"/>
          <w:szCs w:val="15"/>
          <w:i w:val="1"/>
          <w:iCs w:val="1"/>
          <w:color w:val="auto"/>
        </w:rPr>
        <w:t xml:space="preserve"> </w:t>
      </w:r>
      <w:r>
        <w:rPr>
          <w:rFonts w:ascii="Arial" w:cs="Arial" w:eastAsia="Arial" w:hAnsi="Arial"/>
          <w:sz w:val="15"/>
          <w:szCs w:val="15"/>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All other inventory is valued at cost.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6"/>
              </w:rPr>
              <w:t>Three Months Ended</w:t>
            </w:r>
          </w:p>
        </w:tc>
        <w:tc>
          <w:tcPr>
            <w:tcW w:w="600" w:type="dxa"/>
            <w:vAlign w:val="bottom"/>
          </w:tcPr>
          <w:p>
            <w:pPr>
              <w:spacing w:after="0"/>
              <w:rPr>
                <w:sz w:val="14"/>
                <w:szCs w:val="14"/>
                <w:color w:val="auto"/>
              </w:rPr>
            </w:pPr>
          </w:p>
        </w:tc>
        <w:tc>
          <w:tcPr>
            <w:tcW w:w="13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October</w:t>
            </w:r>
          </w:p>
        </w:tc>
        <w:tc>
          <w:tcPr>
            <w:tcW w:w="5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b w:val="1"/>
                <w:bCs w:val="1"/>
                <w:color w:val="auto"/>
                <w:w w:val="70"/>
              </w:rPr>
              <w:t>October</w:t>
            </w:r>
          </w:p>
        </w:tc>
        <w:tc>
          <w:tcPr>
            <w:tcW w:w="4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29,</w:t>
            </w: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October 30,</w:t>
            </w:r>
          </w:p>
        </w:tc>
        <w:tc>
          <w:tcPr>
            <w:tcW w:w="600" w:type="dxa"/>
            <w:vAlign w:val="bottom"/>
            <w:vMerge w:val="continue"/>
          </w:tcPr>
          <w:p>
            <w:pPr>
              <w:spacing w:after="0"/>
              <w:rPr>
                <w:sz w:val="11"/>
                <w:szCs w:val="11"/>
                <w:color w:val="auto"/>
              </w:rPr>
            </w:pPr>
          </w:p>
        </w:tc>
        <w:tc>
          <w:tcPr>
            <w:tcW w:w="4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29,</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October</w:t>
            </w:r>
          </w:p>
        </w:tc>
        <w:tc>
          <w:tcPr>
            <w:tcW w:w="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Net sales increased 25.4% to $148.1 million for the six months ended October 29, 2005 as compared to $118.2 million for the same period in fiscal year 2005. Net sales increased 27.5% to $75.8 million for the quarter ended October 29, 2005 as compared to $59.5 million for the same period in fiscal year 2005. For the six months and quarter ended October 29, 2005, net sales increased in sports and commercial markets, with the commercial market experiencing growth rates in excess of 55% for the six-month period and the sports market growing more than 10% year to date. For the quarter, net sales in the transportation business were down as compared to the prior year period. Net sales for the quarter ended October 29, 2005 were up domestically but down on an international basis. Year to date, however, international sales are up more than 40% as a result of the strong order performance in the first quarter of fiscal year 2006. As a percent of overall net sales, standard product orders were approximately 31% of net sales for the second quarter and year to date for both fiscal years 2006 and 2005.</w:t>
      </w:r>
    </w:p>
    <w:p>
      <w:pPr>
        <w:spacing w:after="0" w:line="159"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Within the sports markets, the increase in net sales in the second quarter of fiscal year 2006 as compared to the second quarter of fiscal year 2005 was the result of increases in the professional and small sports facilities, while sales to the mid-sized facilities, were down slightly quarter over quarter. Net sales in the small facilities business was less than expected; however, orders did pick up during the quarter and reinforced our expectation that the lower than expected sales is not a trend.</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growth in the sports market includes higher sales of both standard products and custom display systems; however, the percentage growth in custom products is greater than standard products. The growth overall continues to be due to opportunities for additional displays in facilities, technology enhancements and the expanding markets for our products. In addition, we benefit from our network of sales and service offices, giving us the ability to serve our customers more effectively, which enhances sales. We believe that the effects of the economy have a lesser impact on our sports market as compared to our other markets, since our products are generally revenue generation tools (through advertising) for facilities and the sports business in general is more resistant to negative factors in the economy as a whole.</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Net sales in the sports market internationally were down for the second quarter of fiscal 2006 and year to date as compared to the same periods in fiscal year 2005. This continues to be a reflection of the inherent volatility of large orders and the timing of when orders are booked, and over the next quarter we expect international sales will pick up due to orders booked during the quarter, which are expected to cause net sales in the sports market to be up internationally by the end of the third quarter. However, the expected delivery of these orders could change.</w:t>
      </w:r>
    </w:p>
    <w:p>
      <w:pPr>
        <w:sectPr>
          <w:pgSz w:w="11900" w:h="16838" w:orient="portrait"/>
          <w:cols w:equalWidth="0" w:num="1">
            <w:col w:w="11420"/>
          </w:cols>
          <w:pgMar w:left="240" w:top="131" w:right="239" w:bottom="0" w:gutter="0" w:footer="0" w:header="0"/>
        </w:sectPr>
      </w:pPr>
    </w:p>
    <w:bookmarkStart w:id="11" w:name="page12"/>
    <w:bookmarkEnd w:id="11"/>
    <w:p>
      <w:pPr>
        <w:ind w:right="40" w:firstLine="351"/>
        <w:spacing w:after="0" w:line="288" w:lineRule="auto"/>
        <w:rPr>
          <w:sz w:val="20"/>
          <w:szCs w:val="20"/>
          <w:color w:val="auto"/>
        </w:rPr>
      </w:pPr>
      <w:r>
        <w:rPr>
          <w:rFonts w:ascii="Arial" w:cs="Arial" w:eastAsia="Arial" w:hAnsi="Arial"/>
          <w:sz w:val="16"/>
          <w:szCs w:val="16"/>
          <w:color w:val="auto"/>
        </w:rPr>
        <w:t>In terms of orders in the sports markets, generally the same factors described above relating to net sales cause similar changes in components of order bookings, although the timing of large orders tends to cause differing short term results. For the second quarter of fiscal year 2006, order bookings were up by slightly less than 40% in the sports market as compared to the second quarter of fiscal 2005. On a year to date basis, orders were up more than 30%. Orders for the quarter were positively impacted by the order for the Dolphins Stadium in Miami, Florida, which approximated $8 million. We expect that for the year, orders in the sports market may not remain at this growth rate, although orders for the first half of the fiscal year have surpassed our original expectations. This expectation is subject to the risks of timing of the orders and the risk of a competitive environment. We believe that the growth in the sports market over the long term is driven by new product development, new uses for existing products, an expanding market as our products become more affordable to more institutions, growth internationally, and our overall product offerings, which we believe are the most complete systems in the marketplace. We expect net sales in all three portions of the sports market to be up for the entire fiscal year.</w:t>
      </w:r>
    </w:p>
    <w:p>
      <w:pPr>
        <w:spacing w:after="0" w:line="174"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Net sales in the commercial market grew during the second quarter and first six months of fiscal year 2006 as compared to the same periods of fiscal year 2005. Sales of custom video systems and standard products were both strong. The increasing interest in LED digital billboards, growing acceptance of our standard Galaxy® display product line, sales to national account customers, and an increasing demand for large video systems continue to fuel growth as well as the improved economic conditions and the greater acceptance of LED technologies for advertising. We are seeing more momentum in LED digital billboard niche, which is dominated by three large outdoor advertising companies who are in various stages of deployment of LED digital displays. This has had a positive effect on net sales and orders for the quarter and is expected to have positive results in the near term. However, given that the business is dominated by three companies, there are greater risks in terms of how much business can be captured and retained. We believe that the key success factors in maintaining this growth for the long term involves competitive pricing, reliable product and superior service and support. We believe that we are positioned properly for this business, although it could require additional capital investments, depending on the ultimate rate of growth. Finally, we believe that there are a number of limitations on how fast this business can grow, including local sign codes, the time to market the displays and various other factors.</w:t>
      </w:r>
    </w:p>
    <w:p>
      <w:pPr>
        <w:spacing w:after="0" w:line="177"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commercial market has experienced the greatest percentage growth as compared to our other markets for the second fiscal quarter of 2006 and year to date as compared to the same periods in fiscal 2005. On an international basis, sales were up for the quarter and year to date as compared to the last fiscal year, primarily due to a number of orders booked earlier in the year and during the quarter in the Middle East, Central America and Asia-Pacific regions.</w:t>
      </w:r>
    </w:p>
    <w:p>
      <w:pPr>
        <w:spacing w:after="0" w:line="16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Order bookings in the commercial market were also up significantly for the second quarter of fiscal year 2006 and year to date as compared to the same periods of fiscal year 2005, in spite of a decline in order bookings internationally for the quarter, which is attributable to the inherent volatility of the business. Although sales and orders in the commercial market depend to a large degree on current economic conditions, we have been able to grow the business due to our product offerings and growing acceptance and demand for our products, our international expansion, our network of sales and service offices throughout the United States, the development of resellers, primarily in the United States, and the integrated offerings we provide. As we continue to penetrate the opportunities in the commercial market, including national accounts and business outside of the United States, and further develop our regional sales force, we expect the trend of increasing standard order volume and large video systems to continue at double-digit percentage growth rates.</w:t>
      </w:r>
    </w:p>
    <w:p>
      <w:pPr>
        <w:spacing w:after="0" w:line="172"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Net sales in the transportation markets declined during the second quarter of fiscal year 2006 as compared to the same period of fiscal 2005 and are flat on a year to date basis. Year to date orders in the transportation markets are up more than 15% primarily due to the level of bookings in the first quarter of fiscal year 2006. We expect that for fiscal year 2006, the transportation market will increase as compared to fiscal year 2005 in orders and net sales.</w:t>
      </w:r>
    </w:p>
    <w:p>
      <w:pPr>
        <w:spacing w:after="0" w:line="16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occasionally sell products in exchange for the advertising revenues generated from use of products. These sales represented 1.2% and 0.9% of net sales for the second quarter and six months ended October 29, 2005. The gross profit percent on these transactions have typically been higher than the gross profit percent on other transactions of similar size, although the selling expenses associated with these transactions are typically higher.</w:t>
      </w:r>
    </w:p>
    <w:p>
      <w:pPr>
        <w:spacing w:after="0" w:line="161"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order backlog as of October 29, 2005 was approximately $81 million as compared to $50 million as of October 30, 2004 and $84 million at the beginning of the second quarter of fiscal year 2006. Historically, our backlog varies due to the timing of large orders. The increase in ending backlog for the second quarter of fiscal year 2006 as compared to the same time one year ago was across all markets. As compared to the beginning of the second quarter of fiscal year 2006, the backlog declined in the sports and transportation markets and increased in the commercial market. The changes were the result of the combination of the changes in orders and net sales discussed above. Typically, we enter the third quarter with the lowest backlog of the fiscal year as a result of the usual lower level of orders in the second quarter of a fiscal year, which causes the third quarter net sales to typically be the lowest of the year. Due to the level of order bookings in fiscal year 2006, which contributed to the higher backlog, we do not expect to see third quarter sales decline sequentially by as much as our history would indicate. This is also partially attributable to the growing percentage of the commercial market, which contains less seasonality than the sports markets.</w:t>
      </w:r>
    </w:p>
    <w:p>
      <w:pPr>
        <w:spacing w:after="0" w:line="16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a result of expected increases in order bookings we projected in early fiscal 2005, we began increasing plant capacity in fiscal year 2005. The majority of the expansion, however, was planned for fiscal year 2006. During the fourth quarter of fiscal year 2005 and the first half of fiscal year 2006, order bookings surpassed expectations and have caused our manufacturing personnel and other personnel to work extra shifts, caused us to outsource more activities and to make additional capital investments related to increasing capacity. The rate at which we can ramp up our capacity has been somewhat of a limitation on our net sales this past quarter. We will continue to ramp up our capacity, including a 30% increase in manufacturing space, through the end of the current fiscal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Gross profit increased 11.6% to $22.3 million for the second quarter of fiscal 2006 as compared to $20.0 million for the second quarter of fiscal year 2005. For the six months ended October 29, 2005, gross profit increased 11.0% to $44.5 million compared to $40.1 million for the six months ended October 30, 2004. As a percent of net sales, gross profit was 29.4% and 30.0% for three and six months ended October 29, 2005 as compared to 33.6% and 33.9% for the three and six months ended October 30, 2004. The gross margin percentage declined in the second quarter of fiscal 2006 as compared to the second quarter of fiscal year 2005 due to fewer raw materials price declines, the differences in on-site installation costs, higher freight costs, and the overall competitive environment. We strive towards higher gross margins as a percent of net sales, although depending on the actual mix, plant capacities, performance on larger projects and level of future sales, margin percentages may not increase and could decrease. We expect that margins will increase slightly during the third and fourth quarters of fiscal year 2006, although the actual margins can vary significantly.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 product design and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approximately 17.6% from $12.4 million in the second quarter of fiscal year 2005 to $14.6 million in the second quarter of fiscal year 2006. As a percent of net sales, operating expenses decreased from 20.9% of net sales to 19.3% of net sales. For the six months ended October 29, 2005, operating expenses increased 19.7% from $24.7 million for the six months ended October 30, 2004 to $29.5 million for the six months ended October 29, 2005. All areas of operating expense were impacted by higher levels of health insurance costs.</w:t>
      </w:r>
    </w:p>
    <w:p>
      <w:pPr>
        <w:sectPr>
          <w:pgSz w:w="11900" w:h="16838" w:orient="portrait"/>
          <w:cols w:equalWidth="0" w:num="1">
            <w:col w:w="11420"/>
          </w:cols>
          <w:pgMar w:left="240" w:top="131" w:right="239" w:bottom="0" w:gutter="0" w:footer="0" w:header="0"/>
        </w:sectPr>
      </w:pPr>
    </w:p>
    <w:bookmarkStart w:id="12" w:name="page13"/>
    <w:bookmarkEnd w:id="12"/>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 related costs, travel and entertainment expense, facilities-related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offices, and expenditures for marketing efforts, including collateral materials, conventions and trade shows, product demos and supplies.</w:t>
      </w:r>
    </w:p>
    <w:p>
      <w:pPr>
        <w:spacing w:after="0" w:line="139"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Selling expenses increased 24.9% to $9.2 million for three months ended October 29, 2005 as compared to $7.3 million for the same period in fiscal year 2005. Selling expenses increased 28.9% to $19.0 million for the six months ended October 29, 2005 from $14.7 million for the same period in fiscal year 2005. Selling expenses decreased to 12.1% of net sales for the second quarter of fiscal year 2006 from 12.4% of net sales for the second quarter of fiscal year 2005. For the six months ended October 29, 2005, selling expenses were 12.8% of net sales as compared to 12.5% of net sales for the six months ended October 30, 2004.</w:t>
      </w:r>
    </w:p>
    <w:p>
      <w:pPr>
        <w:spacing w:after="0" w:line="15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Selling expenses for the quarter and the six months ended October 29, 2005 were higher as a result of an increase in personnel costs as we continued to build our sales infrastructure in all markets and internationally, including commercial products, digital signage, mobile and modular products, sports marketing, costs related to the two acquisitions in the third quarter of fiscal year 2005, and higher travel costs due to the order volume. We expect selling expenses to increase in the third quarter of fiscal 2006. Selling expenses in the second quarter of 2006 were lower than expected at the beginning of the quarter as a result of the greater allocation of personnel in sales departments to contract fulfillment and service activities corresponding with the increase in sales. As a percentage of net sales, selling expenses for the year are expected to be lower in the second half of fiscal year 2006 as compared to fiscal year 2005 primarily due to the expected level of sales for the third quarter of fiscal 2006.</w:t>
      </w:r>
    </w:p>
    <w:p>
      <w:pPr>
        <w:spacing w:after="0" w:line="172"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 related costs for administration departments, amortization of intangibles and supplies.</w:t>
      </w:r>
    </w:p>
    <w:p>
      <w:pPr>
        <w:spacing w:after="0" w:line="13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General and administrative expenses increased 21.1% to $2.7 million for the second quarter of fiscal year 2006 as compared to $2.2 million for the second quarter of fiscal year 2005. General and administrative expenses increased 9.8% to $5.3 million for the six months ended October 29, 2005 as compared to $4.8 million for the six months ended October 30, 2004. General and administrative expenses decreased to 3.5% as a percent of net sales for the second quarter of fiscal year 2006 from 3.7% of net sales for the second quarter of fiscal year 2005. For the six months ended October 29, 2005, general and administrative expenses decreased to 3.6% of net sales as compared to 4.1% of net sales for the six months ended October 30, 2004.</w:t>
      </w:r>
    </w:p>
    <w:p>
      <w:pPr>
        <w:spacing w:after="0" w:line="17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increase in general and administrative expenses for the first six months of fiscal year 2006 as compared to the first six months of fiscal year 2005 was due to increases in personnel related costs across all departments with general and administration due to our growth, information systems maintenance and support costs, international expansion, higher professional fees and higher banking costs. We expect that general and administrative costs will increase in each of the remaining quarters in fiscal year 2006.</w:t>
      </w:r>
    </w:p>
    <w:p>
      <w:pPr>
        <w:spacing w:after="0" w:line="197" w:lineRule="exact"/>
        <w:rPr>
          <w:sz w:val="20"/>
          <w:szCs w:val="20"/>
          <w:color w:val="auto"/>
        </w:rPr>
      </w:pPr>
    </w:p>
    <w:p>
      <w:pPr>
        <w:ind w:right="480" w:firstLine="395"/>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costs of supplies.</w:t>
      </w:r>
    </w:p>
    <w:p>
      <w:pPr>
        <w:spacing w:after="0" w:line="18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Product design and development expenses decreased 3.9% to $2.7 million for the three months ended October 29, 2005 compared to $2.9 million for the same period in fiscal year 2005. Product design and development expenses increased 2.6% to $5.2 million for the six months ended October 29, 2005 as compared to $5.1 million for the six months ended October 30, 2004. Product design and development expense was 3.6% of net sales for the second quarter of fiscal year 2006 and 4.8% of net sales for second quarter of 2005. For the six months ended October 29, 2005, product design and development expenses were 3.5% of net sales as compared to 4.3% of net sales for the six months ended October 30, 2004.</w:t>
      </w:r>
    </w:p>
    <w:p>
      <w:pPr>
        <w:spacing w:after="0" w:line="170"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Generally, product design and development expenses increase during times when fewer of our engineering resources are dedicated to long-term contracts, as some of the same personnel who work on research and development also work on long-term contracts. The increase in product development and design expense, both year to date and the quarter, are consistent with our goal of investing approximately 4% of net sales into product design and development. Included in fiscal year 2005 product design and development expenses were costs related to our development of ProTour displays, which caused the fiscal 2005 levels to exceed this goal. As we stated in prior quarters, we expected product development and design expenses as a percent of net sales to return to this level for fiscal year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from displays, which results in long-term receivables. We also invest excess cash in short-term temporary cash investments and marketable securities that generate interest income. Interest income resulting from these items increased 56.1% to $0.5 million for the three months ended October 29, 2005 as compared to $0.3 million for the second quarter of fiscal year 2005. For the six months ended October 29, 2005, interest income increased 38.7% to $0.9 million from $0.6 million for the six months ended October 30, 2004. The increase for both periods was the result of higher average levels of temporary cash investments, marketable securities and long-term receivables outstanding during the respective periods.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Interest expense is comprised primarily of interest costs on our notes payable and long-term debt. As a result of the low levels of debt outstanding, the change in interest expense for the second quarter of fiscal year 2006 as compared to the same period in fiscal year 2005 was not significant. On a year to date basis, interest expense has declined 28.8% to $0.01 million in fiscal 2006 from $0.2 million in fiscal 2005 due to the lower levels of debt outstanding.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12"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Other income (expense), net, decreased to ($0.01) million for the second quarter of fiscal year 2006 as compared to $0.4 million in the second quarter of fiscal year 2005. For the first six months of fiscal year 2006, other income (expense), net, decreased to $0.08 million from $0.5 million for the same period in fiscal year 2005. The change for both the quarter and year to date results from the effects of currency gains and losses on advances to foreign affiliates.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2"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Income taxes were approximately $3.0 million in the second quarter of fiscal year 2006 and fiscal year 2005. For the first six months of fiscal year 2006, income taxes decreased 5.2% to $5.8 million as compared to $6.2 million for the first six months of fiscal year 2005. The effective tax rate for the first half of fiscal year 2006 was 37.5% as compared to 37.8% for the first half of fiscal year 2005. The effective rate was lower as a result of research and development tax credits, which we began recognizing in the third quarter of fiscal year 2005, and the benefits of the new deduction under Section 199 of the Internal Revenue</w:t>
      </w:r>
    </w:p>
    <w:p>
      <w:pPr>
        <w:sectPr>
          <w:pgSz w:w="11900" w:h="16838" w:orient="portrait"/>
          <w:cols w:equalWidth="0" w:num="1">
            <w:col w:w="11400"/>
          </w:cols>
          <w:pgMar w:left="240" w:top="131" w:right="259" w:bottom="0" w:gutter="0" w:footer="0" w:header="0"/>
        </w:sectPr>
      </w:pPr>
    </w:p>
    <w:bookmarkStart w:id="13" w:name="page14"/>
    <w:bookmarkEnd w:id="13"/>
    <w:p>
      <w:pPr>
        <w:ind w:right="300"/>
        <w:spacing w:after="0" w:line="268" w:lineRule="auto"/>
        <w:rPr>
          <w:sz w:val="20"/>
          <w:szCs w:val="20"/>
          <w:color w:val="auto"/>
        </w:rPr>
      </w:pPr>
      <w:r>
        <w:rPr>
          <w:rFonts w:ascii="Arial" w:cs="Arial" w:eastAsia="Arial" w:hAnsi="Arial"/>
          <w:sz w:val="18"/>
          <w:szCs w:val="18"/>
          <w:color w:val="auto"/>
        </w:rPr>
        <w:t>Code for domestic manufacturing, which were partially offset by an increase in our valuation allowance for foreign net operating loss carry forwards resulting from our updated estimates of their future realizability.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Working capital was $65.5 million at October 29, 2005 and $62.3 million at April 30, 2005.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Cash provided by operations for the six months ended October 29, 2005 was $6.3 million. Net income of $9.8 million plus depreciation and amortization of $4.2 million, an increase in billings in excess of costs and estimated earnings, customer deposits, accrued expenses and warranty obligations, and a decrease in long term receivables and current income taxes were offset by an increase in inventory, accounts receivable, deferred income taxes, costs and estimated earnings in excess of billings and the effects of changes in various other operating assets and liabilities. The changes in operating assets and liabilities were related to the growth we experienced during the first half of the year, higher inventory levels related to the specific orders included in our backlog and increased stocking of certain higher volume products. The increase in specific accounts related to larger projects accounted for a portion of the increase in accounts receivable.</w:t>
      </w:r>
    </w:p>
    <w:p>
      <w:pPr>
        <w:spacing w:after="0" w:line="159"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Cash used by investing activities consisted of $7.7 million for purchases of property and equipment for the six months ended October 29, 2005. During the first six months of fiscal year 2006, we invested approximately $2.7 million in facilities additions, primarily related to manufacturing facilities in Brookings, South Dakota, $0.5 million in transportation equipment, $1.7 million in manufacturing equipment, $1.6 million in information systems infrastructure, including software, and $1.2 million in product demonstration equipment. These investments were made to support our continued growth and to replace obsolete equipment. During the third quarter of fiscal 2005, we made two acquisitions totaling approximately $1.1 million in cash for the operating assets of Dodge Electronics and 100% of the outstanding stock of European Timing Systems, Ltd. Included in the acquisitions was approximately $1.1 million of goodwill.</w:t>
      </w:r>
    </w:p>
    <w:p>
      <w:pPr>
        <w:spacing w:after="0" w:line="17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early fiscal 2006 we began construction of an 116,000 square foot addition to our facilities in Brookings, South Dakota. The majority of the addition is designed to be used for manufacturing purposes and is expected to be complete in late fiscal 2006. The total cost of the building and related equipment is approximately $6 million.</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Cash used by financing activities consisted of $2.2 million, including the dividend paid to shareholders of $1.9 million on June 28, 2005, which was partially offset by option exercises.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Included in receivables as of October 29, 2005 was approximately $1.5 million of retainage on long-term contracts, all of which is expected to be collected in one year.</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6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Our product development activities include the enhancement of existing products and the development of new products from existing technologies. Product design and development expenses were $2.7 million for the quarter ended October 29, 2005.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15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a credit agreement with a bank that provides for a $20.0 million line of credit, which includes up to $5.0 million for standby letters of credit. The interest rate on the line of credit is equal to LIBOR plus 1.55% (4.1% at October 29, 2005) and is due on November 1, 2006. As of October 29, 2005, no advances under the line of credit were outstanding. Twelve standby letters of credit were issued and outstanding for approximately $6.0 million as of October 29, 2005. The credit agreement is unsecured and requires us to meet certain covenants, including the maintenance of tangible net worth of at least $40 million, a minimum liquidity ratio, a limit on dividends and distributions, and a minimum adjusted fixed charge coverage ratio. Daktronics Canada, Inc., our subsidiary, has various credit agreements that provide up to $0.2 million in borrowings under lines of credit. The interest rate on the lines of credit is equal to 1.0% above the prime rate of interest (4.75% at October 29, 2005). As of October 29, 2005, no advances under the line of credit were outstanding. The lines are secured primarily by accounts receivables, inventory and other assets of the subsidiary.</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May 26, 2005, our Board of Directors approved a dividend of $0.10 per share, or a total of approximately $1.9 million, which was paid on June 28, 2005 to shareholders of record on June 14, 2005. Although we intend to pay regular annual dividends for the foreseeable future, all subsequent dividends will be reviewed annually and declared by our Board of Directors at its discretion.</w:t>
      </w:r>
    </w:p>
    <w:p>
      <w:pPr>
        <w:spacing w:after="0" w:line="19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October 29, 2005, we had approximately $6.5 million of bonded work outstanding against this line.</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Through October 29, 2005, most of our net sales were denominated in United States dollars, and our exposure to foreign currency exchange rate changes was not significant. Net sales originating outside the United States for the second quarter of fiscal year 2006 were 8.7% of total net sales. We operate in Canada through a wholly-owned subsidiary. Sales of the Canadian subsidiary comprised less than 1% of net sales in the second quarter of fiscal year 2006. If we believed that currency risk in Canada was significant, we would utilize foreign exchange hedging contracts to manage our exposure to the Canadian dollar. Sales of other foreign subsidiaries were immaterial. If we believed that currency risk in any other foreign subsidiary was significant, we would utilize foreign exchange hedging contracts to manage the exposure to the foreign currency.</w:t>
      </w:r>
    </w:p>
    <w:p>
      <w:pPr>
        <w:sectPr>
          <w:pgSz w:w="11900" w:h="16838" w:orient="portrait"/>
          <w:cols w:equalWidth="0" w:num="1">
            <w:col w:w="11420"/>
          </w:cols>
          <w:pgMar w:left="240" w:top="131" w:right="239" w:bottom="0" w:gutter="0" w:footer="0" w:header="0"/>
        </w:sectPr>
      </w:pPr>
    </w:p>
    <w:bookmarkStart w:id="14" w:name="page15"/>
    <w:bookmarkEnd w:id="14"/>
    <w:p>
      <w:pPr>
        <w:spacing w:after="0" w:line="1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expect net sales to international markets in the future to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we will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31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October 29, 2005, our outstanding debt approximated $0.6million, substantially all of which was in fixed rate obligations. Each 100 basis point increase or decrease in interest rates would have an insignificant annual effect on variable rate debt interest based on the balances of such debt as of October 29, 2005. For fixed-rate debt, interest rate changes affect its fair market value but do not affect earnings or cash flows.</w:t>
      </w:r>
    </w:p>
    <w:p>
      <w:pPr>
        <w:spacing w:after="0" w:line="16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October 29, 2005, our outstanding long-term receivables were approximately $15.7 million. Each 25 basis point increase in interest rates would have an associated annual opportunity cost to us of approximately $0.2 million.</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for the two quarters ending April 30, 2006 and subsequent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4420" w:type="dxa"/>
            <w:vAlign w:val="bottom"/>
            <w:gridSpan w:val="12"/>
          </w:tcPr>
          <w:p>
            <w:pPr>
              <w:jc w:val="center"/>
              <w:ind w:right="152"/>
              <w:spacing w:after="0"/>
              <w:rPr>
                <w:sz w:val="20"/>
                <w:szCs w:val="20"/>
                <w:color w:val="auto"/>
              </w:rPr>
            </w:pPr>
            <w:r>
              <w:rPr>
                <w:rFonts w:ascii="Arial" w:cs="Arial" w:eastAsia="Arial" w:hAnsi="Arial"/>
                <w:sz w:val="18"/>
                <w:szCs w:val="18"/>
                <w:b w:val="1"/>
                <w:bCs w:val="1"/>
                <w:color w:val="auto"/>
                <w:w w:val="91"/>
              </w:rPr>
              <w:t>Principal (Notional) Amount by Expected Maturity</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Fiscal Year</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20" w:type="dxa"/>
            <w:vAlign w:val="bottom"/>
            <w:tcBorders>
              <w:top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9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8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current maturities: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$4,597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$2,921</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$1,720</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$1,447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6.9%</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$386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marketing obligations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including current portion: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$177</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8.1%</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right="40" w:firstLine="834"/>
        <w:spacing w:after="0" w:line="370" w:lineRule="auto"/>
        <w:rPr>
          <w:sz w:val="20"/>
          <w:szCs w:val="20"/>
          <w:color w:val="auto"/>
        </w:rPr>
      </w:pPr>
      <w:r>
        <w:rPr>
          <w:rFonts w:ascii="Arial" w:cs="Arial" w:eastAsia="Arial" w:hAnsi="Arial"/>
          <w:sz w:val="15"/>
          <w:szCs w:val="15"/>
          <w:color w:val="auto"/>
        </w:rPr>
        <w:t>Substantially all of our cash balances are denominated in United States dollars. Cash balances in foreign currencies are operating balances maintained in accounts of our Canadian subsidiary and accounts to settle euro-based and Australian-based payments. These balances are immaterial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the Company’s “disclosure controls and procedures,” as that term is defined in Rule 13a-15(e) and Rule 15d-15(e) under the Securities Exchange Act of 1934, as of October 29, 2005, which is the end of the period covered by this report. Based upon that evaluation, the Chief Executive Officer and Chief Financial Officer concluded that as of October 29, 2005, our disclosure controls and procedures were effective.</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Based on the evaluation described in the foregoing paragraph, the Company’s Chief Executive Officer and Chief Financial Officer concluded that during the quarter ended October 29, 2005, there was no change in our internal control over financial reporting that has materially affected, or is reasonably likely to materially affect, our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ectPr>
          <w:pgSz w:w="11900" w:h="16853" w:orient="portrait"/>
          <w:cols w:equalWidth="0" w:num="1">
            <w:col w:w="11400"/>
          </w:cols>
          <w:pgMar w:left="240" w:top="131"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80" w:type="dxa"/>
            <w:vAlign w:val="bottom"/>
          </w:tcPr>
          <w:p>
            <w:pPr>
              <w:ind w:left="60"/>
              <w:spacing w:after="0"/>
              <w:rPr>
                <w:sz w:val="20"/>
                <w:szCs w:val="20"/>
                <w:color w:val="auto"/>
              </w:rPr>
            </w:pPr>
            <w:r>
              <w:rPr>
                <w:rFonts w:ascii="Arial" w:cs="Arial" w:eastAsia="Arial" w:hAnsi="Arial"/>
                <w:sz w:val="18"/>
                <w:szCs w:val="18"/>
                <w:color w:val="auto"/>
              </w:rPr>
              <w:t>10.15</w:t>
            </w: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88"/>
              </w:rPr>
              <w:t>Fifth Amendment, dated October 1, 2005 to the Loan Agreement and</w:t>
            </w:r>
          </w:p>
        </w:tc>
      </w:tr>
      <w:tr>
        <w:trPr>
          <w:trHeight w:val="216"/>
        </w:trPr>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89"/>
              </w:rPr>
              <w:t>Revolving Note, dated October 14, 1998 Between US Bank National</w:t>
            </w:r>
          </w:p>
        </w:tc>
      </w:tr>
      <w:tr>
        <w:trPr>
          <w:trHeight w:val="216"/>
        </w:trPr>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Association and Daktronics, Inc.</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80" w:type="dxa"/>
            <w:vAlign w:val="bottom"/>
          </w:tcPr>
          <w:p>
            <w:pPr>
              <w:ind w:left="60"/>
              <w:spacing w:after="0"/>
              <w:rPr>
                <w:sz w:val="20"/>
                <w:szCs w:val="20"/>
                <w:color w:val="auto"/>
              </w:rPr>
            </w:pPr>
            <w:r>
              <w:rPr>
                <w:rFonts w:ascii="Arial" w:cs="Arial" w:eastAsia="Arial" w:hAnsi="Arial"/>
                <w:sz w:val="18"/>
                <w:szCs w:val="18"/>
                <w:color w:val="auto"/>
              </w:rPr>
              <w:t>31.1</w:t>
            </w: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Rules</w:t>
            </w:r>
          </w:p>
        </w:tc>
      </w:tr>
      <w:tr>
        <w:trPr>
          <w:trHeight w:val="216"/>
        </w:trPr>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93"/>
              </w:rPr>
              <w:t>13a-14(a)/15d-14(a) Under The Securities Exchange Act of 1934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80" w:type="dxa"/>
            <w:vAlign w:val="bottom"/>
          </w:tcPr>
          <w:p>
            <w:pPr>
              <w:ind w:left="60"/>
              <w:spacing w:after="0"/>
              <w:rPr>
                <w:sz w:val="20"/>
                <w:szCs w:val="20"/>
                <w:color w:val="auto"/>
              </w:rPr>
            </w:pPr>
            <w:r>
              <w:rPr>
                <w:rFonts w:ascii="Arial" w:cs="Arial" w:eastAsia="Arial" w:hAnsi="Arial"/>
                <w:sz w:val="18"/>
                <w:szCs w:val="18"/>
                <w:color w:val="auto"/>
              </w:rPr>
              <w:t>31.2</w:t>
            </w: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Rules</w:t>
            </w:r>
          </w:p>
        </w:tc>
      </w:tr>
      <w:tr>
        <w:trPr>
          <w:trHeight w:val="216"/>
        </w:trPr>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93"/>
              </w:rPr>
              <w:t>13a-14(a)/15d-14(a) Under The Securities Exchange Act of 1934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80" w:type="dxa"/>
            <w:vAlign w:val="bottom"/>
          </w:tcPr>
          <w:p>
            <w:pPr>
              <w:ind w:left="60"/>
              <w:spacing w:after="0"/>
              <w:rPr>
                <w:sz w:val="20"/>
                <w:szCs w:val="20"/>
                <w:color w:val="auto"/>
              </w:rPr>
            </w:pPr>
            <w:r>
              <w:rPr>
                <w:rFonts w:ascii="Arial" w:cs="Arial" w:eastAsia="Arial" w:hAnsi="Arial"/>
                <w:sz w:val="18"/>
                <w:szCs w:val="18"/>
                <w:color w:val="auto"/>
              </w:rPr>
              <w:t>32.1</w:t>
            </w:r>
          </w:p>
        </w:tc>
        <w:tc>
          <w:tcPr>
            <w:tcW w:w="1280" w:type="dxa"/>
            <w:vAlign w:val="bottom"/>
          </w:tcPr>
          <w:p>
            <w:pPr>
              <w:ind w:left="340"/>
              <w:spacing w:after="0"/>
              <w:rPr>
                <w:sz w:val="20"/>
                <w:szCs w:val="20"/>
                <w:color w:val="auto"/>
              </w:rPr>
            </w:pPr>
            <w:r>
              <w:rPr>
                <w:rFonts w:ascii="Arial" w:cs="Arial" w:eastAsia="Arial" w:hAnsi="Arial"/>
                <w:sz w:val="18"/>
                <w:szCs w:val="18"/>
                <w:color w:val="auto"/>
                <w:w w:val="87"/>
              </w:rPr>
              <w:t>Section 1350</w:t>
            </w:r>
          </w:p>
        </w:tc>
        <w:tc>
          <w:tcPr>
            <w:tcW w:w="392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w:t>
            </w: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80" w:type="dxa"/>
            <w:vAlign w:val="bottom"/>
          </w:tcPr>
          <w:p>
            <w:pPr>
              <w:ind w:left="60"/>
              <w:spacing w:after="0"/>
              <w:rPr>
                <w:sz w:val="20"/>
                <w:szCs w:val="20"/>
                <w:color w:val="auto"/>
              </w:rPr>
            </w:pPr>
            <w:r>
              <w:rPr>
                <w:rFonts w:ascii="Arial" w:cs="Arial" w:eastAsia="Arial" w:hAnsi="Arial"/>
                <w:sz w:val="18"/>
                <w:szCs w:val="18"/>
                <w:color w:val="auto"/>
              </w:rPr>
              <w:t>32.2</w:t>
            </w:r>
          </w:p>
        </w:tc>
        <w:tc>
          <w:tcPr>
            <w:tcW w:w="1280" w:type="dxa"/>
            <w:vAlign w:val="bottom"/>
          </w:tcPr>
          <w:p>
            <w:pPr>
              <w:ind w:left="340"/>
              <w:spacing w:after="0"/>
              <w:rPr>
                <w:sz w:val="20"/>
                <w:szCs w:val="20"/>
                <w:color w:val="auto"/>
              </w:rPr>
            </w:pPr>
            <w:r>
              <w:rPr>
                <w:rFonts w:ascii="Arial" w:cs="Arial" w:eastAsia="Arial" w:hAnsi="Arial"/>
                <w:sz w:val="18"/>
                <w:szCs w:val="18"/>
                <w:color w:val="auto"/>
                <w:w w:val="87"/>
              </w:rPr>
              <w:t>Section 1350</w:t>
            </w:r>
          </w:p>
        </w:tc>
        <w:tc>
          <w:tcPr>
            <w:tcW w:w="392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w:t>
            </w:r>
          </w:p>
        </w:tc>
      </w:tr>
    </w:tbl>
    <w:p>
      <w:pPr>
        <w:spacing w:after="0" w:line="21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Chief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2005</w:t>
      </w:r>
    </w:p>
    <w:p>
      <w:pPr>
        <w:sectPr>
          <w:pgSz w:w="11900" w:h="16838" w:orient="portrait"/>
          <w:cols w:equalWidth="0" w:num="1">
            <w:col w:w="10940"/>
          </w:cols>
          <w:pgMar w:left="240" w:top="125" w:right="7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10.15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LOAN AGREEMENT AND REVOLVING NOTE</w:t>
      </w:r>
    </w:p>
    <w:p>
      <w:pPr>
        <w:spacing w:after="0" w:line="276" w:lineRule="exact"/>
        <w:rPr>
          <w:sz w:val="20"/>
          <w:szCs w:val="20"/>
          <w:color w:val="auto"/>
        </w:rPr>
      </w:pPr>
    </w:p>
    <w:p>
      <w:pPr>
        <w:jc w:val="both"/>
        <w:ind w:right="100" w:firstLine="348"/>
        <w:spacing w:after="0" w:line="310" w:lineRule="auto"/>
        <w:rPr>
          <w:sz w:val="20"/>
          <w:szCs w:val="20"/>
          <w:color w:val="auto"/>
        </w:rPr>
      </w:pPr>
      <w:r>
        <w:rPr>
          <w:rFonts w:ascii="Arial" w:cs="Arial" w:eastAsia="Arial" w:hAnsi="Arial"/>
          <w:sz w:val="16"/>
          <w:szCs w:val="16"/>
          <w:color w:val="auto"/>
        </w:rPr>
        <w:t xml:space="preserve">This Fifth Amendment to Loan Agreement and Revolving Note is made and entered into effective the 1st day of October, 2005, by and between </w:t>
      </w:r>
      <w:r>
        <w:rPr>
          <w:rFonts w:ascii="Arial" w:cs="Arial" w:eastAsia="Arial" w:hAnsi="Arial"/>
          <w:sz w:val="16"/>
          <w:szCs w:val="16"/>
          <w:b w:val="1"/>
          <w:bCs w:val="1"/>
          <w:color w:val="auto"/>
        </w:rPr>
        <w:t>U.S. Bank</w:t>
      </w:r>
      <w:r>
        <w:rPr>
          <w:rFonts w:ascii="Arial" w:cs="Arial" w:eastAsia="Arial" w:hAnsi="Arial"/>
          <w:sz w:val="16"/>
          <w:szCs w:val="16"/>
          <w:color w:val="auto"/>
        </w:rPr>
        <w:t xml:space="preserve"> </w:t>
      </w:r>
      <w:r>
        <w:rPr>
          <w:rFonts w:ascii="Arial" w:cs="Arial" w:eastAsia="Arial" w:hAnsi="Arial"/>
          <w:sz w:val="16"/>
          <w:szCs w:val="16"/>
          <w:b w:val="1"/>
          <w:bCs w:val="1"/>
          <w:color w:val="auto"/>
        </w:rPr>
        <w:t>National Association</w:t>
      </w:r>
      <w:r>
        <w:rPr>
          <w:rFonts w:ascii="Arial" w:cs="Arial" w:eastAsia="Arial" w:hAnsi="Arial"/>
          <w:sz w:val="16"/>
          <w:szCs w:val="16"/>
          <w:color w:val="auto"/>
        </w:rPr>
        <w:t>, a national banking association, with an address of 141 North Main Avenue, Post Office Box 5308, Sioux Falls, South Dakota 57117-5308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and </w:t>
      </w:r>
      <w:r>
        <w:rPr>
          <w:rFonts w:ascii="Arial" w:cs="Arial" w:eastAsia="Arial" w:hAnsi="Arial"/>
          <w:sz w:val="16"/>
          <w:szCs w:val="16"/>
          <w:b w:val="1"/>
          <w:bCs w:val="1"/>
          <w:color w:val="auto"/>
        </w:rPr>
        <w:t>Daktronics, Inc.</w:t>
      </w:r>
      <w:r>
        <w:rPr>
          <w:rFonts w:ascii="Arial" w:cs="Arial" w:eastAsia="Arial" w:hAnsi="Arial"/>
          <w:sz w:val="16"/>
          <w:szCs w:val="16"/>
          <w:color w:val="auto"/>
        </w:rPr>
        <w:t>, a South Dakota corporation, with an address of 331 — 32nd Avenue, Brookings, South Dakota 57006 (“Borrower”).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80" w:firstLine="349"/>
        <w:spacing w:after="0" w:line="259"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Lender and Borrower entered into a Loan Agreement dated October 14, 1998, which Loan Agreement was amended by an Amendment to Loan Agreement dated November 30, 1999, an Amendment to Loan Agreement dated December 8, 2000, a third Amendment to Loan Agreement dated June 20, 2002, and a Fourth Amendment to Loan Agreement dated December 2, 2003.</w:t>
      </w:r>
    </w:p>
    <w:p>
      <w:pPr>
        <w:spacing w:after="0" w:line="194" w:lineRule="exact"/>
        <w:rPr>
          <w:rFonts w:ascii="Arial" w:cs="Arial" w:eastAsia="Arial" w:hAnsi="Arial"/>
          <w:sz w:val="18"/>
          <w:szCs w:val="18"/>
          <w:color w:val="auto"/>
        </w:rPr>
      </w:pPr>
    </w:p>
    <w:p>
      <w:pPr>
        <w:ind w:right="260" w:firstLine="359"/>
        <w:spacing w:after="0" w:line="332" w:lineRule="auto"/>
        <w:tabs>
          <w:tab w:leader="none" w:pos="64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accordance with the Loan Agreement, Lender is the holder of a Revolving Note dated October 14, 1998, signed on behalf of Borrower. Pursuant to the Amendment to Loan Agreement dated November 30, 1999, the loan amount is $20,000,000.00 (the “Revolving Loan”).</w:t>
      </w:r>
    </w:p>
    <w:p>
      <w:pPr>
        <w:spacing w:after="0" w:line="139" w:lineRule="exact"/>
        <w:rPr>
          <w:rFonts w:ascii="Arial" w:cs="Arial" w:eastAsia="Arial" w:hAnsi="Arial"/>
          <w:sz w:val="16"/>
          <w:szCs w:val="16"/>
          <w:color w:val="auto"/>
        </w:rPr>
      </w:pPr>
    </w:p>
    <w:p>
      <w:pPr>
        <w:ind w:right="240" w:firstLine="359"/>
        <w:spacing w:after="0" w:line="268"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Lender and Borrower mutually wish to extend the maturity date of the Revolving Loan from October 1, 2005 to October 1, 2007, and modify some of the covenants of Borrower.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for good and valuable consideration, the parties agree as follows:</w:t>
      </w:r>
    </w:p>
    <w:p>
      <w:pPr>
        <w:spacing w:after="0" w:line="225" w:lineRule="exact"/>
        <w:rPr>
          <w:sz w:val="20"/>
          <w:szCs w:val="20"/>
          <w:color w:val="auto"/>
        </w:rPr>
      </w:pPr>
    </w:p>
    <w:p>
      <w:pPr>
        <w:ind w:left="660" w:hanging="30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Agreement and Revolving Note are hereby amended to provide that the Revolving Loan Maturity Date is October 1, 2007.</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6.10 of the Loan Agreement is amended to read as follows:</w:t>
      </w:r>
    </w:p>
    <w:p>
      <w:pPr>
        <w:spacing w:after="0" w:line="225" w:lineRule="exact"/>
        <w:rPr>
          <w:sz w:val="20"/>
          <w:szCs w:val="20"/>
          <w:color w:val="auto"/>
        </w:rPr>
      </w:pPr>
    </w:p>
    <w:p>
      <w:pPr>
        <w:ind w:right="400" w:firstLine="658"/>
        <w:spacing w:after="0" w:line="332" w:lineRule="auto"/>
        <w:rPr>
          <w:sz w:val="20"/>
          <w:szCs w:val="20"/>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Borrower may merge, consolidate or enter into an analogous reorganization without the prior written consent of Lender, provided that the transaction is valued at less than 3,000,000.00 and the Borrower is in compliance with all covenants and conditions of this Loan Agreement.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  Section 6.11 of the Loan Agreement is amended to read as follows:</w:t>
      </w:r>
    </w:p>
    <w:p>
      <w:pPr>
        <w:spacing w:after="0" w:line="225" w:lineRule="exact"/>
        <w:rPr>
          <w:sz w:val="20"/>
          <w:szCs w:val="20"/>
          <w:color w:val="auto"/>
        </w:rPr>
      </w:pPr>
    </w:p>
    <w:p>
      <w:pPr>
        <w:ind w:right="300" w:firstLine="658"/>
        <w:spacing w:after="0" w:line="268" w:lineRule="auto"/>
        <w:rPr>
          <w:sz w:val="20"/>
          <w:szCs w:val="20"/>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Borrower will not acquire during any fiscal year another business, firm or company in excess of $3,000,000.00, without prior written approval from Lender.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  Schedule VI to the Loan Agreement (“Schedule VI”) is amended to provide with respect to the Tangible Net Worth covenant:</w:t>
      </w:r>
    </w:p>
    <w:p>
      <w:pPr>
        <w:spacing w:after="0" w:line="225"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u w:val="single" w:color="auto"/>
          <w:color w:val="auto"/>
        </w:rPr>
        <w:t>Tangible Net Worth</w:t>
      </w:r>
      <w:r>
        <w:rPr>
          <w:rFonts w:ascii="Arial" w:cs="Arial" w:eastAsia="Arial" w:hAnsi="Arial"/>
          <w:sz w:val="18"/>
          <w:szCs w:val="18"/>
          <w:color w:val="auto"/>
        </w:rPr>
        <w:t>. The Borrower will not permit its Tangible Net Worth (the excess of its assets, excluding intangible assets, over its liabilities) at any time to be less than $75,000,000.00.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  Schedule VI is further amended to provide with respect to the definition of “Adjusted Fixed Charge Coverage Ratio”:</w:t>
      </w:r>
    </w:p>
    <w:p>
      <w:pPr>
        <w:spacing w:after="0" w:line="225" w:lineRule="exact"/>
        <w:rPr>
          <w:sz w:val="20"/>
          <w:szCs w:val="20"/>
          <w:color w:val="auto"/>
        </w:rPr>
      </w:pPr>
    </w:p>
    <w:p>
      <w:pPr>
        <w:ind w:right="120" w:firstLine="658"/>
        <w:spacing w:after="0" w:line="268" w:lineRule="auto"/>
        <w:rPr>
          <w:sz w:val="20"/>
          <w:szCs w:val="20"/>
          <w:color w:val="auto"/>
        </w:rPr>
      </w:pPr>
      <w:r>
        <w:rPr>
          <w:rFonts w:ascii="Arial" w:cs="Arial" w:eastAsia="Arial" w:hAnsi="Arial"/>
          <w:sz w:val="18"/>
          <w:szCs w:val="18"/>
          <w:u w:val="single" w:color="auto"/>
          <w:color w:val="auto"/>
        </w:rPr>
        <w:t>Minimum Adjusted Fixed Charge Coverage Ratio</w:t>
      </w:r>
      <w:r>
        <w:rPr>
          <w:rFonts w:ascii="Arial" w:cs="Arial" w:eastAsia="Arial" w:hAnsi="Arial"/>
          <w:sz w:val="18"/>
          <w:szCs w:val="18"/>
          <w:color w:val="auto"/>
        </w:rPr>
        <w:t>. The Borrower will not permit the Minimum Adjusted Fixed Charge Ratio, as of the last day of any fiscal year for the four consecutive fiscal quarters ending on that date to be less than 2 to 1.</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hereof, the following definitions have the following meanings:</w:t>
      </w:r>
    </w:p>
    <w:p>
      <w:pPr>
        <w:spacing w:after="0" w:line="225" w:lineRule="exact"/>
        <w:rPr>
          <w:sz w:val="20"/>
          <w:szCs w:val="20"/>
          <w:color w:val="auto"/>
        </w:rPr>
      </w:pPr>
    </w:p>
    <w:p>
      <w:pPr>
        <w:ind w:right="220" w:firstLine="658"/>
        <w:spacing w:after="0" w:line="268"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For any period of determination, the net income of the Borrower before deductions for income taxes, interest expense, depreciation and amortization, all as determined in accordance with GAAP.</w:t>
      </w:r>
    </w:p>
    <w:p>
      <w:pPr>
        <w:spacing w:after="0" w:line="186" w:lineRule="exact"/>
        <w:rPr>
          <w:sz w:val="20"/>
          <w:szCs w:val="20"/>
          <w:color w:val="auto"/>
        </w:rPr>
      </w:pPr>
    </w:p>
    <w:p>
      <w:pPr>
        <w:ind w:left="660"/>
        <w:spacing w:after="0"/>
        <w:tabs>
          <w:tab w:leader="none" w:pos="3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Fixed Charge Coverage Ratio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any period of determination with respect to the Borrower, the ratio of</w:t>
      </w:r>
    </w:p>
    <w:p>
      <w:pPr>
        <w:spacing w:after="0" w:line="225" w:lineRule="exact"/>
        <w:rPr>
          <w:sz w:val="20"/>
          <w:szCs w:val="20"/>
          <w:color w:val="auto"/>
        </w:rPr>
      </w:pPr>
    </w:p>
    <w:p>
      <w:pPr>
        <w:ind w:right="280" w:firstLine="666"/>
        <w:spacing w:after="0" w:line="268" w:lineRule="auto"/>
        <w:tabs>
          <w:tab w:leader="none" w:pos="1029"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minus the sum of (i) any dividends or other distributions, (ii) expenditures in the sum of $3,000,000.00 for fixed and capital assets not finances and (iii) tax expenses,</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to</w:t>
      </w:r>
    </w:p>
    <w:p>
      <w:pPr>
        <w:spacing w:after="0" w:line="225" w:lineRule="exact"/>
        <w:rPr>
          <w:sz w:val="20"/>
          <w:szCs w:val="20"/>
          <w:color w:val="auto"/>
        </w:rPr>
      </w:pPr>
    </w:p>
    <w:p>
      <w:pPr>
        <w:ind w:right="60" w:firstLine="666"/>
        <w:spacing w:after="0" w:line="268" w:lineRule="auto"/>
        <w:tabs>
          <w:tab w:leader="none" w:pos="103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required principal and interest payments with respect to Indebtedness (including but not limited to all payments with respect to capitalized lease obligations of the Borrower), in each case determined for said period in accordance with GAAP.</w:t>
      </w:r>
    </w:p>
    <w:p>
      <w:pPr>
        <w:spacing w:after="0" w:line="185" w:lineRule="exact"/>
        <w:rPr>
          <w:rFonts w:ascii="Arial" w:cs="Arial" w:eastAsia="Arial" w:hAnsi="Arial"/>
          <w:sz w:val="18"/>
          <w:szCs w:val="18"/>
          <w:color w:val="auto"/>
        </w:rPr>
      </w:pPr>
    </w:p>
    <w:p>
      <w:pPr>
        <w:ind w:left="620" w:hanging="261"/>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 VI is further amended to provide with respect to the IBD/EBITDA covenant: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u w:val="single" w:color="auto"/>
          <w:color w:val="auto"/>
        </w:rPr>
        <w:t>IBD/EBITDA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Borrower will not permit the IBD/EBITDA Ratio, as of the last day of any fiscal quarter to be greater than 1 to 1.</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hereof, the following definitions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“IBD</w:t>
      </w:r>
      <w:r>
        <w:rPr>
          <w:rFonts w:ascii="Arial" w:cs="Arial" w:eastAsia="Arial" w:hAnsi="Arial"/>
          <w:sz w:val="18"/>
          <w:szCs w:val="18"/>
          <w:color w:val="auto"/>
        </w:rPr>
        <w:t>”:  All interest bearing obligations, including those represented by bonds, debentures, or other debt securities.</w:t>
      </w:r>
    </w:p>
    <w:p>
      <w:pPr>
        <w:spacing w:after="0" w:line="225" w:lineRule="exact"/>
        <w:rPr>
          <w:sz w:val="20"/>
          <w:szCs w:val="20"/>
          <w:color w:val="auto"/>
        </w:rPr>
      </w:pPr>
    </w:p>
    <w:p>
      <w:pPr>
        <w:ind w:right="220" w:firstLine="658"/>
        <w:spacing w:after="0" w:line="268"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For any period of determination, the net income of the Borrower before deductions for income taxes, interest expense, depreciation and amortization, all as determined in accordance with GAAP. This computation will use the last four quarters.</w:t>
      </w:r>
    </w:p>
    <w:p>
      <w:pPr>
        <w:spacing w:after="0" w:line="186" w:lineRule="exact"/>
        <w:rPr>
          <w:sz w:val="20"/>
          <w:szCs w:val="20"/>
          <w:color w:val="auto"/>
        </w:rPr>
      </w:pPr>
    </w:p>
    <w:p>
      <w:pPr>
        <w:ind w:right="42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modified herein, all the terms and conditions of the Loan Agreement and Revolving Note, including previous Amendments thereto, shall remain in full force and effect.</w:t>
      </w:r>
    </w:p>
    <w:p>
      <w:pPr>
        <w:sectPr>
          <w:pgSz w:w="11900" w:h="16838" w:orient="portrait"/>
          <w:cols w:equalWidth="0" w:num="1">
            <w:col w:w="11420"/>
          </w:cols>
          <w:pgMar w:left="240" w:top="131" w:right="239" w:bottom="135" w:gutter="0" w:footer="0" w:header="0"/>
        </w:sectPr>
      </w:pPr>
    </w:p>
    <w:bookmarkStart w:id="17" w:name="page18"/>
    <w:bookmarkEnd w:id="17"/>
    <w:p>
      <w:pPr>
        <w:ind w:firstLine="359"/>
        <w:spacing w:after="0" w:line="268"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Borrower acknowledges that the Loan Agreement, Revolving Note, and related loan documents are and shall remain the legal and binding obligation of Borrower, free of any claim, defense, or offset.</w:t>
      </w:r>
    </w:p>
    <w:p>
      <w:pPr>
        <w:spacing w:after="0" w:line="186"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LENDER:</w:t>
      </w:r>
      <w:r>
        <w:rPr>
          <w:sz w:val="20"/>
          <w:szCs w:val="20"/>
          <w:color w:val="auto"/>
        </w:rPr>
        <w:tab/>
      </w:r>
      <w:r>
        <w:rPr>
          <w:rFonts w:ascii="Arial" w:cs="Arial" w:eastAsia="Arial" w:hAnsi="Arial"/>
          <w:sz w:val="18"/>
          <w:szCs w:val="18"/>
          <w:color w:val="auto"/>
        </w:rPr>
        <w:t>BORROWER: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gridSpan w:val="4"/>
          </w:tcPr>
          <w:p>
            <w:pPr>
              <w:spacing w:after="0"/>
              <w:rPr>
                <w:sz w:val="20"/>
                <w:szCs w:val="20"/>
                <w:color w:val="auto"/>
              </w:rPr>
            </w:pPr>
            <w:r>
              <w:rPr>
                <w:rFonts w:ascii="Arial" w:cs="Arial" w:eastAsia="Arial" w:hAnsi="Arial"/>
                <w:sz w:val="18"/>
                <w:szCs w:val="18"/>
                <w:color w:val="auto"/>
              </w:rPr>
              <w:t>U.S. BANK NATIONAL ASSOCIATION</w:t>
            </w:r>
          </w:p>
        </w:tc>
        <w:tc>
          <w:tcPr>
            <w:tcW w:w="2860" w:type="dxa"/>
            <w:vAlign w:val="bottom"/>
            <w:gridSpan w:val="4"/>
          </w:tcPr>
          <w:p>
            <w:pPr>
              <w:ind w:left="740"/>
              <w:spacing w:after="0"/>
              <w:rPr>
                <w:sz w:val="20"/>
                <w:szCs w:val="20"/>
                <w:color w:val="auto"/>
              </w:rPr>
            </w:pPr>
            <w:r>
              <w:rPr>
                <w:rFonts w:ascii="Arial" w:cs="Arial" w:eastAsia="Arial" w:hAnsi="Arial"/>
                <w:sz w:val="18"/>
                <w:szCs w:val="18"/>
                <w:color w:val="auto"/>
              </w:rPr>
              <w:t>DAKTRONICS, INC.</w:t>
            </w:r>
          </w:p>
        </w:tc>
      </w:tr>
      <w:tr>
        <w:trPr>
          <w:trHeight w:val="394"/>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s/s Carl Wynja</w:t>
            </w:r>
          </w:p>
        </w:tc>
        <w:tc>
          <w:tcPr>
            <w:tcW w:w="1040" w:type="dxa"/>
            <w:vAlign w:val="bottom"/>
          </w:tcPr>
          <w:p>
            <w:pPr>
              <w:ind w:left="7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w w:val="98"/>
              </w:rPr>
              <w:t>s/s James B. Morgan</w:t>
            </w:r>
          </w:p>
        </w:tc>
      </w:tr>
      <w:tr>
        <w:trPr>
          <w:trHeight w:val="228"/>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Carl Wynja</w:t>
            </w: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B. Morgan</w:t>
            </w:r>
          </w:p>
        </w:tc>
        <w:tc>
          <w:tcPr>
            <w:tcW w:w="220" w:type="dxa"/>
            <w:vAlign w:val="bottom"/>
          </w:tcPr>
          <w:p>
            <w:pPr>
              <w:spacing w:after="0"/>
              <w:rPr>
                <w:sz w:val="19"/>
                <w:szCs w:val="19"/>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Senior Vice President</w:t>
            </w:r>
          </w:p>
        </w:tc>
        <w:tc>
          <w:tcPr>
            <w:tcW w:w="1040" w:type="dxa"/>
            <w:vAlign w:val="bottom"/>
          </w:tcPr>
          <w:p>
            <w:pPr>
              <w:ind w:left="740"/>
              <w:spacing w:after="0"/>
              <w:rPr>
                <w:sz w:val="20"/>
                <w:szCs w:val="20"/>
                <w:color w:val="auto"/>
              </w:rPr>
            </w:pPr>
            <w:r>
              <w:rPr>
                <w:rFonts w:ascii="Arial" w:cs="Arial" w:eastAsia="Arial" w:hAnsi="Arial"/>
                <w:sz w:val="18"/>
                <w:szCs w:val="18"/>
                <w:color w:val="auto"/>
              </w:rPr>
              <w:t>Its:</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w w:val="95"/>
              </w:rPr>
              <w:t>Chief Executive Officer</w:t>
            </w:r>
          </w:p>
        </w:tc>
      </w:tr>
      <w:tr>
        <w:trPr>
          <w:trHeight w:val="394"/>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60" w:type="dxa"/>
            <w:vAlign w:val="bottom"/>
            <w:gridSpan w:val="4"/>
          </w:tcPr>
          <w:p>
            <w:pPr>
              <w:ind w:left="740"/>
              <w:spacing w:after="0"/>
              <w:rPr>
                <w:sz w:val="20"/>
                <w:szCs w:val="20"/>
                <w:color w:val="auto"/>
              </w:rPr>
            </w:pPr>
            <w:r>
              <w:rPr>
                <w:rFonts w:ascii="Arial" w:cs="Arial" w:eastAsia="Arial" w:hAnsi="Arial"/>
                <w:sz w:val="18"/>
                <w:szCs w:val="18"/>
                <w:color w:val="auto"/>
                <w:w w:val="93"/>
              </w:rPr>
              <w:t>By:  s/s William R. Retterath</w:t>
            </w:r>
          </w:p>
        </w:tc>
      </w:tr>
      <w:tr>
        <w:trPr>
          <w:trHeight w:val="228"/>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William R. Retterath</w:t>
            </w:r>
          </w:p>
        </w:tc>
      </w:tr>
      <w:tr>
        <w:trPr>
          <w:trHeight w:val="222"/>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Its:</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w w:val="98"/>
              </w:rPr>
              <w:t>Chief Financial Officer</w:t>
            </w:r>
          </w:p>
        </w:tc>
      </w:tr>
    </w:tbl>
    <w:p>
      <w:pPr>
        <w:sectPr>
          <w:pgSz w:w="11900" w:h="16838" w:orient="portrait"/>
          <w:cols w:equalWidth="0" w:num="1">
            <w:col w:w="11320"/>
          </w:cols>
          <w:pgMar w:left="240" w:top="131"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29, 2005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0" w:hanging="232"/>
        <w:spacing w:after="0" w:line="259" w:lineRule="auto"/>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16"/>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60" w:right="20" w:hanging="232"/>
        <w:spacing w:after="0" w:line="259" w:lineRule="auto"/>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29, 2005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0" w:hanging="232"/>
        <w:spacing w:after="0" w:line="259" w:lineRule="auto"/>
        <w:tabs>
          <w:tab w:leader="none" w:pos="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00" w:right="40" w:hanging="172"/>
        <w:spacing w:after="0" w:line="268"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60" w:right="20" w:hanging="232"/>
        <w:spacing w:after="0" w:line="259" w:lineRule="auto"/>
        <w:tabs>
          <w:tab w:leader="none" w:pos="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40" w:hanging="216"/>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October 29, 2005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October 29, 2005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
    </w:lvl>
    <w:lvl w:ilvl="1">
      <w:lvlJc w:val="left"/>
      <w:lvlText w:val="(%2)"/>
      <w:numFmt w:val="lowerLetter"/>
      <w:start w:val="2"/>
    </w:lvl>
  </w:abstractNum>
  <w:abstractNum w:abstractNumId="8">
    <w:nsid w:val="66EF438D"/>
    <w:multiLevelType w:val="hybridMultilevel"/>
    <w:lvl w:ilvl="0">
      <w:lvlJc w:val="left"/>
      <w:lvlText w:val="%1."/>
      <w:numFmt w:val="decimal"/>
      <w:start w:val="6"/>
    </w:lvl>
    <w:lvl w:ilvl="1">
      <w:lvlJc w:val="left"/>
      <w:lvlText w:val="%2"/>
      <w:numFmt w:val="lowerLetter"/>
      <w:start w:val="1"/>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1."/>
      <w:numFmt w:val="decimal"/>
      <w:start w:val="8"/>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2019-12-11T23:42:29Z</dcterms:created>
  <dcterms:modified xsi:type="dcterms:W3CDTF">2019-12-11T23:42:29Z</dcterms:modified>
</cp:coreProperties>
</file>