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260" w:right="3060" w:hanging="4260"/>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July 29, 2017</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34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6380" w:type="dxa"/>
            <w:vAlign w:val="bottom"/>
            <w:gridSpan w:val="3"/>
          </w:tcPr>
          <w:p>
            <w:pPr>
              <w:jc w:val="center"/>
              <w:ind w:right="431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0760" w:type="dxa"/>
            <w:vAlign w:val="bottom"/>
            <w:gridSpan w:val="4"/>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540"/>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South Dakota</w:t>
            </w:r>
          </w:p>
        </w:tc>
        <w:tc>
          <w:tcPr>
            <w:tcW w:w="6380" w:type="dxa"/>
            <w:vAlign w:val="bottom"/>
            <w:gridSpan w:val="3"/>
          </w:tcPr>
          <w:p>
            <w:pPr>
              <w:jc w:val="right"/>
              <w:ind w:right="215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3"/>
        </w:trPr>
        <w:tc>
          <w:tcPr>
            <w:tcW w:w="4380" w:type="dxa"/>
            <w:vAlign w:val="bottom"/>
          </w:tcPr>
          <w:p>
            <w:pPr>
              <w:jc w:val="center"/>
              <w:ind w:left="799"/>
              <w:spacing w:after="0"/>
              <w:rPr>
                <w:sz w:val="20"/>
                <w:szCs w:val="20"/>
                <w:color w:val="auto"/>
              </w:rPr>
            </w:pPr>
            <w:r>
              <w:rPr>
                <w:rFonts w:ascii="Arial" w:cs="Arial" w:eastAsia="Arial" w:hAnsi="Arial"/>
                <w:sz w:val="16"/>
                <w:szCs w:val="16"/>
                <w:color w:val="auto"/>
                <w:w w:val="93"/>
              </w:rPr>
              <w:t>(State or Other Jurisdiction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4"/>
              </w:rPr>
              <w:t>Incorporation or Organization)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05"/>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2"/>
              </w:rPr>
              <w:t>201 Daktronics Drive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10"/>
        </w:trPr>
        <w:tc>
          <w:tcPr>
            <w:tcW w:w="438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Brookings, SD</w:t>
            </w:r>
          </w:p>
        </w:tc>
        <w:tc>
          <w:tcPr>
            <w:tcW w:w="6380" w:type="dxa"/>
            <w:vAlign w:val="bottom"/>
            <w:gridSpan w:val="3"/>
          </w:tcPr>
          <w:p>
            <w:pPr>
              <w:jc w:val="right"/>
              <w:ind w:right="2359"/>
              <w:spacing w:after="0"/>
              <w:rPr>
                <w:sz w:val="20"/>
                <w:szCs w:val="20"/>
                <w:color w:val="auto"/>
              </w:rPr>
            </w:pPr>
            <w:r>
              <w:rPr>
                <w:rFonts w:ascii="Arial" w:cs="Arial" w:eastAsia="Arial" w:hAnsi="Arial"/>
                <w:sz w:val="16"/>
                <w:szCs w:val="16"/>
                <w:b w:val="1"/>
                <w:bCs w:val="1"/>
                <w:color w:val="auto"/>
              </w:rPr>
              <w:t>57006</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3"/>
              </w:rPr>
              <w:t>(Address of Principal Executive Offices)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(605) 692-0200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5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28, 2017 was 44,287,875.</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July 29, 2017</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4"/>
          </w:tcPr>
          <w:p>
            <w:pPr>
              <w:ind w:left="8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60" w:type="dxa"/>
            <w:vAlign w:val="bottom"/>
            <w:gridSpan w:val="11"/>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July 29, 2017 (unaudited) and April 29, 2017</w:t>
              </w:r>
            </w:hyperlink>
          </w:p>
        </w:tc>
        <w:tc>
          <w:tcPr>
            <w:tcW w:w="232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July 29, 2017 and July 30, 2016</w:t>
              </w:r>
            </w:hyperlink>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080" w:type="dxa"/>
            <w:vAlign w:val="bottom"/>
            <w:gridSpan w:val="3"/>
          </w:tcPr>
          <w:p>
            <w:pPr>
              <w:ind w:left="90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for the Three Months Ended July 29, 2017 and</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July 30, 2016 (unaudited)</w:t>
              </w:r>
            </w:hyperlink>
          </w:p>
        </w:tc>
        <w:tc>
          <w:tcPr>
            <w:tcW w:w="960" w:type="dxa"/>
            <w:vAlign w:val="bottom"/>
            <w:gridSpan w:val="2"/>
          </w:tcPr>
          <w:p>
            <w:pPr>
              <w:spacing w:after="0"/>
              <w:rPr>
                <w:sz w:val="17"/>
                <w:szCs w:val="17"/>
                <w:color w:val="auto"/>
              </w:rPr>
            </w:pPr>
          </w:p>
        </w:tc>
        <w:tc>
          <w:tcPr>
            <w:tcW w:w="1080" w:type="dxa"/>
            <w:vAlign w:val="bottom"/>
            <w:gridSpan w:val="3"/>
          </w:tcPr>
          <w:p>
            <w:pPr>
              <w:ind w:left="90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Three Months Ended July 29, 2017 and July 30,</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2016 (unaudited)</w:t>
              </w:r>
            </w:hyperlink>
          </w:p>
        </w:tc>
        <w:tc>
          <w:tcPr>
            <w:tcW w:w="1220" w:type="dxa"/>
            <w:vAlign w:val="bottom"/>
            <w:gridSpan w:val="3"/>
          </w:tcPr>
          <w:p>
            <w:pPr>
              <w:spacing w:after="0"/>
              <w:rPr>
                <w:sz w:val="17"/>
                <w:szCs w:val="17"/>
                <w:color w:val="auto"/>
              </w:rPr>
            </w:pPr>
          </w:p>
        </w:tc>
        <w:tc>
          <w:tcPr>
            <w:tcW w:w="1080" w:type="dxa"/>
            <w:vAlign w:val="bottom"/>
            <w:gridSpan w:val="3"/>
          </w:tcPr>
          <w:p>
            <w:pPr>
              <w:ind w:left="90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Consolidated Financial Statements</w:t>
              </w:r>
            </w:hyperlink>
          </w:p>
        </w:tc>
        <w:tc>
          <w:tcPr>
            <w:tcW w:w="1080" w:type="dxa"/>
            <w:vAlign w:val="bottom"/>
            <w:gridSpan w:val="3"/>
          </w:tcPr>
          <w:p>
            <w:pPr>
              <w:ind w:left="90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w:t>
              </w:r>
            </w:hyperlink>
          </w:p>
        </w:tc>
        <w:tc>
          <w:tcPr>
            <w:tcW w:w="8660" w:type="dxa"/>
            <w:vAlign w:val="bottom"/>
            <w:gridSpan w:val="1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ind w:left="900"/>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3.</w:t>
              </w:r>
            </w:hyperlink>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Quantitative and Qualitative Disclosures About Market Risk</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4.</w:t>
              </w:r>
            </w:hyperlink>
          </w:p>
        </w:tc>
        <w:tc>
          <w:tcPr>
            <w:tcW w:w="86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1240" w:type="dxa"/>
            <w:vAlign w:val="bottom"/>
            <w:gridSpan w:val="4"/>
          </w:tcPr>
          <w:p>
            <w:pPr>
              <w:ind w:left="90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w:t>
              </w:r>
            </w:hyperlink>
          </w:p>
        </w:tc>
        <w:tc>
          <w:tcPr>
            <w:tcW w:w="8660" w:type="dxa"/>
            <w:vAlign w:val="bottom"/>
            <w:gridSpan w:val="18"/>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Other Information</w:t>
              </w:r>
            </w:hyperlink>
          </w:p>
        </w:tc>
        <w:tc>
          <w:tcPr>
            <w:tcW w:w="1240" w:type="dxa"/>
            <w:vAlign w:val="bottom"/>
            <w:gridSpan w:val="4"/>
          </w:tcPr>
          <w:p>
            <w:pPr>
              <w:ind w:left="90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28">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6"/>
          </w:tcPr>
          <w:p>
            <w:pPr>
              <w:spacing w:after="0"/>
              <w:rPr>
                <w:rFonts w:ascii="Arial" w:cs="Arial" w:eastAsia="Arial" w:hAnsi="Arial"/>
                <w:sz w:val="18"/>
                <w:szCs w:val="18"/>
                <w:color w:val="0000FF"/>
                <w:w w:val="93"/>
              </w:rPr>
            </w:pPr>
            <w:hyperlink w:anchor="page28">
              <w:r>
                <w:rPr>
                  <w:rFonts w:ascii="Arial" w:cs="Arial" w:eastAsia="Arial" w:hAnsi="Arial"/>
                  <w:sz w:val="18"/>
                  <w:szCs w:val="18"/>
                  <w:color w:val="0000FF"/>
                  <w:w w:val="93"/>
                </w:rPr>
                <w:t>Legal Proceedings</w:t>
              </w:r>
            </w:hyperlink>
          </w:p>
        </w:tc>
        <w:tc>
          <w:tcPr>
            <w:tcW w:w="7220" w:type="dxa"/>
            <w:vAlign w:val="bottom"/>
            <w:gridSpan w:val="12"/>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Risk Factors</w:t>
              </w:r>
            </w:hyperlink>
          </w:p>
        </w:tc>
        <w:tc>
          <w:tcPr>
            <w:tcW w:w="7760" w:type="dxa"/>
            <w:vAlign w:val="bottom"/>
            <w:gridSpan w:val="15"/>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Unregistered Sales of Equity Securities and Use of Proceeds</w:t>
              </w:r>
            </w:hyperlink>
          </w:p>
        </w:tc>
        <w:tc>
          <w:tcPr>
            <w:tcW w:w="4300" w:type="dxa"/>
            <w:vAlign w:val="bottom"/>
            <w:gridSpan w:val="6"/>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3.</w:t>
              </w:r>
            </w:hyperlink>
          </w:p>
        </w:tc>
        <w:tc>
          <w:tcPr>
            <w:tcW w:w="866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Defaults Upon Senior Securities</w:t>
              </w:r>
            </w:hyperlink>
          </w:p>
        </w:tc>
        <w:tc>
          <w:tcPr>
            <w:tcW w:w="1240" w:type="dxa"/>
            <w:vAlign w:val="bottom"/>
            <w:gridSpan w:val="4"/>
          </w:tcPr>
          <w:p>
            <w:pPr>
              <w:ind w:left="90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17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Mine Safety Disclosures</w:t>
              </w:r>
            </w:hyperlink>
          </w:p>
        </w:tc>
        <w:tc>
          <w:tcPr>
            <w:tcW w:w="6900" w:type="dxa"/>
            <w:vAlign w:val="bottom"/>
            <w:gridSpan w:val="10"/>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5.</w:t>
              </w:r>
            </w:hyperlink>
          </w:p>
        </w:tc>
        <w:tc>
          <w:tcPr>
            <w:tcW w:w="866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6.</w:t>
              </w:r>
            </w:hyperlink>
          </w:p>
        </w:tc>
        <w:tc>
          <w:tcPr>
            <w:tcW w:w="866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1">
              <w:r>
                <w:rPr>
                  <w:rFonts w:ascii="Arial" w:cs="Arial" w:eastAsia="Arial" w:hAnsi="Arial"/>
                  <w:sz w:val="18"/>
                  <w:szCs w:val="18"/>
                  <w:b w:val="1"/>
                  <w:bCs w:val="1"/>
                  <w:color w:val="0000FF"/>
                  <w:w w:val="83"/>
                </w:rPr>
                <w:t>Signatures</w:t>
              </w:r>
            </w:hyperlink>
          </w:p>
        </w:tc>
        <w:tc>
          <w:tcPr>
            <w:tcW w:w="8660" w:type="dxa"/>
            <w:vAlign w:val="bottom"/>
            <w:gridSpan w:val="18"/>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Index to Exhibits</w:t>
              </w:r>
            </w:hyperlink>
          </w:p>
        </w:tc>
        <w:tc>
          <w:tcPr>
            <w:tcW w:w="8160" w:type="dxa"/>
            <w:vAlign w:val="bottom"/>
            <w:gridSpan w:val="17"/>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29,</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100,867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78,846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36,403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7,553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282,928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257,725</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11,292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65,935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84,189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7,108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223,941</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161,060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157,192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379,896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July 29,</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29,</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25,033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14,636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10,897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130,595</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5,434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26,552</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157,147</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44,511,290 and 44,372,357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and outstanding at July 29, 2017 and April 29, 2017,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53,561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52,530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119,302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113,967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shares at July 29, 2017 and April 29, 2017,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379,896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355,433</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8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8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8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87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30,</w:t>
            </w:r>
          </w:p>
        </w:tc>
      </w:tr>
      <w:tr>
        <w:trPr>
          <w:trHeight w:val="234"/>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172,728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157,146</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128,082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118,079</w:t>
            </w:r>
          </w:p>
        </w:tc>
        <w:tc>
          <w:tcPr>
            <w:tcW w:w="24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44,646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39,067</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14,939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15,259</w:t>
            </w:r>
          </w:p>
        </w:tc>
        <w:tc>
          <w:tcPr>
            <w:tcW w:w="2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8,783</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9,047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7,043</w:t>
            </w:r>
          </w:p>
        </w:tc>
        <w:tc>
          <w:tcPr>
            <w:tcW w:w="24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31,085</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11,725</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7,982</w:t>
            </w:r>
          </w:p>
        </w:tc>
        <w:tc>
          <w:tcPr>
            <w:tcW w:w="24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77"/>
        </w:trPr>
        <w:tc>
          <w:tcPr>
            <w:tcW w:w="4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spacing w:after="0"/>
              <w:rPr>
                <w:sz w:val="23"/>
                <w:szCs w:val="23"/>
                <w:color w:val="auto"/>
              </w:rPr>
            </w:pPr>
          </w:p>
        </w:tc>
      </w:tr>
      <w:tr>
        <w:trPr>
          <w:trHeight w:val="277"/>
        </w:trPr>
        <w:tc>
          <w:tcPr>
            <w:tcW w:w="4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8,051</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3,566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2,512</w:t>
            </w:r>
          </w:p>
        </w:tc>
        <w:tc>
          <w:tcPr>
            <w:tcW w:w="24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44,244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44,079</w:t>
            </w:r>
          </w:p>
        </w:tc>
        <w:tc>
          <w:tcPr>
            <w:tcW w:w="2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44,461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44,141</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77"/>
        </w:trPr>
        <w:tc>
          <w:tcPr>
            <w:tcW w:w="4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459"/>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5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30,</w:t>
            </w: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29, 2017</w:t>
            </w: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77"/>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84"/>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3"/>
                <w:szCs w:val="23"/>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20"/>
                <w:szCs w:val="20"/>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4,606</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2311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11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Equity in loss of affiliate</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equity investment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investing activities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3,007</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32,623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26,868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29,778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1,586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1" w:right="259" w:bottom="1029"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1029"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("GAAP")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The balance sheet at April 29, 2017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April 29, 2017,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to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three months ended July 29, 2017 and July 30, 2016 contained operating results for 13-weeks, respectively.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amount of investments accounted for under the equity method was $3,200 and $2,678 at July 29, 2017 and April 29, 2017, respectively. The equity method requires us to report our share of losses up to our equity investment amount. Cash paid for investments in affiliates is included in the "Purchases of equity investment" line item in our consolidated statements of cash flows. Our proportional share of the respective affiliate’s earnings or losses is included in the "Other income (expense), net" line item in our consolidated statements of operations. As of the three months ended July 29, 2017, our share of the losses of our affiliates was $85.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at July 29, 2017 and April 29, 2017, respectively. There have not been any identified events or changes in circumstances that may have a significant adverse effect on their fair value, and it is not practical to estimate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("FASB") issued Accounting Standards Update ("ASU") 2017-04,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(Topic 350), </w:t>
      </w:r>
      <w:r>
        <w:rPr>
          <w:rFonts w:ascii="Arial" w:cs="Arial" w:eastAsia="Arial" w:hAnsi="Arial"/>
          <w:sz w:val="17"/>
          <w:szCs w:val="17"/>
          <w:color w:val="auto"/>
        </w:rPr>
        <w:t>which simplifies the subsequent measurement of goodwill by removing the second step of the two-step impairment test. The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Early adoption is permitted for interim or annual goodwill impairment tests performed on testing dates after January 1, 2017. We are currently evaluating the effect that adopting ASU 2017-04 will have on our consolidated results of operations, cash flows, and financial position.</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is intended to improve the accounting for the income tax consequences of intra-entity transfers of assets other than inventory. Current U.S. GAAP prohibits the recognition of current and deferred income taxes for an intra-entity asset transfer until the asset has been sold to an outside party, which is an exception to the principle of comprehensive recognition of current and deferred income taxes in U.S. GAAP. This update eliminates the exception by requiring entities to recognize the income tax consequences of an intra-entity transfer of an asset other than inventory when the transfer occurs. ASU 2016-16 is effective for interim and annual periods beginning after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15, 2017, with early adoption permitted. We are currently evaluating the effect that adopting ASU 2016-16 will have on our consolidated financial statements and related disclosures.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We are currently evaluating the effect that adopting ASU 2016-13 will have on our consolidated financial statements and related disclosures.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ASU 2016-02 requires lessors to account for leases using an approach that is substantially equivalent to existing guidance for sales-type leases, direct financing leases and operating leases. ASU 2016-02 is effective for interim and annual periods beginning after December 15, 2018, with early adoption permitted. We are currently evaluating the effect that adopting ASU 2016-02 will have on our consolidated results of operations, cash flows, and financial position.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2016-12, and 2016-20 to clarify guidance with respect to principal versus agent considerations and the identification of performance obligations and licensing, to issue guidance on certain narrow areas, and to add practical expedients. We will adopt ASU 2014-09 and related guidance during the first quarter of fiscal 2019. We have commenced a process to evaluate the impact of ASU 2014-09 on our contracts, including identifying potential differences that would result from applying the requirements of ASU 2014-09. In fiscal 2017, we made progress in reviewing our various types of revenue arrangements. We have also started drafting accounting policies and evaluating the disclosure requirements of ASU 2014-09 on our business processes, controls and systems. We plan to finalize this work during fiscal 2018 and provide training to those impacted in the organization. As a result of the review performed to date, we do not anticipate that the adoption will significantly change the timing or amount of revenue recognized. Therefore, we do not anticipate that the adoption of the standard will materially impact our consolidated results of operations and financial statements, other than the additional disclosure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and common share amounts used in the calculation of basic and diluted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29, 2017 and July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29, 2017</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44,244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30, 2016</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44,079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44,141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1,580 shares of common stock with a weighted average exercise price of $12.48 for the three months ended July 29, 2017 and 2,603 shares of common stock with a weighted average exercise price of $13.50 for the three months ended July 30, 2016 were not included in the computation of diluted (loss)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Share Repurchase Program</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the three months ended July 29, 2017, we had no repurchases of shares of our outstanding common stock. During the three months ended July 30, 2016, we repurchased 284 shares of common stock at a total cost of $1,825. As of July 29, 2017, we had $38,175 of remaining capacity under our current share repurchase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and European transportation related products.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segment reporting presents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of our Annual Report on Form 10-K for the fiscal year ended April 29, 2017.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operating segments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36,254</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77,612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18,912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14,862</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172,728</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157,146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13,737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5,908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29,707</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9,047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11,995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3,566</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8,429</w:t>
            </w:r>
          </w:p>
        </w:tc>
        <w:tc>
          <w:tcPr>
            <w:tcW w:w="2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5,539</w:t>
            </w: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2" w:right="1440"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62"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July 29,</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22860</wp:posOffset>
            </wp:positionV>
            <wp:extent cx="883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29,</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22860</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00" w:space="720"/>
            <w:col w:w="40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62,425</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4,324</w:t>
            </w:r>
          </w:p>
        </w:tc>
      </w:tr>
      <w:tr>
        <w:trPr>
          <w:trHeight w:val="27"/>
        </w:trPr>
        <w:tc>
          <w:tcPr>
            <w:tcW w:w="5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July 29, 2017,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2017 and April 29, 2017,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29, 2017</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7,667</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6,333</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25,028</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12,487</w:t>
            </w:r>
          </w:p>
        </w:tc>
        <w:tc>
          <w:tcPr>
            <w:tcW w:w="2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12,260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7,574</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32,721</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three months ended July 29, 2017 and July 30, 2016, the reclassifications from accumulated other comprehensive loss to earnings were immaterial.</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July 29,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6,645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7,643</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w:t>
            </w:r>
          </w:p>
        </w:tc>
      </w:tr>
      <w:tr>
        <w:trPr>
          <w:trHeight w:val="237"/>
        </w:trPr>
        <w:tc>
          <w:tcPr>
            <w:tcW w:w="5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10,214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14,806</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25,020</w:t>
            </w:r>
          </w:p>
        </w:tc>
      </w:tr>
      <w:tr>
        <w:trPr>
          <w:trHeight w:val="27"/>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contingent liability related to a prior year acquisition of ADFLOW Networks, Inc. ("ADFLOW"), on March 15, 2016. For more information related to the ADFLOW acquisition, see Note 4. Business Combinations of our Annual Report on Form 10-K for the fiscal year ended April 30, 2016. The fair value of such contingent consideration is estimated as of the acquisition date, and subsequently at the end of each reporting period, using forecasted cash flows. Projecting future cash flows requires us to make significant estimates and assumptions regarding future events, conditions, or revenues being achieved under the subject contingent agreement as well as the appropriate discount rate. Such valuation techniques include one or more significant inputs that are not observable. See Note 12. Fair Value Measurement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July 29,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29,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8,271</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complete this annual analysis during our third quarter of each fiscal year, based on the goodwill amount as of the first business day of our third fiscal quarter. The result of our analysis indicated no goodwill impairment existed for our third quarter in fiscal 2017, which began on October 30,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28,525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10,479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35,408</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74,412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$2,612 and $2,610 at July 29, 2017 and April 29, 2017, respectively. Included in accounts receivable as of July 29, 2017 and April 29, 2017 was $1,724 and $1,857, respectively, of retainage on construction-type contracts, all of which is expected to be collected within one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$4,403 and $4,890 as of July 29, 2017 and April 29, 2017, respectively. Contract and lease receivables bearing annual interest rates of 4.8 to 10.0 percent are due in varying annual installments through August 2024. The face amount of long-term receivables was $4,753 and $5,201 as of July 29, 2017 and April 29,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29, 2017 and April 29, 2017, we did not believe there was a reasonable probability that any material loss for these various claims or legal actions, including reviews, inspections or other legal proceedings, if any, would be incurred. Accordingly, no material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contractual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2016, we discovered a warranty issue caused by a mechanical device failure within a module for displays primarily in our OOH applications built prior to fiscal 2013. The device failure causes a visual defect in the display. Over the past three years, we have deployed preventative maintenance to sites impacted and repaired the defective devices in our repair center. When certain site locations have exceeded an acceptable failure rate, we have refurbished the display to meet customers’ expectations under contractual obligations. We increased our accrued warranty obligations by $783 during the three months ended July 29, 2017, $1,766 during fiscal 2017, $9,174 during fiscal 2016, and $1,168 during fiscal 2015 for probable and reasonably estimable costs to remediate this issue. As of July 29, 2017, we had $2,776 remaining in accrued warranty obligations for the estimate of probable future claims related to this issue. Although many of our contractual warranty arrangements are nearing expiration for products with this issue, we may incur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three months ended July 29,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27,899</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4,128</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1,219</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29,753</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July 29, 2017, we had outstanding letters of credit and surety bonds in the amount of $8,914 and $21,590,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$853 and $849 for the three months ended July 29, 2017 and July 30, 2016,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July 29,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July 29, 2017, we were obligated under the following conditional and unconditional purchase commitments, which included $375 in conditional purchase commitments: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examinations by the Internal Revenue Service on prior years and the expiration of statutes of limitations, our fiscal years 2014, 2015, and 2016 are the remaining years open under statutes of limitations. Certain subsidiaries are also subject to income tax in several foreign jurisdictions which have open tax years varying by jurisdiction beginning in fiscal 2007.</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2017, we had $3,265 of unrecognized tax benefits which would reduce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July 29, 2017 and April 29, 2017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29, 2017</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27,090</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24,449</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50,535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32,623</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7,588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33,239</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32,100</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5"/>
              </w:rPr>
              <w:t>A roll forward of the Level 3 contingent liability, both short- and long-term, for the three months ended July 29, 2017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29, 2017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liability as of July 29, 2017</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 of investment grade municipal bonds trading with sufficient frequency and volume to enable us to obtain pricing information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13. Derivative Financial Instruments" for more information regarding our derivatives.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Contingent liability</w:t>
      </w:r>
      <w:r>
        <w:rPr>
          <w:rFonts w:ascii="Arial" w:cs="Arial" w:eastAsia="Arial" w:hAnsi="Arial"/>
          <w:sz w:val="16"/>
          <w:szCs w:val="16"/>
          <w:color w:val="auto"/>
        </w:rPr>
        <w:t>: Consists of the fair value of a liability measured on expected future payments relating to a business acquisition if future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measures are achieved. The contingent liability was calculated by estimating the discounted present value of expected future payments for estimated performance measure attainment. To estimate future performance measure attainment, we utilized significant unobservable inputs as of July 29, 2017 and April 29, 2017. The unobservable inputs included management expectations and forecasts for business performance and an estimated discount rate based on current borrowing interest rates. To the extent that these assumptions changed or actual results differed from these estimates, the fair value of the contingent consideration liabilities could change. The contingent liability is presented in other long-term obligations in our consolidated balance sheets.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plant and equipment are measured at fair value on a nonrecurring basis and are subject to fair value adjustments in certain circumstances, such as when there is evidence of impairment.</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Other measurements using fair value</w:t>
      </w:r>
      <w:r>
        <w:rPr>
          <w:rFonts w:ascii="Arial" w:cs="Arial" w:eastAsia="Arial" w:hAnsi="Arial"/>
          <w:sz w:val="16"/>
          <w:szCs w:val="16"/>
          <w:color w:val="auto"/>
        </w:rPr>
        <w:t>: Some of our financial instruments, such as accounts receivable, long-term receivables, prepaid expense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costs and earnings in excess of billings and billings in excess of costs, accounts payable, warranty obligations, customer deposits, deferred revenue, and other long-term obligations, are reflected in the balance sheet at carrying value, which approximates fair value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July 29, 2017 and April 29, 2017,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July 29, 2017 and April 29, 2017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900"/>
              <w:spacing w:after="0"/>
              <w:rPr>
                <w:sz w:val="20"/>
                <w:szCs w:val="20"/>
                <w:color w:val="auto"/>
              </w:rPr>
            </w:pPr>
            <w:r>
              <w:rPr>
                <w:rFonts w:ascii="Arial" w:cs="Arial" w:eastAsia="Arial" w:hAnsi="Arial"/>
                <w:sz w:val="18"/>
                <w:szCs w:val="18"/>
                <w:b w:val="1"/>
                <w:bCs w:val="1"/>
                <w:color w:val="auto"/>
              </w:rPr>
              <w:t>July 29, 2017</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29, 2017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July 29, 2017, there was an asset and liability of $31 and $602, respectively, and as of April 29, 2017, there was an asset and liability of $64 and $277, respectively, representing the fair value of foreign currency exchange forward contracts, which were determined using Level 2 inputs from a third-party bank.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31, 2017, our Board of Directors declared a regular quarterly dividend of $0.07 per share on our common stock payable on September 21, 2017 to holders of record of our common stock on September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29, 2017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highlights the principal factors impacting our financial condition and further describes our results of operations. This discussion should be read in conjunction with the accompanying Consolidated Financial Statements and Notes to the Consolidated Financial Statements included in this Report.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4. Segment Disclosure" of the Notes to the Consolidated Financial Statements included elsewhere in this Report.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several displays, controllers, and subcontracted structure builds, each of which can occur on varied schedules per the customer's needs. Net sales and gross profit percentages also have fluctuated due to other seasonal factors, including the impact of holidays, which primarily affects our third fiscal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backlog consists of contractually binding sales agreements or purchase orders we expect to fill within the next 24 months. Orders are booked and included in backlog only upon receipt of an executed contract and any required deposits. As a result, certain orders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which we have received binding letters of intent or contracts will not be booked until all required contractual documents and deposits are received. In addition, order bookings can vary significantly on a quarterly basis as a result of the timing of large orders. Because order backlog may be subject to extended delivery schedules, orders may be canceled, and orders have varied estimated profitability, our backlog is not necessarily indicative of future net sales or net income. Backlog can fluctuate due to large order booking timing and seasonality. Backlog is not a measure defined by GAAP, and our methodology for determining backlog may vary from the methodology used by other companies in determining their backlog amounts.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 dollar revenue potential also attract competition, which generally reduces profitability.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4. Segment Disclosure" of the Notes to the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JULY 29, 2017 AND JULY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77,612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60,633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16,979</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14,286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4,626</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172,728</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157,146</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15,582</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29,937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45,068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(15,131)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61,605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52,880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31,113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34,192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(14,102)</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175,168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(22,087)</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the three months ended July 29, 2017 compared to the same period one year ago was primarily due to a decline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billboard niche market demand, partially offset by an increase in large spectacular projects.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orders for the three months ended July 29, 2017 compared to the same period one year ago was the net result of volatility in order timing of large custom projects in the spectacular niche and lower market demand in the billboard niche compared to last year. Comparability of quarter over quarter is difficult due to the uniqueness of the projects in the market.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July 29, 2017 compared to the same period one year ago was primarily due to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and the timing of the demand for upgraded or new solutions for arenas, professional sports, and colleges and universities.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July 29, 2017 compared to the same period one year ago due to increased projects in college and university venues and professional sport arenas.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increase in net sales for the three months ended July 29, 2017 compared to the same period one year ago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shipments of scoring systems and message centers due to increased market activity and timing of customer demand.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July 29, 2017 compared to the same period one year ago due to strong market demand for scoring systems and message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three months ended July 29, 2017 compared to the same period one year ago increased due to higher demand from 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authorities.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July 29, 2017 compared to the same period one year ago decreased primarily due to variability caused by large order timing.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July 29, 2017 compared to the same period one year ago decreased primarily due to lower volume of</w:t>
      </w:r>
      <w:r>
        <w:rPr>
          <w:rFonts w:ascii="Arial" w:cs="Arial" w:eastAsia="Arial" w:hAnsi="Arial"/>
          <w:sz w:val="18"/>
          <w:szCs w:val="18"/>
          <w:i w:val="1"/>
          <w:iCs w:val="1"/>
          <w:color w:val="auto"/>
        </w:rPr>
        <w:t xml:space="preserve"> </w:t>
      </w:r>
      <w:r>
        <w:rPr>
          <w:rFonts w:ascii="Arial" w:cs="Arial" w:eastAsia="Arial" w:hAnsi="Arial"/>
          <w:sz w:val="18"/>
          <w:szCs w:val="18"/>
          <w:color w:val="auto"/>
        </w:rPr>
        <w:t>orders.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Orders decreased for the three months ended July 29, 2017 compared to the same period one year ago primarily due the volatility of large order timing.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July 29, 2017 was $184 million as compared to $198 million as of July 30, 2016 and $203 million at the end of the fourth quarter of fiscal 2017. Historically, our backlog varies due to the seasonality of our business, the timing of large projects, and customer delivery schedules for these orders. The backlog as of July 29, 2017 increased from July 30, 2016 in our High School Park and Recreation and Transportation business units and decreased in our Commercial, Live Events and International business units.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660"/>
              <w:spacing w:after="0"/>
              <w:rPr>
                <w:sz w:val="20"/>
                <w:szCs w:val="20"/>
                <w:color w:val="auto"/>
              </w:rPr>
            </w:pPr>
            <w:r>
              <w:rPr>
                <w:rFonts w:ascii="Arial" w:cs="Arial" w:eastAsia="Arial" w:hAnsi="Arial"/>
                <w:sz w:val="18"/>
                <w:szCs w:val="18"/>
                <w:b w:val="1"/>
                <w:bCs w:val="1"/>
                <w:color w:val="auto"/>
              </w:rPr>
              <w:t>July 29, 2017</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720"/>
              <w:spacing w:after="0"/>
              <w:rPr>
                <w:sz w:val="20"/>
                <w:szCs w:val="20"/>
                <w:color w:val="auto"/>
              </w:rPr>
            </w:pPr>
            <w:r>
              <w:rPr>
                <w:rFonts w:ascii="Arial" w:cs="Arial" w:eastAsia="Arial" w:hAnsi="Arial"/>
                <w:sz w:val="18"/>
                <w:szCs w:val="18"/>
                <w:b w:val="1"/>
                <w:bCs w:val="1"/>
                <w:color w:val="auto"/>
              </w:rPr>
              <w:t>July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25.2%</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25.3%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17,054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12,176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20.1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36.3</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9,460</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34.3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6,945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36.7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33.9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13.6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18.7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44,646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39,067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goods sold. Cost of goods sold consist primarily of inventory, consumables, salaries, other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our gross profit percentage for the three months ended July 29, 2017 compared to the same period one year ago was primarily due to improved performance on large projects as compared to original estimates and improved productivity to achieve higher sales volumes at similar costs. The following describes the overall impact by business unit: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gross profit percent remained relatively flat for the three months ended July 29, 2017 compared to the same period one year ago.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three months ended July 29, 2017 compared to the same period one year ago was due to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large projects as compared to original estimates and improved productivity to achieve higher sales volumes at similar costs, offset by higher warranty expenses as a percent of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three months ended July 29, 2017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improved productivity to achieve higher sales volumes on similar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three months ended July 29, 2017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increased volume of sales</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three months ended July 29, 2017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sales volumes over a relatively fixed cost structure and higher warranty expenses as a percent of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29, 2017</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July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3,318</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3,286</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22.1</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15,259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 in our High School Park and Recreation business unit increased in the first quarter of fiscal 2018 compared to the same quarter a year ago, which was mainly related to increases in personnel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expense in our Transportation and International business units declined in the first quarter of fiscal 2018 compared to the same quarter a year ago due to lower personnel related costs, lower bad debt expense and third-party commissions that had been incurred in the first quarter of fiscal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 in our Commercial and Live Events business units for the first quarter of fiscal 2018 remained relatively flat compared to the same quarter a year ago.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July 29, 2017</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July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9,047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7,043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first quarter of fiscal 2018 increased as compared to the same period one year ago primarily due to increases in personnel expenses and information technology software and hardware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professional services, facilities costs and equipment-related costs and supplies. Product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improved quality and reliability, and improved cost points. We plan to make continued investments in our software and controller capabilities throughout our varied product offerings. Through all design efforts, we focus on standardizing display components and control systems for both single site and network displays.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professional services, materials costs and the overhead of our engineering departments. Generally, a significant portion of our engineering time is spent on product development, while the rest is allocated to large contract work and is included in cost of goods sold.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expenses in the first quarter of fiscal 2018 increased as compared to the same period one year ago primarily due to increased labor costs and professional services assigned to product development projects relating to our strategy to accelerate the deployment of our products and solutions to the market. To deliver value to our customers and serve the markets' expectations, we plan to increase the level of expenditures for new or enhanced customer solutions as compared to prior years during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640"/>
              <w:spacing w:after="0"/>
              <w:rPr>
                <w:sz w:val="20"/>
                <w:szCs w:val="20"/>
                <w:color w:val="auto"/>
              </w:rPr>
            </w:pPr>
            <w:r>
              <w:rPr>
                <w:rFonts w:ascii="Arial" w:cs="Arial" w:eastAsia="Arial" w:hAnsi="Arial"/>
                <w:sz w:val="18"/>
                <w:szCs w:val="18"/>
                <w:b w:val="1"/>
                <w:bCs w:val="1"/>
                <w:color w:val="auto"/>
              </w:rPr>
              <w:t>July 29, 2017</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July 30, 2016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in the first quarter of fiscal 2018 compared to the same period one year ago decreased as a result of lower long-term receivables which bear imputed interest rates.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first quarter of fiscal 2018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was 29.7 percent for the first quarter of fiscal 2018 as compared to an effective tax rate of 31.2 percent for the first quarter of fiscal 2017. The substantial factor impacting our effective rate was due to an increase in our expected research and development tax credit due to an increase in activity within product development.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gridSpan w:val="4"/>
          </w:tcPr>
          <w:p>
            <w:pPr>
              <w:ind w:left="140"/>
              <w:spacing w:after="0"/>
              <w:rPr>
                <w:sz w:val="20"/>
                <w:szCs w:val="20"/>
                <w:color w:val="auto"/>
              </w:rPr>
            </w:pPr>
            <w:r>
              <w:rPr>
                <w:rFonts w:ascii="Arial" w:cs="Arial" w:eastAsia="Arial" w:hAnsi="Arial"/>
                <w:sz w:val="18"/>
                <w:szCs w:val="18"/>
                <w:b w:val="1"/>
                <w:bCs w:val="1"/>
                <w:color w:val="auto"/>
                <w:w w:val="90"/>
              </w:rPr>
              <w:t>Three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14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6,598</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20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operating activities was $4.9 million for the first three months of fiscal 2018 compared to net cash provided by operating activities of $6.6 million in the first three months of fiscal 2017. Cash flow from operating activities fluctuated due to a rise in accounts receivable corresponding with the increase in net sales. The $11.5 million decrease in cash from operating activities from the first three months of fiscal 2017 to the first three months of fiscal 2018 was the net result of changes in net operating assets and liabilities of $14.3 million, a $0.1 million decrease in depreciation and amortization, a $0.1 million decrease in other non-cash items, net, adjusted by an increase of $0.1 million equity losses of an affiliate and a $2.9 million increase in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29,</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(22,035)</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(7,878)</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(19,972)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696</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 receivables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Increase (decrease):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4,732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Customer deposits (billed or collected)</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3,904</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507</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warranty obligations</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1,347</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Deferred revenue (billed or collected)</w:t>
            </w:r>
          </w:p>
        </w:tc>
        <w:tc>
          <w:tcPr>
            <w:tcW w:w="2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1,533</w:t>
            </w:r>
          </w:p>
        </w:tc>
        <w:tc>
          <w:tcPr>
            <w:tcW w:w="2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7"/>
        </w:trPr>
        <w:tc>
          <w:tcPr>
            <w:tcW w:w="68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(18,586)</w:t>
            </w:r>
          </w:p>
        </w:tc>
        <w:tc>
          <w:tcPr>
            <w:tcW w:w="2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0"/>
        </w:trPr>
        <w:tc>
          <w:tcPr>
            <w:tcW w:w="68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short-term fluctuations in inventory, accounts receivables, accounts payable, customer deposits, costs and earnings in excess of billings, and various other operating assets and liabilities. Variability in costs and earnings in excess of billings and billings in excess of costs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Net cash provided by investing activities: </w:t>
      </w:r>
      <w:r>
        <w:rPr>
          <w:rFonts w:ascii="Arial" w:cs="Arial" w:eastAsia="Arial" w:hAnsi="Arial"/>
          <w:sz w:val="17"/>
          <w:szCs w:val="17"/>
          <w:color w:val="auto"/>
        </w:rPr>
        <w:t>Net cash provided by investing activities totaled $3.0 million in the first three months of fiscal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$2.4 million in the first three months of fiscal 2017. The change in the amount of cash from investing activities was primarily the result of a net increase in the maturities of marketable securities of $3.2 million in the first three months of fiscal 2018 as compared to the first three months of fiscal 2017. Purchases of property and equipment totaled $4.1 million in the first three months of fiscal 2018 compared to $2.2 million in the first three months of fiscal 2017. A cash outlay of $0.6 million was recognized during the first three months of fiscal 2018 for equity investments.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$3.9 million for the three months ended July 29, 2017 compared to $7.1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Dividends of $3.1 million, or $0.07 per share, were paid to Daktronics shareholders during the first three months of fiscal 2018, as compared to dividends of $4.4 million, or $0.10 per share, paid to Daktronics shareholders during the first three months of fiscal 2017. In the first quarter of fiscal 2017, we used $1.8 million to purchase our common shares as part of the $40.0 million share repurchase plan authorized by the Board of Directors, and there have been no purchases in the three months ended July 29,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$10.2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July 29, 2017, which we expect to collect within one year.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Working capital was $137.2 million and $127.1 million at July 29, 2017 and April 29, 2017, respectively. The changes in working capital, particularly changes in accounts receivable, accounts payable, inventory, and costs in excess of billings and billings in excess of costs,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U.S. GAAP. The effective interest rate was 2.7 percent at July 29, 2017. We are assessed a loan fee equal to 0.125 percent per annum on any unused portion of the loan. As of July 29, 2017, there were no advances to us under the loan portion of the line of credit, and the balance of letters of credit outstanding was approximately $5.5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(with the exception of any U.S. bank approved special cash dividend), a capital expenditure reserve of $6 million, and income tax expenses paid in cash, but excluding cash used to repurchase any Daktronics, Inc. stock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$40.0 million. The interest rate is equal to LIBOR plus 1.5 percent. We are assessed a fixed loan fee of $5 thousand per quarter. As of July 29, 2017, there were no advances outstanding under the loan agreement and approximately $3.4 million in bank guarantees under this line of credit.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2017, we were in compliance with all applicable bank loan covenants.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 paid since the prior fiscal year end of April 29,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040" w:type="dxa"/>
            <w:vAlign w:val="bottom"/>
          </w:tcPr>
          <w:p>
            <w:pPr>
              <w:ind w:left="36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2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June 13, 2017</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23, 2017</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43"/>
        </w:trPr>
        <w:tc>
          <w:tcPr>
            <w:tcW w:w="1580" w:type="dxa"/>
            <w:vAlign w:val="bottom"/>
          </w:tcPr>
          <w:p>
            <w:pPr>
              <w:ind w:left="40"/>
              <w:spacing w:after="0"/>
              <w:rPr>
                <w:sz w:val="20"/>
                <w:szCs w:val="20"/>
                <w:color w:val="auto"/>
              </w:rPr>
            </w:pPr>
            <w:r>
              <w:rPr>
                <w:rFonts w:ascii="Arial" w:cs="Arial" w:eastAsia="Arial" w:hAnsi="Arial"/>
                <w:sz w:val="18"/>
                <w:szCs w:val="18"/>
                <w:color w:val="auto"/>
              </w:rPr>
              <w:t>August 31, 2017</w:t>
            </w:r>
          </w:p>
        </w:tc>
        <w:tc>
          <w:tcPr>
            <w:tcW w:w="2040" w:type="dxa"/>
            <w:vAlign w:val="bottom"/>
          </w:tcPr>
          <w:p>
            <w:pPr>
              <w:ind w:left="360"/>
              <w:spacing w:after="0"/>
              <w:rPr>
                <w:sz w:val="20"/>
                <w:szCs w:val="20"/>
                <w:color w:val="auto"/>
              </w:rPr>
            </w:pPr>
            <w:r>
              <w:rPr>
                <w:rFonts w:ascii="Arial" w:cs="Arial" w:eastAsia="Arial" w:hAnsi="Arial"/>
                <w:sz w:val="18"/>
                <w:szCs w:val="18"/>
                <w:color w:val="auto"/>
              </w:rPr>
              <w:t>September 11, 2017</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22, 2017</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July 29, 2017, we had $21.6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$20 million for fiscal 2018 for purchases of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July 29, 2017, most of our net sales were denominated in U.S. dollars, and our exposure to foreign currency exchange rate changes on net sales had not been significant. For the three months ended July 29, 2017, net sales originating outside the United States were 10.8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total net sales and, consequently, a greater portion of our business could be denominated in foreign currencies. In addition, we may fund our foreign subsidiaries’ operating cash needs in the form of loans denominated in U.S. dollars.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We estimate that a 10 percent change in all foreign exchange rates would impact our reported income before taxes by approximately $0.5 million.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contracts with customers denominated in a foreign currency. The notional amount of these derivatives is $9.6 million, and all contracts mature within 12 months. These contracts are marked to market each balance sheet date and are not designated as hedges. See "Note 13. Derivative Financial Instruments" of the Notes to the Consolidated Financial Statements included elsewhere in this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July 29, 2017, our outstanding marketing obligations were $0.5 million, all of which were in fixed rate obligations.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July 29, 2017, our outstanding long-term receivables were $4.4 million. Each 25 basis point increase in interest rates would have an associated immaterial annual opportunity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$26.9 million in cash balances at July 29, 2017, $19.6 million were denominated in U.S. dollars. Cash balances in foreign currencies are operating balances maintained in accounts of our foreign subsidiaries. A portion of the cash held in foreign accounts is used to collateralize outstanding bank guarantees issued by our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believe that we have adequate sources of supply for most of our key materials.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29, 2017, which is the end of the period covered by this Report. Based upon that evaluation, the Chief Executive Officer and Chief Financial Officer concluded that as of July 29, 2017,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July 29, 2017,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29, 2017.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29, 2017,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September 1,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5">
        <w:r>
          <w:rPr>
            <w:rFonts w:ascii="Arial" w:cs="Arial" w:eastAsia="Arial" w:hAnsi="Arial"/>
            <w:sz w:val="16"/>
            <w:szCs w:val="16"/>
            <w:u w:val="single" w:color="auto"/>
            <w:color w:val="0000FF"/>
          </w:rPr>
          <w:t>Amended and Restated Articles of Incorporation of the Company (Incorporated by reference to Exhibit 3.1 filed with our Quarterly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10-Q on August 30, 2013).</w:t>
        </w:r>
      </w:hyperlink>
    </w:p>
    <w:p>
      <w:pPr>
        <w:spacing w:after="0" w:line="49"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Exhibit 10.1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Amended and Restated Loan Agreement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reference to Exhibit 10.3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Continuing and Unconditional Guaranty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reference to Exhibit 10.4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Amended and Restated Loan Agreement dated May 5, 2017 by and between the Company and Bank of America, N.A. (Incorporated by reference</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to Exhibit 10.6 filed with our Annual Report on Form 10-K filed on June 9, 2017).</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Schedule 14A filed on July 14,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r:id="rId27">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7">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8-K on September 3, 2015).</w:t>
        </w:r>
      </w:hyperlink>
    </w:p>
    <w:p>
      <w:pPr>
        <w:spacing w:after="0" w:line="49" w:lineRule="exact"/>
        <w:rPr>
          <w:sz w:val="20"/>
          <w:szCs w:val="20"/>
          <w:color w:val="auto"/>
        </w:rPr>
      </w:pPr>
    </w:p>
    <w:p>
      <w:pPr>
        <w:ind w:left="720" w:right="220" w:hanging="688"/>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our Current Report 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160" w:hanging="688"/>
        <w:spacing w:after="0" w:line="277" w:lineRule="auto"/>
        <w:tabs>
          <w:tab w:leader="none" w:pos="70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3">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34">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700" w:val="left"/>
        </w:tabs>
        <w:rPr>
          <w:rFonts w:ascii="Arial" w:cs="Arial" w:eastAsia="Arial" w:hAnsi="Arial"/>
          <w:sz w:val="16"/>
          <w:szCs w:val="16"/>
          <w:u w:val="single" w:color="auto"/>
          <w:color w:val="0000FF"/>
        </w:rPr>
      </w:pPr>
      <w:hyperlink w:anchor="page35">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35">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6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36">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36">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jc w:val="both"/>
        <w:ind w:left="720" w:right="40" w:hanging="685"/>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July 29, 2017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29, 2017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9/1/2017</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29, 2017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9/1/2017</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29, 2017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9/1/2017</w:t>
      </w:r>
    </w:p>
    <w:p>
      <w:pPr>
        <w:sectPr>
          <w:pgSz w:w="11900" w:h="16838" w:orient="portrait"/>
          <w:cols w:equalWidth="0" w:num="1">
            <w:col w:w="11420"/>
          </w:cols>
          <w:pgMar w:left="240" w:top="58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29, 2017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9/1/2017</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5" Type="http://schemas.openxmlformats.org/officeDocument/2006/relationships/hyperlink" Target="http://www.sec.gov/Archives/edgar/data/915779/000091577913000093/dakt-20130427_ex31xaoi.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6000233/dakt_20161115xex101.htm" TargetMode="External"/><Relationship Id="rId19" Type="http://schemas.openxmlformats.org/officeDocument/2006/relationships/hyperlink" Target="http://www.sec.gov/Archives/edgar/data/915779/000091577916000233/dakt_20161115xex102.htm" TargetMode="External"/><Relationship Id="rId21" Type="http://schemas.openxmlformats.org/officeDocument/2006/relationships/hyperlink" Target="http://www.sec.gov/Archives/edgar/data/915779/000091577916000233/dakt_20161115xex103.htm" TargetMode="External"/><Relationship Id="rId22" Type="http://schemas.openxmlformats.org/officeDocument/2006/relationships/hyperlink" Target="http://www.sec.gov/Archives/edgar/data/915779/000091577916000233/dakt_20161115xex104.htm" TargetMode="External"/><Relationship Id="rId24" Type="http://schemas.openxmlformats.org/officeDocument/2006/relationships/hyperlink" Target="http://www.sec.gov/Archives/edgar/data/915779/000091577917000027/dakt_ex106x10-kx2017.htm" TargetMode="External"/><Relationship Id="rId25" Type="http://schemas.openxmlformats.org/officeDocument/2006/relationships/hyperlink" Target="http://www.sec.gov/Archives/edgar/data/915779/000091577915000046/dakt-20150501_defx14a.htm#s4b4ce7db85924a1dba35b799a722a4cd" TargetMode="External"/><Relationship Id="rId27" Type="http://schemas.openxmlformats.org/officeDocument/2006/relationships/hyperlink" Target="http://www.sec.gov/Archives/edgar/data/915779/000091577915000068/dakt_ex102x8-kxsomx2015.htm" TargetMode="External"/><Relationship Id="rId28" Type="http://schemas.openxmlformats.org/officeDocument/2006/relationships/hyperlink" Target="http://www.sec.gov/Archives/edgar/data/915779/000091577915000068/dakt_ex103x8-kxsomx2015.htm" TargetMode="External"/><Relationship Id="rId30" Type="http://schemas.openxmlformats.org/officeDocument/2006/relationships/hyperlink" Target="http://www.sec.gov/Archives/edgar/data/915779/000091577915000068/dakt_ex104x8-kxsomx2015.htm" TargetMode="External"/><Relationship Id="rId31"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2019-12-29T04:55:38Z</dcterms:created>
  <dcterms:modified xsi:type="dcterms:W3CDTF">2019-12-29T04:55:38Z</dcterms:modified>
</cp:coreProperties>
</file>