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51454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17145"/>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5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32" w:lineRule="exact"/>
        <w:rPr>
          <w:sz w:val="24"/>
          <w:szCs w:val="24"/>
          <w:color w:val="auto"/>
        </w:rPr>
      </w:pPr>
    </w:p>
    <w:p>
      <w:pPr>
        <w:jc w:val="center"/>
        <w:ind w:right="20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5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800" w:right="1440" w:bottom="0" w:gutter="0" w:footer="0" w:header="0"/>
        </w:sectPr>
      </w:pPr>
    </w:p>
    <w:p>
      <w:pPr>
        <w:spacing w:after="0" w:line="24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Filed by the Registrant</w:t>
      </w:r>
    </w:p>
    <w:p>
      <w:pPr>
        <w:spacing w:after="0" w:line="3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380"/>
            <w:col w:w="6839"/>
          </w:cols>
          <w:pgMar w:left="240" w:top="800" w:right="1440" w:bottom="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0219"/>
          </w:cols>
          <w:pgMar w:left="240" w:top="800" w:right="1440" w:bottom="0" w:gutter="0" w:footer="0" w:header="0"/>
          <w:type w:val="continuous"/>
        </w:sectPr>
      </w:pPr>
    </w:p>
    <w:p>
      <w:pPr>
        <w:spacing w:after="0" w:line="287"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760" w:hanging="65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Additional Materials</w:t>
      </w:r>
    </w:p>
    <w:p>
      <w:pPr>
        <w:spacing w:after="0" w:line="9"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(Name of Registrant as Specified in its Charter)</w:t>
      </w:r>
    </w:p>
    <w:p>
      <w:pPr>
        <w:spacing w:after="0" w:line="238"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w:t>
      </w:r>
    </w:p>
    <w:p>
      <w:pPr>
        <w:spacing w:after="0" w:line="15" w:lineRule="exact"/>
        <w:rPr>
          <w:sz w:val="24"/>
          <w:szCs w:val="24"/>
          <w:color w:val="auto"/>
        </w:rPr>
      </w:pPr>
    </w:p>
    <w:p>
      <w:pPr>
        <w:ind w:left="15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760" w:hanging="65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200" w:hanging="95"/>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Fee computed on table below per Exchange Act Rules 14a-6(i) and 0-11.</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320" w:right="2559" w:hanging="567"/>
        <w:spacing w:after="0" w:line="259" w:lineRule="auto"/>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computer pursuant to Exchange Act Rule 0-11 (set forth the amount on which the filing fee is calculated and state how it was determined):</w:t>
      </w:r>
    </w:p>
    <w:p>
      <w:pPr>
        <w:spacing w:after="0" w:line="221" w:lineRule="exact"/>
        <w:rPr>
          <w:rFonts w:ascii="Arial" w:cs="Arial" w:eastAsia="Arial" w:hAnsi="Arial"/>
          <w:sz w:val="18"/>
          <w:szCs w:val="18"/>
          <w:color w:val="auto"/>
        </w:rPr>
      </w:pPr>
    </w:p>
    <w:p>
      <w:pPr>
        <w:ind w:left="1320" w:hanging="567"/>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sz w:val="24"/>
          <w:szCs w:val="24"/>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17" w:lineRule="exact"/>
        <w:rPr>
          <w:sz w:val="24"/>
          <w:szCs w:val="24"/>
          <w:color w:val="auto"/>
        </w:rPr>
      </w:pPr>
    </w:p>
    <w:p>
      <w:pPr>
        <w:ind w:left="760" w:right="2239" w:hanging="655"/>
        <w:spacing w:after="0" w:line="259" w:lineRule="auto"/>
        <w:tabs>
          <w:tab w:leader="none" w:pos="21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320" w:hanging="567"/>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320" w:hanging="567"/>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DAKTRONICS, INC.</w:t>
      </w:r>
    </w:p>
    <w:p>
      <w:pPr>
        <w:spacing w:after="0" w:line="4" w:lineRule="exact"/>
        <w:rPr>
          <w:sz w:val="24"/>
          <w:szCs w:val="24"/>
          <w:color w:val="auto"/>
        </w:rPr>
      </w:pPr>
    </w:p>
    <w:p>
      <w:pPr>
        <w:jc w:val="center"/>
        <w:ind w:right="2099"/>
        <w:spacing w:after="0"/>
        <w:rPr>
          <w:sz w:val="20"/>
          <w:szCs w:val="20"/>
          <w:color w:val="auto"/>
        </w:rPr>
      </w:pPr>
      <w:r>
        <w:rPr>
          <w:rFonts w:ascii="Arial" w:cs="Arial" w:eastAsia="Arial" w:hAnsi="Arial"/>
          <w:sz w:val="22"/>
          <w:szCs w:val="22"/>
          <w:color w:val="auto"/>
        </w:rPr>
        <w:t>201 Daktronics Drive</w:t>
      </w:r>
    </w:p>
    <w:p>
      <w:pPr>
        <w:jc w:val="center"/>
        <w:ind w:right="2099"/>
        <w:spacing w:after="0"/>
        <w:rPr>
          <w:sz w:val="20"/>
          <w:szCs w:val="20"/>
          <w:color w:val="auto"/>
        </w:rPr>
      </w:pPr>
      <w:r>
        <w:rPr>
          <w:rFonts w:ascii="Arial" w:cs="Arial" w:eastAsia="Arial" w:hAnsi="Arial"/>
          <w:sz w:val="22"/>
          <w:szCs w:val="22"/>
          <w:color w:val="auto"/>
        </w:rPr>
        <w:t>Brookings, South Dakota 57006</w:t>
      </w:r>
    </w:p>
    <w:p>
      <w:pPr>
        <w:spacing w:after="0" w:line="22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BE HELD ON WEDNESDAY, AUGUST 26, 2009</w:t>
      </w:r>
    </w:p>
    <w:p>
      <w:pPr>
        <w:spacing w:after="0" w:line="246" w:lineRule="exact"/>
        <w:rPr>
          <w:sz w:val="24"/>
          <w:szCs w:val="24"/>
          <w:color w:val="auto"/>
        </w:rPr>
      </w:pPr>
    </w:p>
    <w:p>
      <w:pPr>
        <w:jc w:val="both"/>
        <w:ind w:right="2099"/>
        <w:spacing w:after="0" w:line="306" w:lineRule="auto"/>
        <w:rPr>
          <w:sz w:val="20"/>
          <w:szCs w:val="20"/>
          <w:color w:val="auto"/>
        </w:rPr>
      </w:pPr>
      <w:r>
        <w:rPr>
          <w:rFonts w:ascii="Arial" w:cs="Arial" w:eastAsia="Arial" w:hAnsi="Arial"/>
          <w:sz w:val="16"/>
          <w:szCs w:val="16"/>
          <w:color w:val="auto"/>
        </w:rPr>
        <w:t>NOTICE IS HEREBY GIVEN that the Annual Meeting of Shareholders (the “Annual Meeting”) of Daktronics, Inc. (the “Company”) will be held at the Company’s headquarters, 201 Daktronics Drive, Brookings, South Dakota 57006 on Wednesday, August 26, 2009, at 7:00 p.m. Central Daylight Time, for the following purposes:</w:t>
      </w:r>
    </w:p>
    <w:p>
      <w:pPr>
        <w:spacing w:after="0" w:line="188"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Directors to serve for a three-year term that expires on the date of the Annual Meeting of</w:t>
      </w:r>
    </w:p>
    <w:p>
      <w:pPr>
        <w:sectPr>
          <w:pgSz w:w="11900" w:h="16838" w:orient="portrait"/>
          <w:cols w:equalWidth="0" w:num="1">
            <w:col w:w="10219"/>
          </w:cols>
          <w:pgMar w:left="240" w:top="800" w:right="1440" w:bottom="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8"/>
          <w:szCs w:val="18"/>
          <w:color w:val="auto"/>
        </w:rPr>
        <w:t>Shareholders in 2012 or until their successors are duly elected;</w:t>
      </w:r>
    </w:p>
    <w:p>
      <w:pPr>
        <w:spacing w:after="0" w:line="252" w:lineRule="exact"/>
        <w:rPr>
          <w:sz w:val="20"/>
          <w:szCs w:val="20"/>
          <w:color w:val="auto"/>
        </w:rPr>
      </w:pPr>
    </w:p>
    <w:p>
      <w:pPr>
        <w:ind w:left="340" w:right="2099" w:hanging="332"/>
        <w:spacing w:after="0" w:line="26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year 2010; and</w:t>
      </w:r>
    </w:p>
    <w:p>
      <w:pPr>
        <w:spacing w:after="0" w:line="212" w:lineRule="exact"/>
        <w:rPr>
          <w:rFonts w:ascii="Arial" w:cs="Arial" w:eastAsia="Arial" w:hAnsi="Arial"/>
          <w:sz w:val="18"/>
          <w:szCs w:val="18"/>
          <w:color w:val="auto"/>
        </w:rPr>
      </w:pPr>
    </w:p>
    <w:p>
      <w:pPr>
        <w:ind w:left="340" w:right="2099" w:hanging="332"/>
        <w:spacing w:after="0" w:line="26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13"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Only the shareholders of record of our common stock at the close of business on June 29, 2009 (the “Record Date”) are entitled to notice of and to vote at the Annual Meeting or any adjournment or postponement of the Annual Meeting. If an insufficient number of votes is present for a quorum or is cast to approve or ratify any of the foregoing proposals at the time of the Annual Meeting, the Annual Meeting may be adjourned or postponed to allow further solicitation of proxies by the Company.</w:t>
      </w:r>
    </w:p>
    <w:p>
      <w:pPr>
        <w:spacing w:after="0" w:line="218" w:lineRule="exact"/>
        <w:rPr>
          <w:sz w:val="20"/>
          <w:szCs w:val="20"/>
          <w:color w:val="auto"/>
        </w:rPr>
      </w:pPr>
    </w:p>
    <w:p>
      <w:pPr>
        <w:jc w:val="both"/>
        <w:ind w:right="2119"/>
        <w:spacing w:after="0" w:line="313" w:lineRule="auto"/>
        <w:rPr>
          <w:sz w:val="20"/>
          <w:szCs w:val="20"/>
          <w:color w:val="auto"/>
        </w:rPr>
      </w:pPr>
      <w:r>
        <w:rPr>
          <w:rFonts w:ascii="Arial" w:cs="Arial" w:eastAsia="Arial" w:hAnsi="Arial"/>
          <w:sz w:val="15"/>
          <w:szCs w:val="15"/>
          <w:b w:val="1"/>
          <w:bCs w:val="1"/>
          <w:color w:val="auto"/>
        </w:rPr>
        <w:t>All shareholders are invited to attend the Annual Meeting in person. However, to ensure your representation at the Annual Meeting, you are urged to vote as soon as possible. Shareholders may vote their shares over the Internet or via a toll-free telephone number. If shareholders have received a paper copy of a proxy card by mail, they may vote by completing, signing, dating and returning the proxy card as promptly as possible in the postage-prepaid envelope provided for that purpose. See the instructions on the proxy card for your vote options. Any shareholder attending the Annual Meeting has the right to revoke that shareholder’s proxy card and vote in person even if he or she has previously returned a proxy.</w:t>
      </w:r>
    </w:p>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Carla S. Gatzke</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Corporate Secretary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10, 2009</w:t>
      </w:r>
    </w:p>
    <w:p>
      <w:pPr>
        <w:spacing w:after="0" w:line="240" w:lineRule="exact"/>
        <w:rPr>
          <w:sz w:val="20"/>
          <w:szCs w:val="20"/>
          <w:color w:val="auto"/>
        </w:rPr>
      </w:pPr>
    </w:p>
    <w:p>
      <w:pPr>
        <w:jc w:val="both"/>
        <w:ind w:right="2099"/>
        <w:spacing w:after="0" w:line="258" w:lineRule="auto"/>
        <w:rPr>
          <w:sz w:val="20"/>
          <w:szCs w:val="20"/>
          <w:color w:val="auto"/>
        </w:rPr>
      </w:pPr>
      <w:r>
        <w:rPr>
          <w:rFonts w:ascii="Arial" w:cs="Arial" w:eastAsia="Arial" w:hAnsi="Arial"/>
          <w:sz w:val="18"/>
          <w:szCs w:val="18"/>
          <w:b w:val="1"/>
          <w:bCs w:val="1"/>
          <w:color w:val="auto"/>
        </w:rPr>
        <w:t>IMPORTANT: WHETHER OR NOT YOU PLAN TO ATTEND THE MEETING, PLEASE VOTE BY PHONE, BY INTERNET, OR IF YOU HAVE RECEIVED A PAPER COPY OF THE PROXY CARD, BY SIGNING, DATING AND RETURNING THE PROXY CARD AS PROMPTLY AS POSSIBLE IN THE ENVELOPE PROVIDED FOR THAT PURPOSE.</w:t>
      </w:r>
    </w:p>
    <w:p>
      <w:pPr>
        <w:spacing w:after="0" w:line="217" w:lineRule="exact"/>
        <w:rPr>
          <w:sz w:val="20"/>
          <w:szCs w:val="20"/>
          <w:color w:val="auto"/>
        </w:rPr>
      </w:pPr>
    </w:p>
    <w:p>
      <w:pPr>
        <w:jc w:val="both"/>
        <w:ind w:right="2119"/>
        <w:spacing w:after="0" w:line="339" w:lineRule="auto"/>
        <w:rPr>
          <w:sz w:val="20"/>
          <w:szCs w:val="20"/>
          <w:color w:val="auto"/>
        </w:rPr>
      </w:pPr>
      <w:r>
        <w:rPr>
          <w:rFonts w:ascii="Arial" w:cs="Arial" w:eastAsia="Arial" w:hAnsi="Arial"/>
          <w:sz w:val="16"/>
          <w:szCs w:val="16"/>
          <w:b w:val="1"/>
          <w:bCs w:val="1"/>
          <w:color w:val="auto"/>
        </w:rPr>
        <w:t>IMPORTANT NOTICE REGARDING AVAILABILITY OF PROXY MATERIALS FOR THE DAKTRONICS, INC. ANNUAL MEETING OF SHAREHOLDERS TO BE HELD ON AUGUST 26, 2009:</w:t>
      </w:r>
    </w:p>
    <w:p>
      <w:pPr>
        <w:spacing w:after="0" w:line="162"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 xml:space="preserve">This notice, the accompanying proxy statement and our fiscal year 2009 Annual Report to Shareholders, which includes our Annual Report on Form 10-K for the year ended May 2, 2009, are available at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Additionally, and in accordance with the rules of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shareholders may access these materials at the cookies-free website indicated in the Important Notice Regarding the Availability of Proxy Materials that you receive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51708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Daktronics, Inc.</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Table of Contents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74"/>
              </w:rPr>
              <w:t>Pages</w:t>
            </w:r>
          </w:p>
        </w:tc>
      </w:tr>
      <w:tr>
        <w:trPr>
          <w:trHeight w:val="466"/>
        </w:trPr>
        <w:tc>
          <w:tcPr>
            <w:tcW w:w="784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Procedural Matters</w:t>
              </w:r>
            </w:hyperlink>
          </w:p>
        </w:tc>
        <w:tc>
          <w:tcPr>
            <w:tcW w:w="280" w:type="dxa"/>
            <w:vAlign w:val="bottom"/>
            <w:gridSpan w:val="2"/>
          </w:tcPr>
          <w:p>
            <w:pPr>
              <w:ind w:left="1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784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Security Ownership of Certain Beneficial Owners and Management</w:t>
              </w:r>
            </w:hyperlink>
          </w:p>
        </w:tc>
        <w:tc>
          <w:tcPr>
            <w:tcW w:w="280" w:type="dxa"/>
            <w:vAlign w:val="bottom"/>
            <w:gridSpan w:val="2"/>
          </w:tcPr>
          <w:p>
            <w:pPr>
              <w:ind w:left="18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4760" w:type="dxa"/>
            <w:vAlign w:val="bottom"/>
            <w:tcBorders>
              <w:top w:val="single" w:sz="8" w:color="0000FF"/>
            </w:tcBorders>
            <w:gridSpan w:val="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Proposal One – Election of Directors</w:t>
              </w:r>
            </w:hyperlink>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1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6"/>
              </w:rPr>
            </w:pPr>
            <w:hyperlink w:anchor="page7">
              <w:r>
                <w:rPr>
                  <w:rFonts w:ascii="Arial" w:cs="Arial" w:eastAsia="Arial" w:hAnsi="Arial"/>
                  <w:sz w:val="18"/>
                  <w:szCs w:val="18"/>
                  <w:color w:val="0000FF"/>
                  <w:w w:val="86"/>
                </w:rPr>
                <w:t>Corporate Governance</w:t>
              </w:r>
            </w:hyperlink>
          </w:p>
        </w:tc>
        <w:tc>
          <w:tcPr>
            <w:tcW w:w="1000" w:type="dxa"/>
            <w:vAlign w:val="bottom"/>
            <w:tcBorders>
              <w:top w:val="single" w:sz="8" w:color="0000FF"/>
            </w:tcBorders>
            <w:gridSpan w:val="2"/>
          </w:tcPr>
          <w:p>
            <w:pPr>
              <w:spacing w:after="0"/>
              <w:rPr>
                <w:sz w:val="24"/>
                <w:szCs w:val="24"/>
                <w:color w:val="auto"/>
              </w:rPr>
            </w:pPr>
          </w:p>
        </w:tc>
        <w:tc>
          <w:tcPr>
            <w:tcW w:w="52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28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Fiscal Year 2009 Director Compensation</w:t>
              </w:r>
            </w:hyperlink>
          </w:p>
        </w:tc>
        <w:tc>
          <w:tcPr>
            <w:tcW w:w="49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7840" w:type="dxa"/>
            <w:vAlign w:val="bottom"/>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Section 16(a) Beneficial Ownership Reporting Compliance</w:t>
              </w:r>
            </w:hyperlink>
          </w:p>
        </w:tc>
        <w:tc>
          <w:tcPr>
            <w:tcW w:w="400" w:type="dxa"/>
            <w:vAlign w:val="bottom"/>
            <w:gridSpan w:val="4"/>
          </w:tcPr>
          <w:p>
            <w:pPr>
              <w:ind w:left="18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10</w:t>
              </w:r>
            </w:hyperlink>
          </w:p>
        </w:tc>
      </w:tr>
      <w:tr>
        <w:trPr>
          <w:trHeight w:val="20"/>
        </w:trPr>
        <w:tc>
          <w:tcPr>
            <w:tcW w:w="17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4160" w:type="dxa"/>
            <w:vAlign w:val="bottom"/>
            <w:gridSpan w:val="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Compensation Discussion and Analysis</w:t>
              </w:r>
            </w:hyperlink>
          </w:p>
        </w:tc>
        <w:tc>
          <w:tcPr>
            <w:tcW w:w="36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10</w:t>
              </w:r>
            </w:hyperlink>
          </w:p>
        </w:tc>
      </w:tr>
      <w:tr>
        <w:trPr>
          <w:trHeight w:val="20"/>
        </w:trPr>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2780" w:type="dxa"/>
            <w:vAlign w:val="bottom"/>
            <w:gridSpan w:val="5"/>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Executive Compensation</w:t>
              </w:r>
            </w:hyperlink>
          </w:p>
        </w:tc>
        <w:tc>
          <w:tcPr>
            <w:tcW w:w="50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14</w:t>
              </w:r>
            </w:hyperlink>
          </w:p>
        </w:tc>
      </w:tr>
      <w:tr>
        <w:trPr>
          <w:trHeight w:val="20"/>
        </w:trPr>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020" w:type="dxa"/>
            <w:vAlign w:val="bottom"/>
            <w:gridSpan w:val="6"/>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Compensation Committee Report</w:t>
              </w:r>
            </w:hyperlink>
          </w:p>
        </w:tc>
        <w:tc>
          <w:tcPr>
            <w:tcW w:w="160" w:type="dxa"/>
            <w:vAlign w:val="bottom"/>
          </w:tcPr>
          <w:p>
            <w:pPr>
              <w:spacing w:after="0"/>
              <w:rPr>
                <w:rFonts w:ascii="Arial" w:cs="Arial" w:eastAsia="Arial" w:hAnsi="Arial"/>
                <w:sz w:val="16"/>
                <w:szCs w:val="16"/>
                <w:color w:val="0000FF"/>
                <w:w w:val="78"/>
              </w:rPr>
            </w:pPr>
            <w:hyperlink w:anchor="page20">
              <w:r>
                <w:rPr>
                  <w:rFonts w:ascii="Arial" w:cs="Arial" w:eastAsia="Arial" w:hAnsi="Arial"/>
                  <w:sz w:val="16"/>
                  <w:szCs w:val="16"/>
                  <w:color w:val="0000FF"/>
                  <w:w w:val="78"/>
                </w:rPr>
                <w:t>20</w:t>
              </w:r>
            </w:hyperlink>
          </w:p>
        </w:tc>
        <w:tc>
          <w:tcPr>
            <w:tcW w:w="20" w:type="dxa"/>
            <w:vAlign w:val="bottom"/>
          </w:tcPr>
          <w:p>
            <w:pPr>
              <w:spacing w:after="0"/>
              <w:rPr>
                <w:sz w:val="17"/>
                <w:szCs w:val="17"/>
                <w:color w:val="auto"/>
              </w:rPr>
            </w:pPr>
          </w:p>
        </w:tc>
      </w:tr>
      <w:tr>
        <w:trPr>
          <w:trHeight w:val="20"/>
        </w:trPr>
        <w:tc>
          <w:tcPr>
            <w:tcW w:w="1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67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Proposal Two – Ratification of Appointment of Independent Registered Public Accounting Firm</w:t>
              </w:r>
            </w:hyperlink>
          </w:p>
        </w:tc>
        <w:tc>
          <w:tcPr>
            <w:tcW w:w="1240" w:type="dxa"/>
            <w:vAlign w:val="bottom"/>
          </w:tcPr>
          <w:p>
            <w:pPr>
              <w:spacing w:after="0"/>
              <w:rPr>
                <w:sz w:val="24"/>
                <w:szCs w:val="24"/>
                <w:color w:val="auto"/>
              </w:rPr>
            </w:pPr>
          </w:p>
        </w:tc>
        <w:tc>
          <w:tcPr>
            <w:tcW w:w="160" w:type="dxa"/>
            <w:vAlign w:val="bottom"/>
            <w:tcBorders>
              <w:bottom w:val="single" w:sz="8" w:color="0000FF"/>
            </w:tcBorders>
          </w:tcPr>
          <w:p>
            <w:pPr>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20</w:t>
              </w:r>
            </w:hyperlink>
          </w:p>
        </w:tc>
        <w:tc>
          <w:tcPr>
            <w:tcW w:w="20" w:type="dxa"/>
            <w:vAlign w:val="bottom"/>
          </w:tcPr>
          <w:p>
            <w:pPr>
              <w:spacing w:after="0"/>
              <w:rPr>
                <w:sz w:val="24"/>
                <w:szCs w:val="24"/>
                <w:color w:val="auto"/>
              </w:rPr>
            </w:pPr>
          </w:p>
        </w:tc>
      </w:tr>
      <w:tr>
        <w:trPr>
          <w:trHeight w:val="466"/>
        </w:trPr>
        <w:tc>
          <w:tcPr>
            <w:tcW w:w="8020" w:type="dxa"/>
            <w:vAlign w:val="bottom"/>
            <w:gridSpan w:val="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Audit Committee Report</w:t>
              </w:r>
            </w:hyperlink>
          </w:p>
        </w:tc>
        <w:tc>
          <w:tcPr>
            <w:tcW w:w="160" w:type="dxa"/>
            <w:vAlign w:val="bottom"/>
          </w:tcPr>
          <w:p>
            <w:pPr>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21</w:t>
              </w:r>
            </w:hyperlink>
          </w:p>
        </w:tc>
        <w:tc>
          <w:tcPr>
            <w:tcW w:w="20" w:type="dxa"/>
            <w:vAlign w:val="bottom"/>
          </w:tcPr>
          <w:p>
            <w:pPr>
              <w:spacing w:after="0"/>
              <w:rPr>
                <w:sz w:val="24"/>
                <w:szCs w:val="24"/>
                <w:color w:val="auto"/>
              </w:rPr>
            </w:pPr>
          </w:p>
        </w:tc>
      </w:tr>
      <w:tr>
        <w:trPr>
          <w:trHeight w:val="20"/>
        </w:trPr>
        <w:tc>
          <w:tcPr>
            <w:tcW w:w="1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33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Householding of Annual Disclosure Documents</w:t>
              </w:r>
            </w:hyperlink>
          </w:p>
        </w:tc>
        <w:tc>
          <w:tcPr>
            <w:tcW w:w="4640" w:type="dxa"/>
            <w:vAlign w:val="bottom"/>
            <w:gridSpan w:val="2"/>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r>
      <w:tr>
        <w:trPr>
          <w:trHeight w:val="466"/>
        </w:trPr>
        <w:tc>
          <w:tcPr>
            <w:tcW w:w="1560" w:type="dxa"/>
            <w:vAlign w:val="bottom"/>
            <w:tcBorders>
              <w:bottom w:val="single" w:sz="8" w:color="0000FF"/>
            </w:tcBorders>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Available Information</w:t>
              </w:r>
            </w:hyperlink>
          </w:p>
        </w:tc>
        <w:tc>
          <w:tcPr>
            <w:tcW w:w="6460" w:type="dxa"/>
            <w:vAlign w:val="bottom"/>
            <w:gridSpan w:val="5"/>
          </w:tcPr>
          <w:p>
            <w:pPr>
              <w:spacing w:after="0"/>
              <w:rPr>
                <w:sz w:val="24"/>
                <w:szCs w:val="24"/>
                <w:color w:val="auto"/>
              </w:rPr>
            </w:pPr>
          </w:p>
        </w:tc>
        <w:tc>
          <w:tcPr>
            <w:tcW w:w="160" w:type="dxa"/>
            <w:vAlign w:val="bottom"/>
            <w:tcBorders>
              <w:bottom w:val="single" w:sz="8" w:color="0000FF"/>
            </w:tcBorders>
          </w:tcPr>
          <w:p>
            <w:pPr>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22</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51708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DAKTRONICS, INC.</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FOR 2009 ANNUAL MEETING OF SHAREHOLDERS</w:t>
      </w:r>
    </w:p>
    <w:p>
      <w:pPr>
        <w:spacing w:after="0" w:line="24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PROCEDURAL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(the “Company”) for use at our Annual Meeting of Shareholders to be held on Wednesday, August 26, 2009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2009 Annual Report to Shareholders, are being made available to shareholders on the Internet or are being mailed on or about July 11, 2009 to all shareholders entitled to vote at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“Daktronics”, “Company”, “registrant”, “we”, “us” and “our” refer to Daktronics, Inc.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Shareholders of record at the close of business on June 29, 2009 (the “Record Date”) are entitled to notice of and to vote at the meeting. As of the Record Date, there were 40,776,594 shares of our common stock outstanding and entitled to vote held by 513 shareholders of record.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are making proxy materials for the Annual Meeting available over the Internet. As a result, we are mailing to the majority of our shareholders a notice about the Internet availability of the proxy materials instead of a paper copy of the proxy materials. The notice is entitled “Important Notice Regarding the Availability of Proxy Materials.” All shareholders receiving the notice will have the ability to access the proxy materials over the Internet and request to receive a paper copy of the proxy materials by mail. Instructions on how to access the proxy materials over the Internet or to request a paper copy may be found on the notice. Our proxy materials may also be accessed on our website at http://www.daktronics.comby selecting “Investors” and then “Proxy Materials.” We are providing some of our shareholders, including shareholders who have previously requested to receive paper copies of the proxy materials, with paper copies of the proxy materials instead of a notice about the Internet availability of the proxy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21"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Requirements</w:t>
      </w:r>
    </w:p>
    <w:p>
      <w:pPr>
        <w:sectPr>
          <w:pgSz w:w="11900" w:h="16838" w:orient="portrait"/>
          <w:cols w:equalWidth="0" w:num="1">
            <w:col w:w="10219"/>
          </w:cols>
          <w:pgMar w:left="240" w:top="351" w:right="1440" w:bottom="5" w:gutter="0" w:footer="0" w:header="0"/>
        </w:sectPr>
      </w:pPr>
    </w:p>
    <w:bookmarkStart w:id="3" w:name="page4"/>
    <w:bookmarkEnd w:id="3"/>
    <w:p>
      <w:pPr>
        <w:spacing w:after="0" w:line="12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w:t>
      </w:r>
    </w:p>
    <w:p>
      <w:pPr>
        <w:spacing w:after="0" w:line="22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The affirmative vote of a majority of the shares of common stock represented at the Annual Meeting, either in person or by proxy, assuming a quorum is present, is required to ratify the appointment of Ernst &amp; Young LLP as our independent registered public accounting firm for fiscal 2010. Abstentions and, if applicable, broker non-votes, are not counted as votes “for” or “against” these proposals.</w:t>
      </w:r>
    </w:p>
    <w:p>
      <w:pPr>
        <w:spacing w:after="0" w:line="22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If the shares of our common stock are held directly in the name of the shareholder, he or she can vote on matters to come before the meeting as follows:</w:t>
      </w:r>
    </w:p>
    <w:p>
      <w:pPr>
        <w:spacing w:after="0" w:line="219" w:lineRule="exact"/>
        <w:rPr>
          <w:sz w:val="20"/>
          <w:szCs w:val="20"/>
          <w:color w:val="auto"/>
        </w:rPr>
      </w:pPr>
    </w:p>
    <w:p>
      <w:pPr>
        <w:ind w:left="660" w:right="2099" w:hanging="328"/>
        <w:spacing w:after="0"/>
        <w:tabs>
          <w:tab w:leader="none" w:pos="660" w:val="left"/>
        </w:tabs>
        <w:numPr>
          <w:ilvl w:val="0"/>
          <w:numId w:val="7"/>
        </w:numPr>
        <w:rPr>
          <w:rFonts w:ascii="Arial" w:cs="Arial" w:eastAsia="Arial" w:hAnsi="Arial"/>
          <w:sz w:val="21"/>
          <w:szCs w:val="21"/>
          <w:color w:val="auto"/>
        </w:rPr>
      </w:pPr>
      <w:r>
        <w:rPr>
          <w:rFonts w:ascii="Arial" w:cs="Arial" w:eastAsia="Arial" w:hAnsi="Arial"/>
          <w:sz w:val="17"/>
          <w:szCs w:val="17"/>
          <w:color w:val="auto"/>
        </w:rPr>
        <w:t>If the shareholder has received a paper copy of a proxy card, by completing, dating and signing the proxy and returning it to us in the postage-paid envelope provided for that purpose; or</w:t>
      </w:r>
    </w:p>
    <w:p>
      <w:pPr>
        <w:spacing w:after="0" w:line="1" w:lineRule="exact"/>
        <w:rPr>
          <w:rFonts w:ascii="Arial" w:cs="Arial" w:eastAsia="Arial" w:hAnsi="Arial"/>
          <w:sz w:val="21"/>
          <w:szCs w:val="21"/>
          <w:color w:val="auto"/>
        </w:rPr>
      </w:pPr>
    </w:p>
    <w:p>
      <w:pPr>
        <w:ind w:left="660" w:hanging="328"/>
        <w:spacing w:after="0" w:line="205"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By written ballot at the meeting; or</w:t>
      </w:r>
    </w:p>
    <w:p>
      <w:pPr>
        <w:spacing w:after="0" w:line="34" w:lineRule="exact"/>
        <w:rPr>
          <w:rFonts w:ascii="Arial" w:cs="Arial" w:eastAsia="Arial" w:hAnsi="Arial"/>
          <w:sz w:val="22"/>
          <w:szCs w:val="22"/>
          <w:color w:val="auto"/>
        </w:rPr>
      </w:pPr>
    </w:p>
    <w:p>
      <w:pPr>
        <w:ind w:left="660" w:hanging="328"/>
        <w:spacing w:after="0" w:line="19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By phone, by calling 1-800-690-6903; or</w:t>
      </w:r>
    </w:p>
    <w:p>
      <w:pPr>
        <w:spacing w:after="0" w:line="35" w:lineRule="exact"/>
        <w:rPr>
          <w:rFonts w:ascii="Arial" w:cs="Arial" w:eastAsia="Arial" w:hAnsi="Arial"/>
          <w:sz w:val="22"/>
          <w:szCs w:val="22"/>
          <w:color w:val="auto"/>
        </w:rPr>
      </w:pPr>
    </w:p>
    <w:p>
      <w:pPr>
        <w:ind w:left="660" w:hanging="328"/>
        <w:spacing w:after="0" w:line="19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By Internet, at http://www.proxyvote.com.</w:t>
      </w:r>
    </w:p>
    <w:p>
      <w:pPr>
        <w:spacing w:after="0" w:line="265"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94"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Participants in the Daktronics, Inc. 401(k) Plan (the “401(k) Plan”) who hold our common stock in the 401(k) Plan are entitled to instruct the trustee of the 401(k) Plan how to vote their shares. Each participant will receive a notice about the Internet availability of the proxy materials, similar to the Notice received by the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as described above. The participants can vote on matters as described above, including instructions.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proxy given pursuant to this solicitation may be revoked by the person giving it at any time before it is voted.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revoked by either:</w:t>
      </w:r>
    </w:p>
    <w:p>
      <w:pPr>
        <w:spacing w:after="0" w:line="2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delivering a written notice of revocation,</w:t>
      </w:r>
    </w:p>
    <w:p>
      <w:pPr>
        <w:spacing w:after="0" w:line="34" w:lineRule="exact"/>
        <w:rPr>
          <w:rFonts w:ascii="Arial" w:cs="Arial" w:eastAsia="Arial" w:hAnsi="Arial"/>
          <w:sz w:val="22"/>
          <w:szCs w:val="22"/>
          <w:color w:val="auto"/>
        </w:rPr>
      </w:pPr>
    </w:p>
    <w:p>
      <w:pPr>
        <w:ind w:left="660" w:hanging="328"/>
        <w:spacing w:after="0" w:line="19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submitting another proxy bearing a later date,</w:t>
      </w:r>
    </w:p>
    <w:p>
      <w:pPr>
        <w:spacing w:after="0" w:line="35" w:lineRule="exact"/>
        <w:rPr>
          <w:rFonts w:ascii="Arial" w:cs="Arial" w:eastAsia="Arial" w:hAnsi="Arial"/>
          <w:sz w:val="22"/>
          <w:szCs w:val="22"/>
          <w:color w:val="auto"/>
        </w:rPr>
      </w:pPr>
    </w:p>
    <w:p>
      <w:pPr>
        <w:ind w:left="660" w:hanging="328"/>
        <w:spacing w:after="0" w:line="19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voting by telephone or via the Internet after your prior telephone or Internet vote, or</w:t>
      </w:r>
    </w:p>
    <w:p>
      <w:pPr>
        <w:spacing w:after="0" w:line="35" w:lineRule="exact"/>
        <w:rPr>
          <w:rFonts w:ascii="Arial" w:cs="Arial" w:eastAsia="Arial" w:hAnsi="Arial"/>
          <w:sz w:val="22"/>
          <w:szCs w:val="22"/>
          <w:color w:val="auto"/>
        </w:rPr>
      </w:pPr>
    </w:p>
    <w:p>
      <w:pPr>
        <w:ind w:left="660" w:right="2119" w:hanging="328"/>
        <w:spacing w:after="0" w:line="221"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attending the Annual Meeting and voting in person (although attendance at the Annual Meeting will not itself revoke a proxy).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1" w:lineRule="exact"/>
        <w:rPr>
          <w:sz w:val="20"/>
          <w:szCs w:val="20"/>
          <w:color w:val="auto"/>
        </w:rPr>
      </w:pPr>
    </w:p>
    <w:p>
      <w:pPr>
        <w:jc w:val="both"/>
        <w:ind w:right="2099"/>
        <w:spacing w:after="0" w:line="320" w:lineRule="auto"/>
        <w:rPr>
          <w:sz w:val="20"/>
          <w:szCs w:val="20"/>
          <w:color w:val="auto"/>
        </w:rPr>
      </w:pPr>
      <w:r>
        <w:rPr>
          <w:rFonts w:ascii="Arial" w:cs="Arial" w:eastAsia="Arial" w:hAnsi="Arial"/>
          <w:sz w:val="15"/>
          <w:szCs w:val="15"/>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13, 2010 and must otherwise comply with the requirements of Rule 14a-8 under the Securities Exchange Act of 1934.</w:t>
      </w:r>
    </w:p>
    <w:p>
      <w:pPr>
        <w:spacing w:after="0" w:line="181" w:lineRule="exact"/>
        <w:rPr>
          <w:sz w:val="20"/>
          <w:szCs w:val="20"/>
          <w:color w:val="auto"/>
        </w:rPr>
      </w:pPr>
    </w:p>
    <w:p>
      <w:pPr>
        <w:jc w:val="both"/>
        <w:ind w:right="2119"/>
        <w:spacing w:after="0" w:line="335" w:lineRule="auto"/>
        <w:rPr>
          <w:sz w:val="20"/>
          <w:szCs w:val="20"/>
          <w:color w:val="auto"/>
        </w:rPr>
      </w:pPr>
      <w:r>
        <w:rPr>
          <w:rFonts w:ascii="Arial" w:cs="Arial" w:eastAsia="Arial" w:hAnsi="Arial"/>
          <w:sz w:val="15"/>
          <w:szCs w:val="15"/>
          <w:color w:val="auto"/>
        </w:rPr>
        <w:t>For any proposal that is not submitted for inclusion in next year’s Proxy Statement but is instead sought to be presented directly at the 2010 annual meeting of shareholders, management may vote proxies in its discretion if we: (a) receive notice of the proposal before the close of business on May 26, 2010 and advise shareholders in the</w:t>
      </w:r>
    </w:p>
    <w:p>
      <w:pPr>
        <w:sectPr>
          <w:pgSz w:w="11900" w:h="16963" w:orient="portrait"/>
          <w:cols w:equalWidth="0" w:num="1">
            <w:col w:w="10219"/>
          </w:cols>
          <w:pgMar w:left="240" w:top="131" w:right="1440" w:bottom="0" w:gutter="0" w:footer="0" w:header="0"/>
        </w:sectPr>
      </w:pPr>
    </w:p>
    <w:bookmarkStart w:id="4" w:name="page5"/>
    <w:bookmarkEnd w:id="4"/>
    <w:p>
      <w:pPr>
        <w:jc w:val="both"/>
        <w:ind w:right="2119"/>
        <w:spacing w:after="0" w:line="298" w:lineRule="auto"/>
        <w:rPr>
          <w:sz w:val="20"/>
          <w:szCs w:val="20"/>
          <w:color w:val="auto"/>
        </w:rPr>
      </w:pPr>
      <w:r>
        <w:rPr>
          <w:rFonts w:ascii="Arial" w:cs="Arial" w:eastAsia="Arial" w:hAnsi="Arial"/>
          <w:sz w:val="16"/>
          <w:szCs w:val="16"/>
          <w:color w:val="auto"/>
        </w:rPr>
        <w:t>2010 Proxy Statement about the nature of the matter and how management intends to vote on such matter; or (b) do not receive notice of the proposal before the close of business on May 26, 2010. Notices of intention to present proposals at the 2010 annual meeting of shareholders should be addressed to Corporate Secretary, Daktronics, Inc., 201 Daktronics Drive, Brookings, South Dakota 57006.</w:t>
      </w:r>
    </w:p>
    <w:p>
      <w:pPr>
        <w:spacing w:after="0" w:line="19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1"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 xml:space="preserve">Our fiscal 2009 Annual Report to Shareholders, including, but not limited to, the consolidated balance sheets as of May 2, 2009 and April 26, 2008 and the related consolidated statements of income, stockholders’ equity, and cash flows for each of the three years in the period ended May 2, 2009, accompanies these materials. A copy of the fiscal 2009 Annual Report to Shareholders may be obtained without charge upon request to the Company. The fiscal year 2009 Annual Report to Shareholders can also be accessed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 xml:space="preserve"> by selecting “Investors,” then “Financials” and then “Annual Reports.” In addition, we will provide without charge to any shareholder, upon the shareholder’s written request, a copy of our Annual Report on Form 10-K for the year ended May 2, 2009 filed with the Securities and Exchange Commission. Requests should be directed to Investor Relations, Daktronics, Inc., 201 Daktronics Drive, Brookings, South Dakota 57006.</w:t>
      </w:r>
    </w:p>
    <w:p>
      <w:pPr>
        <w:spacing w:after="0" w:line="19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29, 2009,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 and Nature of</w:t>
            </w:r>
          </w:p>
        </w:tc>
        <w:tc>
          <w:tcPr>
            <w:tcW w:w="1780" w:type="dxa"/>
            <w:vAlign w:val="bottom"/>
          </w:tcPr>
          <w:p>
            <w:pPr>
              <w:jc w:val="right"/>
              <w:ind w:right="112"/>
              <w:spacing w:after="0"/>
              <w:rPr>
                <w:sz w:val="20"/>
                <w:szCs w:val="20"/>
                <w:color w:val="auto"/>
              </w:rPr>
            </w:pPr>
            <w:r>
              <w:rPr>
                <w:rFonts w:ascii="Arial" w:cs="Arial" w:eastAsia="Arial" w:hAnsi="Arial"/>
                <w:sz w:val="18"/>
                <w:szCs w:val="18"/>
                <w:b w:val="1"/>
                <w:bCs w:val="1"/>
                <w:color w:val="auto"/>
              </w:rPr>
              <w:t>Percentage of</w:t>
            </w:r>
          </w:p>
        </w:tc>
      </w:tr>
      <w:tr>
        <w:trPr>
          <w:trHeight w:val="268"/>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00" w:type="dxa"/>
            <w:vAlign w:val="bottom"/>
          </w:tcPr>
          <w:p>
            <w:pPr>
              <w:spacing w:after="0"/>
              <w:rPr>
                <w:sz w:val="23"/>
                <w:szCs w:val="23"/>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Note</w:t>
            </w:r>
          </w:p>
        </w:tc>
        <w:tc>
          <w:tcPr>
            <w:tcW w:w="80" w:type="dxa"/>
            <w:vAlign w:val="bottom"/>
          </w:tcPr>
          <w:p>
            <w:pPr>
              <w:spacing w:after="0"/>
              <w:rPr>
                <w:sz w:val="23"/>
                <w:szCs w:val="23"/>
                <w:color w:val="auto"/>
              </w:rPr>
            </w:pPr>
          </w:p>
        </w:tc>
        <w:tc>
          <w:tcPr>
            <w:tcW w:w="2060" w:type="dxa"/>
            <w:vAlign w:val="bottom"/>
            <w:tcBorders>
              <w:bottom w:val="single" w:sz="8" w:color="auto"/>
            </w:tcBorders>
          </w:tcPr>
          <w:p>
            <w:pPr>
              <w:jc w:val="right"/>
              <w:ind w:right="52"/>
              <w:spacing w:after="0" w:line="267" w:lineRule="exact"/>
              <w:rPr>
                <w:sz w:val="20"/>
                <w:szCs w:val="20"/>
                <w:color w:val="auto"/>
              </w:rPr>
            </w:pPr>
            <w:r>
              <w:rPr>
                <w:rFonts w:ascii="Arial" w:cs="Arial" w:eastAsia="Arial" w:hAnsi="Arial"/>
                <w:sz w:val="18"/>
                <w:szCs w:val="18"/>
                <w:b w:val="1"/>
                <w:bCs w:val="1"/>
                <w:color w:val="auto"/>
                <w:w w:val="91"/>
              </w:rPr>
              <w:t>Beneficial Ownership</w:t>
            </w:r>
            <w:r>
              <w:rPr>
                <w:rFonts w:ascii="Arial" w:cs="Arial" w:eastAsia="Arial" w:hAnsi="Arial"/>
                <w:sz w:val="29"/>
                <w:szCs w:val="29"/>
                <w:b w:val="1"/>
                <w:bCs w:val="1"/>
                <w:color w:val="auto"/>
                <w:w w:val="91"/>
                <w:vertAlign w:val="superscript"/>
              </w:rPr>
              <w:t>(1)</w:t>
            </w:r>
          </w:p>
        </w:tc>
        <w:tc>
          <w:tcPr>
            <w:tcW w:w="80" w:type="dxa"/>
            <w:vAlign w:val="bottom"/>
          </w:tcPr>
          <w:p>
            <w:pPr>
              <w:spacing w:after="0"/>
              <w:rPr>
                <w:sz w:val="23"/>
                <w:szCs w:val="23"/>
                <w:color w:val="auto"/>
              </w:rPr>
            </w:pPr>
          </w:p>
        </w:tc>
        <w:tc>
          <w:tcPr>
            <w:tcW w:w="1780" w:type="dxa"/>
            <w:vAlign w:val="bottom"/>
            <w:tcBorders>
              <w:bottom w:val="single" w:sz="8" w:color="auto"/>
            </w:tcBorders>
          </w:tcPr>
          <w:p>
            <w:pPr>
              <w:jc w:val="right"/>
              <w:ind w:right="32"/>
              <w:spacing w:after="0" w:line="267" w:lineRule="exact"/>
              <w:rPr>
                <w:sz w:val="20"/>
                <w:szCs w:val="20"/>
                <w:color w:val="auto"/>
              </w:rPr>
            </w:pPr>
            <w:r>
              <w:rPr>
                <w:rFonts w:ascii="Arial" w:cs="Arial" w:eastAsia="Arial" w:hAnsi="Arial"/>
                <w:sz w:val="18"/>
                <w:szCs w:val="18"/>
                <w:b w:val="1"/>
                <w:bCs w:val="1"/>
                <w:color w:val="auto"/>
                <w:w w:val="84"/>
              </w:rPr>
              <w:t>Outstanding Shares</w:t>
            </w:r>
            <w:r>
              <w:rPr>
                <w:rFonts w:ascii="Arial" w:cs="Arial" w:eastAsia="Arial" w:hAnsi="Arial"/>
                <w:sz w:val="29"/>
                <w:szCs w:val="29"/>
                <w:b w:val="1"/>
                <w:bCs w:val="1"/>
                <w:color w:val="auto"/>
                <w:w w:val="84"/>
                <w:vertAlign w:val="superscript"/>
              </w:rPr>
              <w:t>(2)</w:t>
            </w:r>
          </w:p>
        </w:tc>
      </w:tr>
      <w:tr>
        <w:trPr>
          <w:trHeight w:val="235"/>
        </w:trPr>
        <w:tc>
          <w:tcPr>
            <w:tcW w:w="3740" w:type="dxa"/>
            <w:vAlign w:val="bottom"/>
            <w:gridSpan w:val="2"/>
          </w:tcPr>
          <w:p>
            <w:pPr>
              <w:spacing w:after="0"/>
              <w:rPr>
                <w:sz w:val="20"/>
                <w:szCs w:val="20"/>
                <w:color w:val="auto"/>
              </w:rPr>
            </w:pPr>
            <w:r>
              <w:rPr>
                <w:rFonts w:ascii="Arial" w:cs="Arial" w:eastAsia="Arial" w:hAnsi="Arial"/>
                <w:sz w:val="18"/>
                <w:szCs w:val="18"/>
                <w:color w:val="auto"/>
              </w:rPr>
              <w:t>5% Beneficial Owners: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Barclays Global Investors NA</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(15)</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2,208,549</w:t>
            </w:r>
          </w:p>
        </w:tc>
        <w:tc>
          <w:tcPr>
            <w:tcW w:w="80" w:type="dxa"/>
            <w:vAlign w:val="bottom"/>
          </w:tcPr>
          <w:p>
            <w:pPr>
              <w:spacing w:after="0"/>
              <w:rPr>
                <w:sz w:val="21"/>
                <w:szCs w:val="21"/>
                <w:color w:val="auto"/>
              </w:rPr>
            </w:pPr>
          </w:p>
        </w:tc>
        <w:tc>
          <w:tcPr>
            <w:tcW w:w="1780" w:type="dxa"/>
            <w:vAlign w:val="bottom"/>
          </w:tcPr>
          <w:p>
            <w:pPr>
              <w:jc w:val="right"/>
              <w:ind w:right="272"/>
              <w:spacing w:after="0"/>
              <w:rPr>
                <w:sz w:val="20"/>
                <w:szCs w:val="20"/>
                <w:color w:val="auto"/>
              </w:rPr>
            </w:pPr>
            <w:r>
              <w:rPr>
                <w:rFonts w:ascii="Arial" w:cs="Arial" w:eastAsia="Arial" w:hAnsi="Arial"/>
                <w:sz w:val="18"/>
                <w:szCs w:val="18"/>
                <w:color w:val="auto"/>
              </w:rPr>
              <w:t>5.3%</w:t>
            </w:r>
          </w:p>
        </w:tc>
      </w:tr>
      <w:tr>
        <w:trPr>
          <w:trHeight w:val="243"/>
        </w:trPr>
        <w:tc>
          <w:tcPr>
            <w:tcW w:w="3740" w:type="dxa"/>
            <w:vAlign w:val="bottom"/>
            <w:gridSpan w:val="2"/>
          </w:tcPr>
          <w:p>
            <w:pPr>
              <w:spacing w:after="0"/>
              <w:rPr>
                <w:sz w:val="20"/>
                <w:szCs w:val="20"/>
                <w:color w:val="auto"/>
              </w:rPr>
            </w:pPr>
            <w:r>
              <w:rPr>
                <w:rFonts w:ascii="Arial" w:cs="Arial" w:eastAsia="Arial" w:hAnsi="Arial"/>
                <w:sz w:val="18"/>
                <w:szCs w:val="18"/>
                <w:color w:val="auto"/>
              </w:rPr>
              <w:t>Named Officers and Directors: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Dr. Aelred J. Kurtenbach</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2,818,705</w:t>
            </w:r>
          </w:p>
        </w:tc>
        <w:tc>
          <w:tcPr>
            <w:tcW w:w="80" w:type="dxa"/>
            <w:vAlign w:val="bottom"/>
          </w:tcPr>
          <w:p>
            <w:pPr>
              <w:spacing w:after="0"/>
              <w:rPr>
                <w:sz w:val="21"/>
                <w:szCs w:val="21"/>
                <w:color w:val="auto"/>
              </w:rPr>
            </w:pPr>
          </w:p>
        </w:tc>
        <w:tc>
          <w:tcPr>
            <w:tcW w:w="1780" w:type="dxa"/>
            <w:vAlign w:val="bottom"/>
          </w:tcPr>
          <w:p>
            <w:pPr>
              <w:jc w:val="right"/>
              <w:ind w:right="272"/>
              <w:spacing w:after="0"/>
              <w:rPr>
                <w:sz w:val="20"/>
                <w:szCs w:val="20"/>
                <w:color w:val="auto"/>
              </w:rPr>
            </w:pPr>
            <w:r>
              <w:rPr>
                <w:rFonts w:ascii="Arial" w:cs="Arial" w:eastAsia="Arial" w:hAnsi="Arial"/>
                <w:sz w:val="18"/>
                <w:szCs w:val="18"/>
                <w:color w:val="auto"/>
              </w:rPr>
              <w:t>6.8%</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James B. Morgan</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1,611,558</w:t>
            </w:r>
          </w:p>
        </w:tc>
        <w:tc>
          <w:tcPr>
            <w:tcW w:w="80" w:type="dxa"/>
            <w:vAlign w:val="bottom"/>
          </w:tcPr>
          <w:p>
            <w:pPr>
              <w:spacing w:after="0"/>
              <w:rPr>
                <w:sz w:val="21"/>
                <w:szCs w:val="21"/>
                <w:color w:val="auto"/>
              </w:rPr>
            </w:pPr>
          </w:p>
        </w:tc>
        <w:tc>
          <w:tcPr>
            <w:tcW w:w="1780" w:type="dxa"/>
            <w:vAlign w:val="bottom"/>
          </w:tcPr>
          <w:p>
            <w:pPr>
              <w:jc w:val="right"/>
              <w:ind w:right="272"/>
              <w:spacing w:after="0"/>
              <w:rPr>
                <w:sz w:val="20"/>
                <w:szCs w:val="20"/>
                <w:color w:val="auto"/>
              </w:rPr>
            </w:pPr>
            <w:r>
              <w:rPr>
                <w:rFonts w:ascii="Arial" w:cs="Arial" w:eastAsia="Arial" w:hAnsi="Arial"/>
                <w:sz w:val="18"/>
                <w:szCs w:val="18"/>
                <w:color w:val="auto"/>
              </w:rPr>
              <w:t>3.9%</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Frank J. Kurtenbach</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786,159</w:t>
            </w:r>
          </w:p>
        </w:tc>
        <w:tc>
          <w:tcPr>
            <w:tcW w:w="80" w:type="dxa"/>
            <w:vAlign w:val="bottom"/>
          </w:tcPr>
          <w:p>
            <w:pPr>
              <w:spacing w:after="0"/>
              <w:rPr>
                <w:sz w:val="21"/>
                <w:szCs w:val="21"/>
                <w:color w:val="auto"/>
              </w:rPr>
            </w:pPr>
          </w:p>
        </w:tc>
        <w:tc>
          <w:tcPr>
            <w:tcW w:w="1780" w:type="dxa"/>
            <w:vAlign w:val="bottom"/>
          </w:tcPr>
          <w:p>
            <w:pPr>
              <w:jc w:val="right"/>
              <w:ind w:right="272"/>
              <w:spacing w:after="0"/>
              <w:rPr>
                <w:sz w:val="20"/>
                <w:szCs w:val="20"/>
                <w:color w:val="auto"/>
              </w:rPr>
            </w:pPr>
            <w:r>
              <w:rPr>
                <w:rFonts w:ascii="Arial" w:cs="Arial" w:eastAsia="Arial" w:hAnsi="Arial"/>
                <w:sz w:val="18"/>
                <w:szCs w:val="18"/>
                <w:color w:val="auto"/>
              </w:rPr>
              <w:t>1.9%</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Byron J. Anderson</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Robert G. Dutcher</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67,616</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Nancy D. Frame</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92,116</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John L. Mulligan</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59,026</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Dr. Duane E. Sander</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1,010,898</w:t>
            </w:r>
          </w:p>
        </w:tc>
        <w:tc>
          <w:tcPr>
            <w:tcW w:w="80" w:type="dxa"/>
            <w:vAlign w:val="bottom"/>
          </w:tcPr>
          <w:p>
            <w:pPr>
              <w:spacing w:after="0"/>
              <w:rPr>
                <w:sz w:val="21"/>
                <w:szCs w:val="21"/>
                <w:color w:val="auto"/>
              </w:rPr>
            </w:pPr>
          </w:p>
        </w:tc>
        <w:tc>
          <w:tcPr>
            <w:tcW w:w="1780" w:type="dxa"/>
            <w:vAlign w:val="bottom"/>
          </w:tcPr>
          <w:p>
            <w:pPr>
              <w:jc w:val="right"/>
              <w:ind w:right="252"/>
              <w:spacing w:after="0"/>
              <w:rPr>
                <w:sz w:val="20"/>
                <w:szCs w:val="20"/>
                <w:color w:val="auto"/>
              </w:rPr>
            </w:pPr>
            <w:r>
              <w:rPr>
                <w:rFonts w:ascii="Arial" w:cs="Arial" w:eastAsia="Arial" w:hAnsi="Arial"/>
                <w:sz w:val="18"/>
                <w:szCs w:val="18"/>
                <w:color w:val="auto"/>
              </w:rPr>
              <w:t>2.4 %</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James A. Vellenga</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94,000</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William R. Retterath</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82,613</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Reece A. Kurtenbach</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377,232</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Bradley T. Wiemann</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(14)</w:t>
            </w:r>
          </w:p>
        </w:tc>
        <w:tc>
          <w:tcPr>
            <w:tcW w:w="80" w:type="dxa"/>
            <w:vAlign w:val="bottom"/>
          </w:tcPr>
          <w:p>
            <w:pPr>
              <w:spacing w:after="0"/>
              <w:rPr>
                <w:sz w:val="21"/>
                <w:szCs w:val="21"/>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173,864</w:t>
            </w:r>
          </w:p>
        </w:tc>
        <w:tc>
          <w:tcPr>
            <w:tcW w:w="80" w:type="dxa"/>
            <w:vAlign w:val="bottom"/>
          </w:tcPr>
          <w:p>
            <w:pPr>
              <w:spacing w:after="0"/>
              <w:rPr>
                <w:sz w:val="21"/>
                <w:szCs w:val="21"/>
                <w:color w:val="auto"/>
              </w:rPr>
            </w:pP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3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w w:val="93"/>
              </w:rPr>
              <w:t>All Directors and executive officers as a group</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28"/>
        </w:trPr>
        <w:tc>
          <w:tcPr>
            <w:tcW w:w="3740" w:type="dxa"/>
            <w:vAlign w:val="bottom"/>
            <w:gridSpan w:val="2"/>
          </w:tcPr>
          <w:p>
            <w:pPr>
              <w:ind w:left="120"/>
              <w:spacing w:after="0"/>
              <w:rPr>
                <w:sz w:val="20"/>
                <w:szCs w:val="20"/>
                <w:color w:val="auto"/>
              </w:rPr>
            </w:pPr>
            <w:r>
              <w:rPr>
                <w:rFonts w:ascii="Arial" w:cs="Arial" w:eastAsia="Arial" w:hAnsi="Arial"/>
                <w:sz w:val="18"/>
                <w:szCs w:val="18"/>
                <w:b w:val="1"/>
                <w:bCs w:val="1"/>
                <w:color w:val="auto"/>
                <w:w w:val="89"/>
              </w:rPr>
              <w:t>(12 persons, consisting of those named above)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7,206,787</w:t>
            </w:r>
          </w:p>
        </w:tc>
        <w:tc>
          <w:tcPr>
            <w:tcW w:w="80" w:type="dxa"/>
            <w:vAlign w:val="bottom"/>
          </w:tcPr>
          <w:p>
            <w:pPr>
              <w:spacing w:after="0"/>
              <w:rPr>
                <w:sz w:val="19"/>
                <w:szCs w:val="19"/>
                <w:color w:val="auto"/>
              </w:rPr>
            </w:pPr>
          </w:p>
        </w:tc>
        <w:tc>
          <w:tcPr>
            <w:tcW w:w="1780" w:type="dxa"/>
            <w:vAlign w:val="bottom"/>
          </w:tcPr>
          <w:p>
            <w:pPr>
              <w:jc w:val="right"/>
              <w:ind w:right="272"/>
              <w:spacing w:after="0"/>
              <w:rPr>
                <w:sz w:val="20"/>
                <w:szCs w:val="20"/>
                <w:color w:val="auto"/>
              </w:rPr>
            </w:pPr>
            <w:r>
              <w:rPr>
                <w:rFonts w:ascii="Arial" w:cs="Arial" w:eastAsia="Arial" w:hAnsi="Arial"/>
                <w:sz w:val="18"/>
                <w:szCs w:val="18"/>
                <w:color w:val="auto"/>
              </w:rPr>
              <w:t>17.4%</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49" w:lineRule="exact"/>
        <w:rPr>
          <w:sz w:val="20"/>
          <w:szCs w:val="20"/>
          <w:color w:val="auto"/>
        </w:rPr>
      </w:pPr>
    </w:p>
    <w:p>
      <w:pPr>
        <w:ind w:left="720" w:hanging="615"/>
        <w:spacing w:after="0"/>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1%</w:t>
      </w:r>
    </w:p>
    <w:p>
      <w:pPr>
        <w:ind w:left="720" w:right="2219" w:hanging="615"/>
        <w:spacing w:after="0" w:line="221"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person has sole voting and sole dispositive power with respect to all outstanding shares, except as noted. The individuals holding restricted shares have the power to vote but not the power to dispose of such shares.</w:t>
      </w:r>
    </w:p>
    <w:p>
      <w:pPr>
        <w:ind w:left="720" w:right="2459" w:hanging="615"/>
        <w:spacing w:after="0" w:line="258"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Based on 40,776,594 shares of common stock outstanding as of June 29, 2009. Such number does not include 160,482 shares of common stock subject to stock options outstanding as of June 29, 2009. Each figure showing the percentage of outstanding shares owned beneficially has been calculated by treating as outstanding and owned the shares upon which could be purchased by the indicated person(s) on June 29, 2009 or within 60 days of June 29, 2009 upon the exercise of stock options.</w:t>
      </w:r>
    </w:p>
    <w:p>
      <w:pPr>
        <w:jc w:val="both"/>
        <w:ind w:left="720" w:right="2199" w:hanging="615"/>
        <w:spacing w:after="0" w:line="221"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30,504 shares issuable pursuant to currently exercisable stock options, 1,689 shares held through the 401(k) Plan, 1,263,610 shares held by his spouse and 50,000 shares held in the Al and Irene Kurtenbach Foundation (the “Kurtenbach Foundation”). The shares in the Kurtenbach Foundation are the same shares shown as being owned by Reece A. Kurtenbach through the Kurtenbach Foundation in footnote (13), as voting control is shared.</w:t>
      </w:r>
    </w:p>
    <w:p>
      <w:pPr>
        <w:spacing w:after="0" w:line="1" w:lineRule="exact"/>
        <w:rPr>
          <w:rFonts w:ascii="Arial" w:cs="Arial" w:eastAsia="Arial" w:hAnsi="Arial"/>
          <w:sz w:val="14"/>
          <w:szCs w:val="14"/>
          <w:color w:val="auto"/>
        </w:rPr>
      </w:pPr>
    </w:p>
    <w:p>
      <w:pPr>
        <w:ind w:left="720" w:hanging="615"/>
        <w:spacing w:after="0" w:line="221"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67,800 shares subject to options and 42,218 shares held through the 401(k) Plan.</w:t>
      </w:r>
    </w:p>
    <w:p>
      <w:pPr>
        <w:ind w:left="720" w:hanging="615"/>
        <w:spacing w:after="0" w:line="221"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2,070 shares held through the 401(k) Plan and 222,350 shares held by his spouse.</w:t>
      </w:r>
    </w:p>
    <w:p>
      <w:pPr>
        <w:ind w:left="720" w:hanging="615"/>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32,000 shares subject to options.</w:t>
      </w:r>
    </w:p>
    <w:p>
      <w:pPr>
        <w:sectPr>
          <w:pgSz w:w="11900" w:h="16838" w:orient="portrait"/>
          <w:cols w:equalWidth="0" w:num="1">
            <w:col w:w="10219"/>
          </w:cols>
          <w:pgMar w:left="240" w:top="131" w:right="1440" w:bottom="531" w:gutter="0" w:footer="0" w:header="0"/>
        </w:sect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1" w:right="1440" w:bottom="531" w:gutter="0" w:footer="0" w:header="0"/>
          <w:type w:val="continuous"/>
        </w:sectPr>
      </w:pPr>
    </w:p>
    <w:bookmarkStart w:id="5" w:name="page6"/>
    <w:bookmarkEnd w:id="5"/>
    <w:p>
      <w:pPr>
        <w:ind w:left="740" w:hanging="635"/>
        <w:spacing w:after="0"/>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66,494 shares subject to options and 1,122 shares of restricted stock which vest on August 27, 2009.</w:t>
      </w:r>
    </w:p>
    <w:p>
      <w:pPr>
        <w:ind w:left="740" w:hanging="635"/>
        <w:spacing w:after="0" w:line="221"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42,494 shares subject to options and 1,122 shares of restricted stock which vest on August 27, 2009.</w:t>
      </w:r>
    </w:p>
    <w:p>
      <w:pPr>
        <w:ind w:left="740" w:hanging="635"/>
        <w:spacing w:after="0" w:line="221"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33,108 shares subject to options and 1,122 shares of restricted stock which vest on August 27, 2009.</w:t>
      </w:r>
    </w:p>
    <w:p>
      <w:pPr>
        <w:ind w:left="740" w:right="2199" w:hanging="635"/>
        <w:spacing w:after="0" w:line="221"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33,108 shares subject to options, 413,944 shares held in Phyllis A. Sander Living Trust, 541,522 held in trust for the benefit of Dr. Sander and 1,122 shares of restricted stock which vest on August 27, 2009.</w:t>
      </w:r>
    </w:p>
    <w:p>
      <w:pPr>
        <w:ind w:left="740" w:hanging="635"/>
        <w:spacing w:after="0" w:line="221"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60,000 shares subject to options and 5,000 shares held by spouse.</w:t>
      </w:r>
    </w:p>
    <w:p>
      <w:pPr>
        <w:ind w:left="740" w:hanging="635"/>
        <w:spacing w:after="0" w:line="221"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65,600 shares subject to options and 9,373 shares held through the 401(k) Plan.</w:t>
      </w:r>
    </w:p>
    <w:p>
      <w:pPr>
        <w:ind w:left="740" w:right="2219" w:hanging="635"/>
        <w:spacing w:after="0" w:line="258" w:lineRule="auto"/>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44,600 shares subject to options, 18,550 shares held through the 401(k) Plan, 32,000 shares held by his children, and 50,000 shares held in the Kurtenbach Foundation. The shares in the Kurtenbach Foundation are the same shares shown as being owned by Dr. Aelred J. Kurtenbach through the Kurtenbach Foundation in footnote (3), as voting control is shared.</w:t>
      </w:r>
    </w:p>
    <w:p>
      <w:pPr>
        <w:ind w:left="740" w:hanging="635"/>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110,600 shares subject to options, 26,282 shares held through the 401(k) Plan and 400 shares held by his spouse.</w:t>
      </w:r>
    </w:p>
    <w:p>
      <w:pPr>
        <w:spacing w:after="0" w:line="10" w:lineRule="exact"/>
        <w:rPr>
          <w:rFonts w:ascii="Arial" w:cs="Arial" w:eastAsia="Arial" w:hAnsi="Arial"/>
          <w:sz w:val="12"/>
          <w:szCs w:val="12"/>
          <w:color w:val="auto"/>
        </w:rPr>
      </w:pPr>
    </w:p>
    <w:p>
      <w:pPr>
        <w:ind w:left="740" w:right="2279" w:hanging="635"/>
        <w:spacing w:after="0" w:line="225" w:lineRule="auto"/>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information as of December 31, 2008 derived from Schedule 13G filed with the SEC by Barclays Global Investors NA, on February 5, 2009. As set forth in the Schedule 13G, as amended, Barclays Global Investors NA Investors has sole voting and dispositive power as to 2,208,549 shares. The principal business address of Barclays Global Investors NA is 400 Howard Street, San Francisco, CA 94105-2228.</w:t>
      </w:r>
    </w:p>
    <w:p>
      <w:pPr>
        <w:spacing w:after="0" w:line="21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jc w:val="both"/>
        <w:ind w:right="2119"/>
        <w:spacing w:after="0" w:line="285" w:lineRule="auto"/>
        <w:rPr>
          <w:sz w:val="20"/>
          <w:szCs w:val="20"/>
          <w:color w:val="auto"/>
        </w:rPr>
      </w:pPr>
      <w:r>
        <w:rPr>
          <w:rFonts w:ascii="Arial" w:cs="Arial" w:eastAsia="Arial" w:hAnsi="Arial"/>
          <w:sz w:val="16"/>
          <w:szCs w:val="16"/>
          <w:color w:val="auto"/>
        </w:rPr>
        <w:t>Our business and affairs are managed under the direction of our Board of Directors, which currently consists of nine persons, divided into three classes serving staggered three-year terms of office. There are three Directors (Byron J. Anderson, Frank J. Kurtenbach and James A. Vellenga) whose terms expire at the 2009 Annual Meeting or until their successors are named, three Directors (James B. Morgan, John L. Mulligan and Dr. Duane E. Sander) whose terms expire at the 2010 annual meeting of shareholders or until their successors are named, and three Directors (Dr. Aelred J. Kurtenbach, Robert G. Dutcher and Nancy D. Frame) whose terms expire at the 2011 Annual Meeting or until their successors are named. The Nominating and Corporate Governance Committee has recommended to the Board of Directors that Mr. Anderson, Mr. F. Kurtenbach and Mr. Vellenga be nominated as the Directors to be elected at the 2009 Annual Meeting, and the Board of Directors has approved that recommendation. All nominees have indicated a willingness to serve if elected. If any nominee becomes unable to serve before the Annual Meeting, the proxies received in response to this solicitation will be voted for a replacement nominee selected in accordance with the best judgment of the proxy holders named in the proxy.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“Procedural Matters – Vote Requirements” for a description of the votes required for the election of Directors.</w:t>
      </w:r>
    </w:p>
    <w:p>
      <w:pPr>
        <w:spacing w:after="0" w:line="263"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the Directors named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820" w:type="dxa"/>
            <w:vAlign w:val="bottom"/>
            <w:gridSpan w:val="2"/>
          </w:tcPr>
          <w:p>
            <w:pPr>
              <w:ind w:left="620"/>
              <w:spacing w:after="0"/>
              <w:rPr>
                <w:sz w:val="20"/>
                <w:szCs w:val="20"/>
                <w:color w:val="auto"/>
              </w:rPr>
            </w:pPr>
            <w:r>
              <w:rPr>
                <w:rFonts w:ascii="Arial" w:cs="Arial" w:eastAsia="Arial" w:hAnsi="Arial"/>
                <w:sz w:val="18"/>
                <w:szCs w:val="18"/>
                <w:color w:val="auto"/>
              </w:rPr>
              <w:t>Name</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Age</w:t>
            </w:r>
          </w:p>
        </w:tc>
        <w:tc>
          <w:tcPr>
            <w:tcW w:w="2900" w:type="dxa"/>
            <w:vAlign w:val="bottom"/>
            <w:gridSpan w:val="2"/>
          </w:tcPr>
          <w:p>
            <w:pPr>
              <w:ind w:left="660"/>
              <w:spacing w:after="0"/>
              <w:rPr>
                <w:sz w:val="20"/>
                <w:szCs w:val="20"/>
                <w:color w:val="auto"/>
              </w:rPr>
            </w:pPr>
            <w:r>
              <w:rPr>
                <w:rFonts w:ascii="Arial" w:cs="Arial" w:eastAsia="Arial" w:hAnsi="Arial"/>
                <w:sz w:val="18"/>
                <w:szCs w:val="18"/>
                <w:color w:val="auto"/>
              </w:rPr>
              <w:t>Principal Occupation</w:t>
            </w:r>
          </w:p>
        </w:tc>
        <w:tc>
          <w:tcPr>
            <w:tcW w:w="2680" w:type="dxa"/>
            <w:vAlign w:val="bottom"/>
          </w:tcPr>
          <w:p>
            <w:pPr>
              <w:ind w:left="520"/>
              <w:spacing w:after="0"/>
              <w:rPr>
                <w:sz w:val="20"/>
                <w:szCs w:val="20"/>
                <w:color w:val="auto"/>
              </w:rPr>
            </w:pPr>
            <w:r>
              <w:rPr>
                <w:rFonts w:ascii="Arial" w:cs="Arial" w:eastAsia="Arial" w:hAnsi="Arial"/>
                <w:sz w:val="18"/>
                <w:szCs w:val="18"/>
                <w:color w:val="auto"/>
              </w:rPr>
              <w:t>Committees Served On</w:t>
            </w:r>
          </w:p>
        </w:tc>
      </w:tr>
      <w:tr>
        <w:trPr>
          <w:trHeight w:val="43"/>
        </w:trPr>
        <w:tc>
          <w:tcPr>
            <w:tcW w:w="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Byron J. Anderson</w:t>
            </w:r>
          </w:p>
        </w:tc>
        <w:tc>
          <w:tcPr>
            <w:tcW w:w="14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65</w:t>
            </w:r>
          </w:p>
        </w:tc>
        <w:tc>
          <w:tcPr>
            <w:tcW w:w="8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Retired</w:t>
            </w:r>
          </w:p>
        </w:tc>
        <w:tc>
          <w:tcPr>
            <w:tcW w:w="8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Nominating and Corporate</w:t>
            </w: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Governance; Compensation</w:t>
            </w:r>
          </w:p>
        </w:tc>
      </w:tr>
      <w:tr>
        <w:trPr>
          <w:trHeight w:val="222"/>
        </w:trPr>
        <w:tc>
          <w:tcPr>
            <w:tcW w:w="1840" w:type="dxa"/>
            <w:vAlign w:val="bottom"/>
            <w:gridSpan w:val="3"/>
          </w:tcPr>
          <w:p>
            <w:pPr>
              <w:spacing w:after="0"/>
              <w:rPr>
                <w:sz w:val="20"/>
                <w:szCs w:val="20"/>
                <w:color w:val="auto"/>
              </w:rPr>
            </w:pPr>
            <w:r>
              <w:rPr>
                <w:rFonts w:ascii="Arial" w:cs="Arial" w:eastAsia="Arial" w:hAnsi="Arial"/>
                <w:sz w:val="18"/>
                <w:szCs w:val="18"/>
                <w:color w:val="auto"/>
              </w:rPr>
              <w:t>Frank J. Kurtenbach</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8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Vice President, Sales</w:t>
            </w:r>
          </w:p>
        </w:tc>
        <w:tc>
          <w:tcPr>
            <w:tcW w:w="2680" w:type="dxa"/>
            <w:vAlign w:val="bottom"/>
          </w:tcPr>
          <w:p>
            <w:pPr>
              <w:spacing w:after="0"/>
              <w:rPr>
                <w:sz w:val="20"/>
                <w:szCs w:val="20"/>
                <w:color w:val="auto"/>
              </w:rPr>
            </w:pPr>
            <w:r>
              <w:rPr>
                <w:rFonts w:ascii="Arial" w:cs="Arial" w:eastAsia="Arial" w:hAnsi="Arial"/>
                <w:sz w:val="18"/>
                <w:szCs w:val="18"/>
                <w:color w:val="auto"/>
              </w:rPr>
              <w:t>None</w:t>
            </w:r>
          </w:p>
        </w:tc>
      </w:tr>
      <w:tr>
        <w:trPr>
          <w:trHeight w:val="243"/>
        </w:trPr>
        <w:tc>
          <w:tcPr>
            <w:tcW w:w="1840" w:type="dxa"/>
            <w:vAlign w:val="bottom"/>
            <w:gridSpan w:val="3"/>
          </w:tcPr>
          <w:p>
            <w:pPr>
              <w:spacing w:after="0"/>
              <w:rPr>
                <w:sz w:val="20"/>
                <w:szCs w:val="20"/>
                <w:color w:val="auto"/>
              </w:rPr>
            </w:pPr>
            <w:r>
              <w:rPr>
                <w:rFonts w:ascii="Arial" w:cs="Arial" w:eastAsia="Arial" w:hAnsi="Arial"/>
                <w:sz w:val="18"/>
                <w:szCs w:val="18"/>
                <w:color w:val="auto"/>
              </w:rPr>
              <w:t>James A. Vellenga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8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Retired</w:t>
            </w:r>
          </w:p>
        </w:tc>
        <w:tc>
          <w:tcPr>
            <w:tcW w:w="2680" w:type="dxa"/>
            <w:vAlign w:val="bottom"/>
          </w:tcPr>
          <w:p>
            <w:pPr>
              <w:spacing w:after="0"/>
              <w:rPr>
                <w:sz w:val="20"/>
                <w:szCs w:val="20"/>
                <w:color w:val="auto"/>
              </w:rPr>
            </w:pPr>
            <w:r>
              <w:rPr>
                <w:rFonts w:ascii="Arial" w:cs="Arial" w:eastAsia="Arial" w:hAnsi="Arial"/>
                <w:sz w:val="18"/>
                <w:szCs w:val="18"/>
                <w:color w:val="auto"/>
              </w:rPr>
              <w:t>Compensation and Audit</w:t>
            </w:r>
          </w:p>
        </w:tc>
      </w:tr>
    </w:tbl>
    <w:p>
      <w:pPr>
        <w:spacing w:after="0" w:line="264"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b w:val="1"/>
          <w:bCs w:val="1"/>
          <w:i w:val="1"/>
          <w:iCs w:val="1"/>
          <w:color w:val="auto"/>
        </w:rPr>
        <w:t>Byron J. Anderson</w:t>
      </w:r>
      <w:r>
        <w:rPr>
          <w:rFonts w:ascii="Arial" w:cs="Arial" w:eastAsia="Arial" w:hAnsi="Arial"/>
          <w:sz w:val="18"/>
          <w:szCs w:val="18"/>
          <w:color w:val="auto"/>
        </w:rPr>
        <w:t>is currently retired. Before his retirement, from 1999 to 2004 he served in various capacities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Agilent Technologies, Inc., most recently as Senior Vice President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communications industry. He holds an MBA from Harvard University and an electrical engineering degree from South Dakota State University. He has been a Director of the Company since 2005.</w:t>
      </w:r>
    </w:p>
    <w:p>
      <w:pPr>
        <w:spacing w:after="0" w:line="25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expanded to include other products in 1981. He served as Sales Manager for the Company from 1982 through 1993, as a Director since 1984 and as a Vice President since 1993. Currently Mr. Kurtenbach is employed on a part-time basis with the Company. Mr. Kurtenbach has an M.S. degree in Health Science and recreation from South Dakota State University. Aelred Kurtenbach and Frank Kurtenbach are brothers.</w:t>
      </w:r>
    </w:p>
    <w:p>
      <w:pPr>
        <w:spacing w:after="0" w:line="19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b w:val="1"/>
          <w:bCs w:val="1"/>
          <w:i w:val="1"/>
          <w:iCs w:val="1"/>
          <w:color w:val="auto"/>
        </w:rPr>
        <w:t xml:space="preserve">James A. Vellenga </w:t>
      </w:r>
      <w:r>
        <w:rPr>
          <w:rFonts w:ascii="Arial" w:cs="Arial" w:eastAsia="Arial" w:hAnsi="Arial"/>
          <w:sz w:val="18"/>
          <w:szCs w:val="18"/>
          <w:color w:val="auto"/>
        </w:rPr>
        <w:t>was elected as a Director in 1997 and is currently retired. He spent 46 years in the computer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integrated circuit industry in various senior 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w:t>
      </w:r>
    </w:p>
    <w:p>
      <w:pPr>
        <w:sectPr>
          <w:pgSz w:w="11900" w:h="16838" w:orient="portrait"/>
          <w:cols w:equalWidth="0" w:num="1">
            <w:col w:w="10219"/>
          </w:cols>
          <w:pgMar w:left="240" w:top="614" w:right="1440" w:bottom="119" w:gutter="0" w:footer="0" w:header="0"/>
        </w:sectPr>
      </w:pPr>
    </w:p>
    <w:bookmarkStart w:id="6" w:name="page7"/>
    <w:bookmarkEnd w:id="6"/>
    <w:p>
      <w:pPr>
        <w:spacing w:after="0" w:line="3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40"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b w:val="1"/>
          <w:bCs w:val="1"/>
          <w:i w:val="1"/>
          <w:iCs w:val="1"/>
          <w:color w:val="auto"/>
        </w:rPr>
        <w:t xml:space="preserve">Aelred J. Kurtenbach, Ph.D. </w:t>
      </w:r>
      <w:r>
        <w:rPr>
          <w:rFonts w:ascii="Arial" w:cs="Arial" w:eastAsia="Arial" w:hAnsi="Arial"/>
          <w:sz w:val="18"/>
          <w:szCs w:val="18"/>
          <w:color w:val="auto"/>
        </w:rPr>
        <w:t>is a co-founder of the Company and has served as a Director and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since its incorporation in 1968. He 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25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b w:val="1"/>
          <w:bCs w:val="1"/>
          <w:i w:val="1"/>
          <w:iCs w:val="1"/>
          <w:color w:val="auto"/>
        </w:rPr>
        <w:t xml:space="preserve">Robert G. Dutcher </w:t>
      </w:r>
      <w:r>
        <w:rPr>
          <w:rFonts w:ascii="Arial" w:cs="Arial" w:eastAsia="Arial" w:hAnsi="Arial"/>
          <w:sz w:val="16"/>
          <w:szCs w:val="16"/>
          <w:color w:val="auto"/>
        </w:rPr>
        <w:t>is currently Strategic Advisor Lead Member of MEDRAD, Inc. From April 2008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March2009, he was President and Chief Executive Officer of the Cardiovascular Division of MEDRAD, Inc., an affiliate of Bayer AG, since April 2008. Prior to this, he was the Chairman, President and Chief Executive Officer of Possis Medical, Inc., a publicly-held medical device company located in Minneapolis, Minnesota, which was acquired by MEDRAD, Inc. in April 2008.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w:t>
      </w:r>
    </w:p>
    <w:p>
      <w:pPr>
        <w:spacing w:after="0" w:line="22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b w:val="1"/>
          <w:bCs w:val="1"/>
          <w:i w:val="1"/>
          <w:iCs w:val="1"/>
          <w:color w:val="auto"/>
        </w:rPr>
        <w:t xml:space="preserve">Nancy D. Frame </w:t>
      </w:r>
      <w:r>
        <w:rPr>
          <w:rFonts w:ascii="Arial" w:cs="Arial" w:eastAsia="Arial" w:hAnsi="Arial"/>
          <w:sz w:val="18"/>
          <w:szCs w:val="18"/>
          <w:color w:val="auto"/>
        </w:rPr>
        <w:t>was Deputy Director of the United States Trade and Development Agency in Washington, D.C.,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position she held from 1986 to 1999, when she retired. From 1976 to 1986, she held various positions in the legal profession, specializing in international trade and commercial law. She obtained her law degree from Georgetown University, Washington, D.C. and a B.S. degree from South Dakota State University. She has been a Director of the Company since 1999.</w:t>
      </w:r>
    </w:p>
    <w:p>
      <w:pPr>
        <w:spacing w:after="0" w:line="224"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b w:val="1"/>
          <w:bCs w:val="1"/>
          <w:i w:val="1"/>
          <w:iCs w:val="1"/>
          <w:color w:val="auto"/>
        </w:rPr>
        <w:t xml:space="preserve">James B. Morgan </w:t>
      </w:r>
      <w:r>
        <w:rPr>
          <w:rFonts w:ascii="Arial" w:cs="Arial" w:eastAsia="Arial" w:hAnsi="Arial"/>
          <w:sz w:val="16"/>
          <w:szCs w:val="16"/>
          <w:color w:val="auto"/>
        </w:rPr>
        <w:t>joined the Company in 1969 as a part-time engineer while earning his M.S. degree in electrical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from South Dakota State 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b w:val="1"/>
          <w:bCs w:val="1"/>
          <w:i w:val="1"/>
          <w:iCs w:val="1"/>
          <w:color w:val="auto"/>
        </w:rPr>
        <w:t xml:space="preserve">John L. Mulligan </w:t>
      </w:r>
      <w:r>
        <w:rPr>
          <w:rFonts w:ascii="Arial" w:cs="Arial" w:eastAsia="Arial" w:hAnsi="Arial"/>
          <w:sz w:val="18"/>
          <w:szCs w:val="18"/>
          <w:color w:val="auto"/>
        </w:rPr>
        <w:t>was elected as a Director in 1993. Since 1993, he has been employed by a number of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is also a certified public accountant.</w:t>
      </w:r>
    </w:p>
    <w:p>
      <w:pPr>
        <w:spacing w:after="0" w:line="251"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b w:val="1"/>
          <w:bCs w:val="1"/>
          <w:i w:val="1"/>
          <w:iCs w:val="1"/>
          <w:color w:val="auto"/>
        </w:rPr>
        <w:t xml:space="preserve">Duane E. Sander, Ph.D. </w:t>
      </w:r>
      <w:r>
        <w:rPr>
          <w:rFonts w:ascii="Arial" w:cs="Arial" w:eastAsia="Arial" w:hAnsi="Arial"/>
          <w:sz w:val="16"/>
          <w:szCs w:val="16"/>
          <w:color w:val="auto"/>
        </w:rPr>
        <w:t>is a co-founder of the Company and has served as a Director since its incorporation.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served as Corporate Secretary from incorporation until 2001. From 1990 to 1999, he served as Dean of Engineering at South Dakota State University, where he taught electrical engineering courses and directed biomedical research projects. Dr. Sander has been retired since 1999.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1" w:lineRule="exact"/>
        <w:rPr>
          <w:sz w:val="20"/>
          <w:szCs w:val="20"/>
          <w:color w:val="auto"/>
        </w:rPr>
      </w:pPr>
    </w:p>
    <w:p>
      <w:pPr>
        <w:jc w:val="both"/>
        <w:ind w:right="2119"/>
        <w:spacing w:after="0" w:line="295" w:lineRule="auto"/>
        <w:rPr>
          <w:sz w:val="20"/>
          <w:szCs w:val="20"/>
          <w:color w:val="auto"/>
        </w:rPr>
      </w:pPr>
      <w:r>
        <w:rPr>
          <w:rFonts w:ascii="Arial" w:cs="Arial" w:eastAsia="Arial" w:hAnsi="Arial"/>
          <w:sz w:val="16"/>
          <w:szCs w:val="16"/>
          <w:color w:val="auto"/>
        </w:rPr>
        <w:t>Our Nominating and Governance Committee has determined that each of Messrs. Sander, Vellenga, Mulligan, Dutcher and Anderson and Ms. Frame are “independent,” as that term is defined in Rule 4200(a)(15) of the Marketplace Rules of The NASDAQ Stock Market, Inc. (“NASDAQ”). Accordingly, the Board is composed of a majority of independent Directors as required by the NASDAQ Marketplace Rules.</w:t>
      </w:r>
    </w:p>
    <w:p>
      <w:pPr>
        <w:spacing w:after="0" w:line="1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1"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Members of the Board of Directors are kept informed regarding our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225"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During fiscal 2009, the Board of Directors held four regularly scheduled meetings; and the Audit Committee met five times, the Compensation Committee met three times, and the Nominating and Corporate Governance Committee met three times. All of the incumbent Directors attended at least 75% of the aggregate of all meetings of the Board of Directors and committees, if any, upon which they served. There was one action taken by the Board of Directors by unanimous written consent during the year. All Directors being nominated to serve as Directors attended the annual meeting of shareholders held in 2008.</w:t>
      </w: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Board has formally adopted a policy of meeting in executive session, with only independent Directors being present, on a regular basis. During fiscal 2009, the independent Directors of the Board met in executive session four times.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ectPr>
          <w:pgSz w:w="11900" w:h="16874" w:orient="portrait"/>
          <w:cols w:equalWidth="0" w:num="1">
            <w:col w:w="10219"/>
          </w:cols>
          <w:pgMar w:left="240" w:top="131" w:right="1440" w:bottom="0" w:gutter="0" w:footer="0" w:header="0"/>
        </w:sectPr>
      </w:pPr>
    </w:p>
    <w:bookmarkStart w:id="7" w:name="page8"/>
    <w:bookmarkEnd w:id="7"/>
    <w:p>
      <w:pPr>
        <w:jc w:val="both"/>
        <w:ind w:right="2119"/>
        <w:spacing w:after="0" w:line="259"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1"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 xml:space="preserve">The Board of Directors has adopted our Code of Conduct, which applies to all of our employees, officers and Directors as provided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5% of any class of our voting securities and any immediate family member of any of the foregoing persons.</w:t>
      </w:r>
    </w:p>
    <w:p>
      <w:pPr>
        <w:spacing w:after="0" w:line="199"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Under the policy, prior notice must be provided to our Corporate Counsel of the facts and circumstances involved in the potential related person transaction. If the Corporate Counsel determines that the transaction is a related person transaction, he must submit it to the Audit Committee or the Chair of the Audit Committee for review and, if appropriate, approval. The policy provides that, on an annual basis, the Audit Committee shall review any previously approved related person transaction that is ongoing. The policy also provides that proposed charitable contributions or pledges of charitable contributions of at least $120,000 by the Company made to or at the request of a related person are subject to prior review by the Audit Committee or the Chair of the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219"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During fiscal 2009, our Audit Committee consisted of Mr. Mulligan (Chairperson), Ms. Frame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Mr. Vellenga. The Board of Directors has determined that each Audit Committee member is independent under Rule 4200(a)(15) of NASDAQ’s Marketplace Rules and Rule 10A-3 under the Securities Exchange Act of 1934 (“Exchange Act”). The Board has determined that Mr. Mulligan is qualified as an “audit committee financial expert,” as that term is defined in Item 401(h)(2)(i) of Regulation S-K. The Audit Committee assists the Board of Directors in fulfilling its oversight responsibilities for the quality and integrity of our financial reports and related filings with the Securities and Exchange Commission (the “SEC”). In fulfilling this role, the Audit Committee, among other things, oversees the accounting and financial reporting process and audits of the financial statements and related SEC filings, appoints and provides for the compensation of the independent registered public accounting firm, reviews the scope and findings of the completed audit, reviews the adequacy and effectiveness of our accounting policies and system of internal accounting controls and oversees our policy and procedures with respect to related person transactions. A copy of the Audit Committee’s Charter is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202"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2009, our Compensation Committee consisted of Mr. Dutcher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(Chairperson), Mr. Anderson and Mr. Vellenga. All of the Compensation Committee members satisfy the independence requirements of The NASDAQ Global Market, as determined by the Board of Directors. The Compensation Committee annually reviews and acts upon the Chief Executive Officer’s compensation package, reviews and approves the compensation policy for the other executives, and acts upon management’s recommendations for executives concerning employee equity incentives, bonuses and other compensation and benefit plans. A copy of the Compensation Committee’s Charter is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22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u w:val="single" w:color="auto"/>
          <w:color w:val="auto"/>
        </w:rPr>
        <w:t>Nominating and Corporate Governance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2009, our Nominating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Governance Committee (the “Nominating Committee”) consisted of Ms. Frame (Chairperson), Mr. Anderson and Dr. Sander. The Board of Directors has determined that all of the Nominating Committee members satisfy the independence requirements of The NASDAQ Global Market.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oversees the annual review of the performance of the Board of Directors. The responsibilities of the Nominating Committee are set forth in the Nominating and Corporate Governance Committee Charter. Copies of the Nominating Committee’s Charter and our Corporate Governance Guidelines are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20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information below describes the criteria and process that the Nominating Committee uses to evaluate future candidates to the Board of Directors:</w:t>
      </w:r>
    </w:p>
    <w:p>
      <w:pPr>
        <w:sectPr>
          <w:pgSz w:w="11900" w:h="16838" w:orient="portrait"/>
          <w:cols w:equalWidth="0" w:num="1">
            <w:col w:w="10219"/>
          </w:cols>
          <w:pgMar w:left="240" w:top="131" w:right="1440" w:bottom="0" w:gutter="0" w:footer="0" w:header="0"/>
        </w:sectPr>
      </w:pPr>
    </w:p>
    <w:bookmarkStart w:id="8" w:name="page9"/>
    <w:bookmarkEnd w:id="8"/>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Nomination to the Board of Directors</w:t>
      </w:r>
    </w:p>
    <w:p>
      <w:pPr>
        <w:spacing w:after="0" w:line="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The Nominating Committee will consider the appropriate balance of experience, skills and characteristics required of members of the Board of Directors. Nominees will be selected on the basis of their depth and breadth of experience, wisdom, integrity, ability to make independent analytic inquiries, understanding of our business environment and willingness to devote adequate time to Board duties. The Nominating Committee will seek to ensure that at least a majority of the Directors are independent under the rules of The NASDAQ Global Market, that members of the Audit Committee meet the financial literacy requirements under the rules of The NASDAQ Global Market, and that at least one member of the Audit Committee qualifies as an “audit committee financial expert” under the rules of the SEC.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1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our Corporate Secretary and should include (at a minimum) the following information: (a) all information relating to such nominee that is required to be disclosed in Schedule 14A under the Securities Exchange Act of 1934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13, 2010 deadline described under the caption, “Procedural Matters – Procedure for Submitting Shareholder Proposals” above.</w:t>
      </w:r>
    </w:p>
    <w:p>
      <w:pPr>
        <w:spacing w:after="0" w:line="205"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1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Annual Meeting</w:t>
      </w:r>
    </w:p>
    <w:p>
      <w:pPr>
        <w:spacing w:after="0" w:line="2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Board nominees for this Annual Meeting – Byron J. Anderson, Frank J. Kurtenbach and James A. Vellenga – were selected by the Board of Directors unanimously in May 2009 upon the recommendation of the Nominating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1" w:lineRule="exact"/>
        <w:rPr>
          <w:sz w:val="20"/>
          <w:szCs w:val="20"/>
          <w:color w:val="auto"/>
        </w:rPr>
      </w:pPr>
    </w:p>
    <w:p>
      <w:pPr>
        <w:jc w:val="both"/>
        <w:ind w:right="2119"/>
        <w:spacing w:after="0" w:line="323" w:lineRule="auto"/>
        <w:rPr>
          <w:sz w:val="20"/>
          <w:szCs w:val="20"/>
          <w:color w:val="auto"/>
        </w:rPr>
      </w:pPr>
      <w:r>
        <w:rPr>
          <w:rFonts w:ascii="Arial" w:cs="Arial" w:eastAsia="Arial" w:hAnsi="Arial"/>
          <w:sz w:val="16"/>
          <w:szCs w:val="16"/>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7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 w:lineRule="exact"/>
        <w:rPr>
          <w:sz w:val="20"/>
          <w:szCs w:val="20"/>
          <w:color w:val="auto"/>
        </w:rPr>
      </w:pPr>
    </w:p>
    <w:p>
      <w:pPr>
        <w:jc w:val="both"/>
        <w:ind w:right="2119"/>
        <w:spacing w:after="0" w:line="295" w:lineRule="auto"/>
        <w:rPr>
          <w:sz w:val="20"/>
          <w:szCs w:val="20"/>
          <w:color w:val="auto"/>
        </w:rPr>
      </w:pPr>
      <w:r>
        <w:rPr>
          <w:rFonts w:ascii="Arial" w:cs="Arial" w:eastAsia="Arial" w:hAnsi="Arial"/>
          <w:sz w:val="16"/>
          <w:szCs w:val="16"/>
          <w:color w:val="auto"/>
        </w:rPr>
        <w:t>During fiscal 2009, none of our executive officers served on the board of directors or compensation committee of another company that had an executive officer serve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May 2, 2009:</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FISCAL YEAR 2009 DIRECTOR COMPENSATION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w w:val="87"/>
              </w:rPr>
              <w:t>Fees Earned or</w:t>
            </w:r>
          </w:p>
        </w:tc>
        <w:tc>
          <w:tcPr>
            <w:tcW w:w="240" w:type="dxa"/>
            <w:vAlign w:val="bottom"/>
          </w:tcPr>
          <w:p>
            <w:pPr>
              <w:spacing w:after="0"/>
              <w:rPr>
                <w:sz w:val="18"/>
                <w:szCs w:val="18"/>
                <w:color w:val="auto"/>
              </w:rPr>
            </w:pPr>
          </w:p>
        </w:tc>
        <w:tc>
          <w:tcPr>
            <w:tcW w:w="1160" w:type="dxa"/>
            <w:vAlign w:val="bottom"/>
            <w:gridSpan w:val="3"/>
          </w:tcPr>
          <w:p>
            <w:pPr>
              <w:ind w:left="240"/>
              <w:spacing w:after="0"/>
              <w:rPr>
                <w:sz w:val="20"/>
                <w:szCs w:val="20"/>
                <w:color w:val="auto"/>
              </w:rPr>
            </w:pPr>
            <w:r>
              <w:rPr>
                <w:rFonts w:ascii="Arial" w:cs="Arial" w:eastAsia="Arial" w:hAnsi="Arial"/>
                <w:sz w:val="18"/>
                <w:szCs w:val="18"/>
                <w:color w:val="auto"/>
              </w:rPr>
              <w:t>Stock</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Option</w:t>
            </w: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auto"/>
            </w:tcBorders>
          </w:tcPr>
          <w:p>
            <w:pPr>
              <w:spacing w:after="0" w:line="263" w:lineRule="exact"/>
              <w:rPr>
                <w:sz w:val="20"/>
                <w:szCs w:val="20"/>
                <w:color w:val="auto"/>
              </w:rPr>
            </w:pPr>
            <w:r>
              <w:rPr>
                <w:rFonts w:ascii="Arial" w:cs="Arial" w:eastAsia="Arial" w:hAnsi="Arial"/>
                <w:sz w:val="18"/>
                <w:szCs w:val="18"/>
                <w:color w:val="auto"/>
              </w:rPr>
              <w:t>Name</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2"/>
              <w:spacing w:after="0" w:line="263" w:lineRule="exact"/>
              <w:rPr>
                <w:sz w:val="20"/>
                <w:szCs w:val="20"/>
                <w:color w:val="auto"/>
              </w:rPr>
            </w:pPr>
            <w:r>
              <w:rPr>
                <w:rFonts w:ascii="Arial" w:cs="Arial" w:eastAsia="Arial" w:hAnsi="Arial"/>
                <w:sz w:val="18"/>
                <w:szCs w:val="18"/>
                <w:color w:val="auto"/>
                <w:w w:val="85"/>
              </w:rPr>
              <w:t>Paid in Cash</w:t>
            </w:r>
            <w:r>
              <w:rPr>
                <w:rFonts w:ascii="Arial" w:cs="Arial" w:eastAsia="Arial" w:hAnsi="Arial"/>
                <w:sz w:val="29"/>
                <w:szCs w:val="29"/>
                <w:color w:val="auto"/>
                <w:w w:val="85"/>
                <w:vertAlign w:val="superscript"/>
              </w:rPr>
              <w:t>(2)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line="263" w:lineRule="exact"/>
              <w:rPr>
                <w:sz w:val="20"/>
                <w:szCs w:val="20"/>
                <w:color w:val="auto"/>
              </w:rPr>
            </w:pPr>
            <w:r>
              <w:rPr>
                <w:rFonts w:ascii="Arial" w:cs="Arial" w:eastAsia="Arial" w:hAnsi="Arial"/>
                <w:sz w:val="18"/>
                <w:szCs w:val="18"/>
                <w:color w:val="auto"/>
                <w:w w:val="93"/>
              </w:rPr>
              <w:t>Awards</w:t>
            </w:r>
            <w:r>
              <w:rPr>
                <w:rFonts w:ascii="Arial" w:cs="Arial" w:eastAsia="Arial" w:hAnsi="Arial"/>
                <w:sz w:val="29"/>
                <w:szCs w:val="29"/>
                <w:color w:val="auto"/>
                <w:w w:val="93"/>
                <w:vertAlign w:val="superscript"/>
              </w:rPr>
              <w:t>(3)</w:t>
            </w: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18"/>
                <w:szCs w:val="18"/>
                <w:color w:val="auto"/>
                <w:w w:val="81"/>
              </w:rPr>
              <w:t>Awards</w:t>
            </w:r>
            <w:r>
              <w:rPr>
                <w:rFonts w:ascii="Arial" w:cs="Arial" w:eastAsia="Arial" w:hAnsi="Arial"/>
                <w:sz w:val="29"/>
                <w:szCs w:val="29"/>
                <w:color w:val="auto"/>
                <w:w w:val="81"/>
                <w:vertAlign w:val="superscript"/>
              </w:rPr>
              <w:t>(4)(5)</w:t>
            </w:r>
          </w:p>
        </w:tc>
        <w:tc>
          <w:tcPr>
            <w:tcW w:w="320" w:type="dxa"/>
            <w:vAlign w:val="bottom"/>
          </w:tcPr>
          <w:p>
            <w:pPr>
              <w:spacing w:after="0"/>
              <w:rPr>
                <w:sz w:val="22"/>
                <w:szCs w:val="22"/>
                <w:color w:val="auto"/>
              </w:rPr>
            </w:pPr>
          </w:p>
        </w:tc>
        <w:tc>
          <w:tcPr>
            <w:tcW w:w="12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93"/>
              </w:rPr>
              <w:t>Compensation</w:t>
            </w:r>
          </w:p>
        </w:tc>
        <w:tc>
          <w:tcPr>
            <w:tcW w:w="0" w:type="dxa"/>
            <w:vAlign w:val="bottom"/>
          </w:tcPr>
          <w:p>
            <w:pPr>
              <w:spacing w:after="0"/>
              <w:rPr>
                <w:sz w:val="1"/>
                <w:szCs w:val="1"/>
                <w:color w:val="auto"/>
              </w:rPr>
            </w:pPr>
          </w:p>
        </w:tc>
      </w:tr>
      <w:tr>
        <w:trPr>
          <w:trHeight w:val="215"/>
        </w:trPr>
        <w:tc>
          <w:tcPr>
            <w:tcW w:w="2760" w:type="dxa"/>
            <w:vAlign w:val="bottom"/>
            <w:gridSpan w:val="2"/>
          </w:tcPr>
          <w:p>
            <w:pPr>
              <w:spacing w:after="0"/>
              <w:rPr>
                <w:sz w:val="20"/>
                <w:szCs w:val="20"/>
                <w:color w:val="auto"/>
              </w:rPr>
            </w:pPr>
            <w:r>
              <w:rPr>
                <w:rFonts w:ascii="Arial" w:cs="Arial" w:eastAsia="Arial" w:hAnsi="Arial"/>
                <w:sz w:val="18"/>
                <w:szCs w:val="18"/>
                <w:color w:val="auto"/>
              </w:rPr>
              <w:t>Byron J. Anderson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66,070</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90,070</w:t>
            </w:r>
          </w:p>
        </w:tc>
        <w:tc>
          <w:tcPr>
            <w:tcW w:w="0" w:type="dxa"/>
            <w:vAlign w:val="bottom"/>
          </w:tcPr>
          <w:p>
            <w:pPr>
              <w:spacing w:after="0"/>
              <w:rPr>
                <w:sz w:val="1"/>
                <w:szCs w:val="1"/>
                <w:color w:val="auto"/>
              </w:rPr>
            </w:pPr>
          </w:p>
        </w:tc>
      </w:tr>
      <w:tr>
        <w:trPr>
          <w:trHeight w:val="243"/>
        </w:trPr>
        <w:tc>
          <w:tcPr>
            <w:tcW w:w="2760" w:type="dxa"/>
            <w:vAlign w:val="bottom"/>
            <w:gridSpan w:val="2"/>
          </w:tcPr>
          <w:p>
            <w:pPr>
              <w:spacing w:after="0"/>
              <w:rPr>
                <w:sz w:val="20"/>
                <w:szCs w:val="20"/>
                <w:color w:val="auto"/>
              </w:rPr>
            </w:pPr>
            <w:r>
              <w:rPr>
                <w:rFonts w:ascii="Arial" w:cs="Arial" w:eastAsia="Arial" w:hAnsi="Arial"/>
                <w:sz w:val="18"/>
                <w:szCs w:val="18"/>
                <w:color w:val="auto"/>
              </w:rPr>
              <w:t>Robert G. Dutcher</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39,002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67,669</w:t>
            </w:r>
          </w:p>
        </w:tc>
        <w:tc>
          <w:tcPr>
            <w:tcW w:w="0" w:type="dxa"/>
            <w:vAlign w:val="bottom"/>
          </w:tcPr>
          <w:p>
            <w:pPr>
              <w:spacing w:after="0"/>
              <w:rPr>
                <w:sz w:val="1"/>
                <w:szCs w:val="1"/>
                <w:color w:val="auto"/>
              </w:rPr>
            </w:pPr>
          </w:p>
        </w:tc>
      </w:tr>
      <w:tr>
        <w:trPr>
          <w:trHeight w:val="249"/>
        </w:trPr>
        <w:tc>
          <w:tcPr>
            <w:tcW w:w="2760" w:type="dxa"/>
            <w:vAlign w:val="bottom"/>
            <w:gridSpan w:val="2"/>
          </w:tcPr>
          <w:p>
            <w:pPr>
              <w:spacing w:after="0"/>
              <w:rPr>
                <w:sz w:val="20"/>
                <w:szCs w:val="20"/>
                <w:color w:val="auto"/>
              </w:rPr>
            </w:pPr>
            <w:r>
              <w:rPr>
                <w:rFonts w:ascii="Arial" w:cs="Arial" w:eastAsia="Arial" w:hAnsi="Arial"/>
                <w:sz w:val="18"/>
                <w:szCs w:val="18"/>
                <w:color w:val="auto"/>
              </w:rPr>
              <w:t>Nancy D. Frame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39,002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73,669</w:t>
            </w:r>
          </w:p>
        </w:tc>
        <w:tc>
          <w:tcPr>
            <w:tcW w:w="0" w:type="dxa"/>
            <w:vAlign w:val="bottom"/>
          </w:tcPr>
          <w:p>
            <w:pPr>
              <w:spacing w:after="0"/>
              <w:rPr>
                <w:sz w:val="1"/>
                <w:szCs w:val="1"/>
                <w:color w:val="auto"/>
              </w:rPr>
            </w:pPr>
          </w:p>
        </w:tc>
      </w:tr>
    </w:tbl>
    <w:p>
      <w:pPr>
        <w:sectPr>
          <w:pgSz w:w="11900" w:h="16882" w:orient="portrait"/>
          <w:cols w:equalWidth="0" w:num="1">
            <w:col w:w="10219"/>
          </w:cols>
          <w:pgMar w:left="240" w:top="374"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John L. Mulligan</w:t>
            </w:r>
          </w:p>
        </w:tc>
        <w:tc>
          <w:tcPr>
            <w:tcW w:w="1900" w:type="dxa"/>
            <w:vAlign w:val="bottom"/>
          </w:tcPr>
          <w:p>
            <w:pPr>
              <w:jc w:val="right"/>
              <w:ind w:right="232"/>
              <w:spacing w:after="0"/>
              <w:rPr>
                <w:sz w:val="20"/>
                <w:szCs w:val="20"/>
                <w:color w:val="auto"/>
              </w:rPr>
            </w:pPr>
            <w:r>
              <w:rPr>
                <w:rFonts w:ascii="Arial" w:cs="Arial" w:eastAsia="Arial" w:hAnsi="Arial"/>
                <w:sz w:val="18"/>
                <w:szCs w:val="18"/>
                <w:color w:val="auto"/>
              </w:rPr>
              <w:t>26,000</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13,334</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56,229</w:t>
            </w:r>
          </w:p>
        </w:tc>
        <w:tc>
          <w:tcPr>
            <w:tcW w:w="1020" w:type="dxa"/>
            <w:vAlign w:val="bottom"/>
          </w:tcPr>
          <w:p>
            <w:pPr>
              <w:jc w:val="right"/>
              <w:spacing w:after="0"/>
              <w:rPr>
                <w:sz w:val="20"/>
                <w:szCs w:val="20"/>
                <w:color w:val="auto"/>
              </w:rPr>
            </w:pPr>
            <w:r>
              <w:rPr>
                <w:rFonts w:ascii="Arial" w:cs="Arial" w:eastAsia="Arial" w:hAnsi="Arial"/>
                <w:sz w:val="18"/>
                <w:szCs w:val="18"/>
                <w:color w:val="auto"/>
              </w:rPr>
              <w:t>95,563</w:t>
            </w:r>
          </w:p>
        </w:tc>
      </w:tr>
      <w:tr>
        <w:trPr>
          <w:trHeight w:val="264"/>
        </w:trPr>
        <w:tc>
          <w:tcPr>
            <w:tcW w:w="2560" w:type="dxa"/>
            <w:vAlign w:val="bottom"/>
          </w:tcPr>
          <w:p>
            <w:pPr>
              <w:spacing w:after="0"/>
              <w:rPr>
                <w:sz w:val="20"/>
                <w:szCs w:val="20"/>
                <w:color w:val="auto"/>
              </w:rPr>
            </w:pPr>
            <w:r>
              <w:rPr>
                <w:rFonts w:ascii="Arial" w:cs="Arial" w:eastAsia="Arial" w:hAnsi="Arial"/>
                <w:sz w:val="18"/>
                <w:szCs w:val="18"/>
                <w:color w:val="auto"/>
              </w:rPr>
              <w:t>Dr. Duane E. Sander</w:t>
            </w:r>
          </w:p>
        </w:tc>
        <w:tc>
          <w:tcPr>
            <w:tcW w:w="1900" w:type="dxa"/>
            <w:vAlign w:val="bottom"/>
          </w:tcPr>
          <w:p>
            <w:pPr>
              <w:jc w:val="right"/>
              <w:ind w:right="232"/>
              <w:spacing w:after="0"/>
              <w:rPr>
                <w:sz w:val="20"/>
                <w:szCs w:val="20"/>
                <w:color w:val="auto"/>
              </w:rPr>
            </w:pPr>
            <w:r>
              <w:rPr>
                <w:rFonts w:ascii="Arial" w:cs="Arial" w:eastAsia="Arial" w:hAnsi="Arial"/>
                <w:sz w:val="18"/>
                <w:szCs w:val="18"/>
                <w:color w:val="auto"/>
              </w:rPr>
              <w:t>22,000</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13,334</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56,229</w:t>
            </w:r>
          </w:p>
        </w:tc>
        <w:tc>
          <w:tcPr>
            <w:tcW w:w="1020" w:type="dxa"/>
            <w:vAlign w:val="bottom"/>
          </w:tcPr>
          <w:p>
            <w:pPr>
              <w:jc w:val="right"/>
              <w:spacing w:after="0"/>
              <w:rPr>
                <w:sz w:val="20"/>
                <w:szCs w:val="20"/>
                <w:color w:val="auto"/>
              </w:rPr>
            </w:pPr>
            <w:r>
              <w:rPr>
                <w:rFonts w:ascii="Arial" w:cs="Arial" w:eastAsia="Arial" w:hAnsi="Arial"/>
                <w:sz w:val="18"/>
                <w:szCs w:val="18"/>
                <w:color w:val="auto"/>
              </w:rPr>
              <w:t>91,563</w:t>
            </w:r>
          </w:p>
        </w:tc>
      </w:tr>
      <w:tr>
        <w:trPr>
          <w:trHeight w:val="249"/>
        </w:trPr>
        <w:tc>
          <w:tcPr>
            <w:tcW w:w="2560" w:type="dxa"/>
            <w:vAlign w:val="bottom"/>
          </w:tcPr>
          <w:p>
            <w:pPr>
              <w:spacing w:after="0"/>
              <w:rPr>
                <w:sz w:val="20"/>
                <w:szCs w:val="20"/>
                <w:color w:val="auto"/>
              </w:rPr>
            </w:pPr>
            <w:r>
              <w:rPr>
                <w:rFonts w:ascii="Arial" w:cs="Arial" w:eastAsia="Arial" w:hAnsi="Arial"/>
                <w:sz w:val="18"/>
                <w:szCs w:val="18"/>
                <w:color w:val="auto"/>
              </w:rPr>
              <w:t>James A. Vellenga</w:t>
            </w:r>
          </w:p>
        </w:tc>
        <w:tc>
          <w:tcPr>
            <w:tcW w:w="1900" w:type="dxa"/>
            <w:vAlign w:val="bottom"/>
          </w:tcPr>
          <w:p>
            <w:pPr>
              <w:jc w:val="right"/>
              <w:ind w:right="232"/>
              <w:spacing w:after="0"/>
              <w:rPr>
                <w:sz w:val="20"/>
                <w:szCs w:val="20"/>
                <w:color w:val="auto"/>
              </w:rPr>
            </w:pPr>
            <w:r>
              <w:rPr>
                <w:rFonts w:ascii="Arial" w:cs="Arial" w:eastAsia="Arial" w:hAnsi="Arial"/>
                <w:sz w:val="18"/>
                <w:szCs w:val="18"/>
                <w:color w:val="auto"/>
              </w:rPr>
              <w:t>26,000</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66,070</w:t>
            </w:r>
          </w:p>
        </w:tc>
        <w:tc>
          <w:tcPr>
            <w:tcW w:w="1020" w:type="dxa"/>
            <w:vAlign w:val="bottom"/>
          </w:tcPr>
          <w:p>
            <w:pPr>
              <w:jc w:val="right"/>
              <w:spacing w:after="0"/>
              <w:rPr>
                <w:sz w:val="20"/>
                <w:szCs w:val="20"/>
                <w:color w:val="auto"/>
              </w:rPr>
            </w:pPr>
            <w:r>
              <w:rPr>
                <w:rFonts w:ascii="Arial" w:cs="Arial" w:eastAsia="Arial" w:hAnsi="Arial"/>
                <w:sz w:val="18"/>
                <w:szCs w:val="18"/>
                <w:color w:val="auto"/>
              </w:rPr>
              <w:t>92,070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50" w:lineRule="exact"/>
        <w:rPr>
          <w:sz w:val="20"/>
          <w:szCs w:val="20"/>
          <w:color w:val="auto"/>
        </w:rPr>
      </w:pPr>
    </w:p>
    <w:p>
      <w:pPr>
        <w:ind w:left="380" w:right="2119" w:hanging="372"/>
        <w:spacing w:after="0" w:line="216"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As employees of the Company, James B. Morgan, the President and Chief Executive Officer, Aelred J. Kurtenbach, Chairman of the Board, and Frank J. Kurtenbach, Vice President, received no Director fees from us during fiscal year 2009 and are therefore not included in the table.</w:t>
      </w:r>
    </w:p>
    <w:p>
      <w:pPr>
        <w:ind w:left="380" w:hanging="372"/>
        <w:spacing w:after="0" w:line="192"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Consists of fees earned for fiscal year 2009 and paid in fiscal year 2009 or fiscal year 2010.</w:t>
      </w:r>
    </w:p>
    <w:p>
      <w:pPr>
        <w:spacing w:after="0" w:line="82" w:lineRule="exact"/>
        <w:rPr>
          <w:rFonts w:ascii="Arial" w:cs="Arial" w:eastAsia="Arial" w:hAnsi="Arial"/>
          <w:sz w:val="22"/>
          <w:szCs w:val="22"/>
          <w:color w:val="auto"/>
          <w:vertAlign w:val="superscript"/>
        </w:rPr>
      </w:pPr>
    </w:p>
    <w:p>
      <w:pPr>
        <w:jc w:val="both"/>
        <w:ind w:left="380" w:right="2099" w:hanging="372"/>
        <w:spacing w:after="0" w:line="235"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On August 28, 2008, Mr. Mulligan, Dr. Sander, Mr. Dutcher and Ms. Frame each received 1,122 restricted shares with a grant date fair value of $20,000 which vest on August 27, 2009. The value of the stock awards is the amount that we recognize for financial reporting purposes under Statement of Financial Accounting Standard (“SFAS”) No. 123(R). Refer to “Item 7. Management’s Discussion and Analysis of Financial Condition and Results of Operations – Critical accounting policies and estimates – Equity-based compensation” in our Annual Report on Form 10-K for the fiscal year ended May 2, 2009 for a discussion of the assumptions used in calculating the expense under SFAS No. 123(R). This portion of the Annual Report on Form 10-K is included in our 2009 Annual Report to Shareholders.</w:t>
      </w:r>
    </w:p>
    <w:p>
      <w:pPr>
        <w:spacing w:after="0" w:line="1" w:lineRule="exact"/>
        <w:rPr>
          <w:rFonts w:ascii="Arial" w:cs="Arial" w:eastAsia="Arial" w:hAnsi="Arial"/>
          <w:sz w:val="19"/>
          <w:szCs w:val="19"/>
          <w:color w:val="auto"/>
          <w:vertAlign w:val="superscript"/>
        </w:rPr>
      </w:pPr>
    </w:p>
    <w:p>
      <w:pPr>
        <w:jc w:val="both"/>
        <w:ind w:left="380" w:right="2119" w:hanging="372"/>
        <w:spacing w:after="0" w:line="216" w:lineRule="auto"/>
        <w:tabs>
          <w:tab w:leader="none" w:pos="3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As of May 2, 2009, the following non-employee directors had outstanding options to purchase the following number of shares of our common stock, all of which had been granted under our 1993 Outside Directors Stock Option Plan, 2001 Outside Directors Stock Option Plan or 2007 Stock Incentive Plan: Mr. Anderson (32,000 shares, which were all exercisable), Mr. Dutcher (79,481 shares, of which options to purchase 60,000 shares were exercisable), Ms. Frame (55,481 shares, of which options to purchase 36,000 shares were exercisable), Mr. Mulligan (37,661 shares, of which options to purchase 28,554 shares were exercisable), Dr. Sander (37,661 shares, of which options to purchase 28,553 shares were exercisable) and Mr. Vellenga (60,000 shares, which were all exercisable).</w:t>
      </w:r>
    </w:p>
    <w:p>
      <w:pPr>
        <w:spacing w:after="0" w:line="1" w:lineRule="exact"/>
        <w:rPr>
          <w:rFonts w:ascii="Arial" w:cs="Arial" w:eastAsia="Arial" w:hAnsi="Arial"/>
          <w:sz w:val="21"/>
          <w:szCs w:val="21"/>
          <w:color w:val="auto"/>
          <w:vertAlign w:val="superscript"/>
        </w:rPr>
      </w:pPr>
    </w:p>
    <w:p>
      <w:pPr>
        <w:jc w:val="both"/>
        <w:ind w:left="380" w:right="2119" w:hanging="372"/>
        <w:spacing w:after="0" w:line="238" w:lineRule="auto"/>
        <w:tabs>
          <w:tab w:leader="none" w:pos="3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On August 28, 2008, Mr. Dutcher and Ms. Frame each received a stock option award with a grant date fair value of $6.93 per share (19,481 shares). The grant date fair values were computed in accordance with SFAS No. 123(R). The value of the stock options is the amount that the we recognize for financial reporting purposes under SFAS No. 123(R). Refer to “Item 7. Management’s Discussion and Analysis of Financial Condition and Results of Operations – Critical accounting policies and estimates – Equity-based compensation” in our Annual Report on Form 10-K for the fiscal year ended May 2, 2009 for discussion of the assumptions used in calculating the expense under SFAS No. 123(R). This portion of the Annual Report on Form 10-K is included in our 2009 Annual Report to Shareholders.</w:t>
      </w:r>
    </w:p>
    <w:p>
      <w:pPr>
        <w:spacing w:after="0" w:line="22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2009, each independent Director received an annual retainer of $12,000,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plus $2,000 per meeting, for each Board of Directors meeting attended in person and the following annual retainers for committee membership: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2"/>
              <w:spacing w:after="0" w:line="197" w:lineRule="exact"/>
              <w:rPr>
                <w:sz w:val="20"/>
                <w:szCs w:val="20"/>
                <w:color w:val="auto"/>
              </w:rPr>
            </w:pPr>
            <w:r>
              <w:rPr>
                <w:rFonts w:ascii="Arial" w:cs="Arial" w:eastAsia="Arial" w:hAnsi="Arial"/>
                <w:sz w:val="18"/>
                <w:szCs w:val="18"/>
                <w:color w:val="auto"/>
                <w:w w:val="95"/>
              </w:rPr>
              <w:t>Members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Audit Committee</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536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9"/>
        </w:trPr>
        <w:tc>
          <w:tcPr>
            <w:tcW w:w="5360" w:type="dxa"/>
            <w:vAlign w:val="bottom"/>
            <w:gridSpan w:val="3"/>
          </w:tcPr>
          <w:p>
            <w:pPr>
              <w:spacing w:after="0"/>
              <w:rPr>
                <w:sz w:val="20"/>
                <w:szCs w:val="20"/>
                <w:color w:val="auto"/>
              </w:rPr>
            </w:pPr>
            <w:r>
              <w:rPr>
                <w:rFonts w:ascii="Arial" w:cs="Arial" w:eastAsia="Arial" w:hAnsi="Arial"/>
                <w:sz w:val="18"/>
                <w:szCs w:val="18"/>
                <w:color w:val="auto"/>
              </w:rPr>
              <w:t>Governance and Nominating Committee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retainers for Board and committee service are included in the table above entitled “Fiscal Year 2009 Director Compensation”.</w:t>
      </w: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b w:val="1"/>
          <w:bCs w:val="1"/>
          <w:i w:val="1"/>
          <w:iCs w:val="1"/>
          <w:color w:val="auto"/>
        </w:rPr>
        <w:t xml:space="preserve">1993 and 2001 Directors Stock Option Plans. </w:t>
      </w:r>
      <w:r>
        <w:rPr>
          <w:rFonts w:ascii="Arial" w:cs="Arial" w:eastAsia="Arial" w:hAnsi="Arial"/>
          <w:sz w:val="16"/>
          <w:szCs w:val="16"/>
          <w:color w:val="auto"/>
        </w:rPr>
        <w:t>The 1993 Outside Directors Option Plan and the 2001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Option Plan (the “Directors Plans”) were intended to assist us in attracting, motivating and retaining well-qualified individuals to serve as our Directors. The Directors Plans provided for the automatic grant of options up to a predefined level. The only individuals eligible to receive options under the Directors Plans were members of our Board of Directors who were not our employees. The Directors Plans provide that the total number of shares of our common stock that may be purchased upon the exercise of options could not exceed 800,000shares, subject to adjustment. The Directors Plans were administered by our Board of Directors through our Compensation Committee.</w:t>
      </w:r>
    </w:p>
    <w:p>
      <w:pPr>
        <w:spacing w:after="0" w:line="172"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During the terms of the Directors Plans, all grants of stock options were automatically awarded at or below the maximum level permitted by the Directors Plans, which was up to 36,000 shares upon their initial appointment or re-election to the Board of Directors. In connection with the implementation of the 2007 Stock Incentive Plan, the Board of Directors terminated the right to grant any additional options under the Directors Plans. As of June 29, 2009, options to purchase 236,000 shares were outstanding under the Directors Plans.</w:t>
      </w:r>
    </w:p>
    <w:p>
      <w:pPr>
        <w:spacing w:after="0" w:line="170" w:lineRule="exact"/>
        <w:rPr>
          <w:sz w:val="20"/>
          <w:szCs w:val="20"/>
          <w:color w:val="auto"/>
        </w:rPr>
      </w:pPr>
    </w:p>
    <w:p>
      <w:pPr>
        <w:jc w:val="both"/>
        <w:ind w:right="2099"/>
        <w:spacing w:after="0" w:line="310" w:lineRule="auto"/>
        <w:rPr>
          <w:sz w:val="20"/>
          <w:szCs w:val="20"/>
          <w:color w:val="auto"/>
        </w:rPr>
      </w:pPr>
      <w:r>
        <w:rPr>
          <w:rFonts w:ascii="Arial" w:cs="Arial" w:eastAsia="Arial" w:hAnsi="Arial"/>
          <w:sz w:val="15"/>
          <w:szCs w:val="15"/>
          <w:color w:val="auto"/>
        </w:rPr>
        <w:t>All options granted to non-employee Directors under the Directors Plans were non-qualified options not intended to qualify as incentive stock options under Section 422 of the Internal Revenue Code of 1986. Payment for shares upon exercise of any automatic or discretionary options granted to non-employee Directors under the Directors Plans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6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b w:val="1"/>
          <w:bCs w:val="1"/>
          <w:i w:val="1"/>
          <w:iCs w:val="1"/>
          <w:color w:val="auto"/>
        </w:rPr>
        <w:t xml:space="preserve">2007 Stock Incentive Plan. </w:t>
      </w:r>
      <w:r>
        <w:rPr>
          <w:rFonts w:ascii="Arial" w:cs="Arial" w:eastAsia="Arial" w:hAnsi="Arial"/>
          <w:sz w:val="18"/>
          <w:szCs w:val="18"/>
          <w:color w:val="auto"/>
        </w:rPr>
        <w:t>The 2007 Stock Incentive Plan (the “2007 Plan”) is intended to attract and retain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employees, Board members and consultants and enable such individuals to participate in our long-term success and growth by granting various types of equity incentive which create a proprietary interest in the Company.</w:t>
      </w:r>
    </w:p>
    <w:p>
      <w:pPr>
        <w:spacing w:after="0" w:line="197"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2007 Plan permits the Board of Directors to award various forms of equity compensation, including options, restricted stock, restricted stock units and deferred stock, to eligible recipients, including members of the Board. Under the 2007 Plan, the Board has provided for the automatic grant of options to each non-employee Director upon his or her initial appointment at a regular meeting of the shareholders and upon re-election to the Board of</w:t>
      </w:r>
    </w:p>
    <w:p>
      <w:pPr>
        <w:sectPr>
          <w:pgSz w:w="11900" w:h="16838" w:orient="portrait"/>
          <w:cols w:equalWidth="0" w:num="1">
            <w:col w:w="10219"/>
          </w:cols>
          <w:pgMar w:left="240" w:top="131" w:right="1440" w:bottom="0" w:gutter="0" w:footer="0" w:header="0"/>
        </w:sectPr>
      </w:pPr>
    </w:p>
    <w:bookmarkStart w:id="10" w:name="page11"/>
    <w:bookmarkEnd w:id="10"/>
    <w:p>
      <w:pPr>
        <w:jc w:val="both"/>
        <w:ind w:right="2119"/>
        <w:spacing w:after="0" w:line="259" w:lineRule="auto"/>
        <w:rPr>
          <w:sz w:val="20"/>
          <w:szCs w:val="20"/>
          <w:color w:val="auto"/>
        </w:rPr>
      </w:pPr>
      <w:r>
        <w:rPr>
          <w:rFonts w:ascii="Arial" w:cs="Arial" w:eastAsia="Arial" w:hAnsi="Arial"/>
          <w:sz w:val="18"/>
          <w:szCs w:val="18"/>
          <w:color w:val="auto"/>
        </w:rPr>
        <w:t>Directors and for the automatic grant of restricted stock to each non-employee Director upon his or her initial appointment at a regular meeting of shareholders and upon re-election to the Board and each year thereafter during the Director’s term of appointment.</w:t>
      </w:r>
    </w:p>
    <w:p>
      <w:pPr>
        <w:spacing w:after="0" w:line="194"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The number of shares underlying the options automatically granted under the 2007 Plan to non-employee Directors is determined in accordance with SFAS No. 123(R) such that the total grant date fair value of the options equals $45,000. The automatic options vest over three years, beginning one year after grant, and they generally have the same terms and conditions as the automatic options granted under the Directors Plans.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 Payment for shares upon exercise of any automatic or discretionary options granted to non-employee Directors under the 2007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8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number of shares of restricted stock automatically granted to non-employee Directors under the 2007 Plan is also determined in accordance with SFAS No. 123(R), such that the total grant date fair value of the restricted stock equals $20,000. The restricted stock vests one year following the grant date. These grants are included in the table above entitled “Fiscal Year 2009 Director Compensation”.</w:t>
      </w:r>
    </w:p>
    <w:p>
      <w:pPr>
        <w:spacing w:after="0" w:line="19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During fiscal 2009, Ms. Frame and Mr. Dutcher each received automatic grants of options under the 2007 Plan to purchase 19,481 shares of stock and Mr. Mulligan, Dr. Sander, Ms. Frame and Mr. Dutcher received automatic grants of 1,122 shares of restricted stock. These grants are included in the table above entitled “Fiscal Year 2009 Director Compensation.”</w:t>
      </w:r>
    </w:p>
    <w:p>
      <w:pPr>
        <w:spacing w:after="0" w:line="19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In January 2007, the Board of Directors implemented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guidelines for Directors. Under these guidelines, each Director is expected to achieve a target of 5,000 shares, excluding shares subject to options. Directors were granted five years from January 2007 to achieve this level of ownership.</w:t>
      </w:r>
    </w:p>
    <w:p>
      <w:pPr>
        <w:spacing w:after="0" w:line="200" w:lineRule="exact"/>
        <w:rPr>
          <w:sz w:val="20"/>
          <w:szCs w:val="20"/>
          <w:color w:val="auto"/>
        </w:rPr>
      </w:pPr>
    </w:p>
    <w:p>
      <w:pPr>
        <w:spacing w:after="0" w:line="24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The following discussion sets forth information as of July 1, 2009 about our executive officers who are not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56"/>
        </w:trPr>
        <w:tc>
          <w:tcPr>
            <w:tcW w:w="2080" w:type="dxa"/>
            <w:vAlign w:val="bottom"/>
            <w:gridSpan w:val="2"/>
          </w:tcPr>
          <w:p>
            <w:pPr>
              <w:ind w:left="700"/>
              <w:spacing w:after="0"/>
              <w:rPr>
                <w:sz w:val="20"/>
                <w:szCs w:val="20"/>
                <w:color w:val="auto"/>
              </w:rPr>
            </w:pPr>
            <w:r>
              <w:rPr>
                <w:rFonts w:ascii="Arial" w:cs="Arial" w:eastAsia="Arial" w:hAnsi="Arial"/>
                <w:sz w:val="18"/>
                <w:szCs w:val="18"/>
                <w:b w:val="1"/>
                <w:bCs w:val="1"/>
                <w:color w:val="auto"/>
              </w:rPr>
              <w:t>Name</w:t>
            </w:r>
          </w:p>
        </w:tc>
        <w:tc>
          <w:tcPr>
            <w:tcW w:w="3880" w:type="dxa"/>
            <w:vAlign w:val="bottom"/>
            <w:gridSpan w:val="2"/>
          </w:tcPr>
          <w:p>
            <w:pPr>
              <w:ind w:left="760"/>
              <w:spacing w:after="0"/>
              <w:rPr>
                <w:sz w:val="20"/>
                <w:szCs w:val="20"/>
                <w:color w:val="auto"/>
              </w:rPr>
            </w:pPr>
            <w:r>
              <w:rPr>
                <w:rFonts w:ascii="Arial" w:cs="Arial" w:eastAsia="Arial" w:hAnsi="Arial"/>
                <w:sz w:val="18"/>
                <w:szCs w:val="18"/>
                <w:b w:val="1"/>
                <w:bCs w:val="1"/>
                <w:color w:val="auto"/>
              </w:rPr>
              <w:t>Positions with the Company</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Age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216"/>
        </w:trPr>
        <w:tc>
          <w:tcPr>
            <w:tcW w:w="1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William R. Retterath</w:t>
            </w:r>
          </w:p>
        </w:tc>
        <w:tc>
          <w:tcPr>
            <w:tcW w:w="240" w:type="dxa"/>
            <w:vAlign w:val="bottom"/>
          </w:tcPr>
          <w:p>
            <w:pPr>
              <w:spacing w:after="0"/>
              <w:rPr>
                <w:sz w:val="18"/>
                <w:szCs w:val="18"/>
                <w:color w:val="auto"/>
              </w:rPr>
            </w:pPr>
          </w:p>
        </w:tc>
        <w:tc>
          <w:tcPr>
            <w:tcW w:w="36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w:t>
            </w:r>
          </w:p>
        </w:tc>
        <w:tc>
          <w:tcPr>
            <w:tcW w:w="4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2001</w:t>
            </w:r>
          </w:p>
        </w:tc>
      </w:tr>
      <w:tr>
        <w:trPr>
          <w:trHeight w:val="222"/>
        </w:trPr>
        <w:tc>
          <w:tcPr>
            <w:tcW w:w="2080" w:type="dxa"/>
            <w:vAlign w:val="bottom"/>
            <w:gridSpan w:val="2"/>
          </w:tcPr>
          <w:p>
            <w:pPr>
              <w:ind w:left="100"/>
              <w:spacing w:after="0"/>
              <w:rPr>
                <w:sz w:val="20"/>
                <w:szCs w:val="20"/>
                <w:color w:val="auto"/>
              </w:rPr>
            </w:pPr>
            <w:r>
              <w:rPr>
                <w:rFonts w:ascii="Arial" w:cs="Arial" w:eastAsia="Arial" w:hAnsi="Arial"/>
                <w:sz w:val="18"/>
                <w:szCs w:val="18"/>
                <w:color w:val="auto"/>
              </w:rPr>
              <w:t>Bradley T. Wiemann</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w w:val="96"/>
              </w:rPr>
              <w:t>Vice President – Commercial and Transportation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2004</w:t>
            </w:r>
          </w:p>
        </w:tc>
      </w:tr>
      <w:tr>
        <w:trPr>
          <w:trHeight w:val="243"/>
        </w:trPr>
        <w:tc>
          <w:tcPr>
            <w:tcW w:w="2080" w:type="dxa"/>
            <w:vAlign w:val="bottom"/>
            <w:gridSpan w:val="2"/>
          </w:tcPr>
          <w:p>
            <w:pPr>
              <w:ind w:left="100"/>
              <w:spacing w:after="0"/>
              <w:rPr>
                <w:sz w:val="20"/>
                <w:szCs w:val="20"/>
                <w:color w:val="auto"/>
              </w:rPr>
            </w:pPr>
            <w:r>
              <w:rPr>
                <w:rFonts w:ascii="Arial" w:cs="Arial" w:eastAsia="Arial" w:hAnsi="Arial"/>
                <w:sz w:val="18"/>
                <w:szCs w:val="18"/>
                <w:color w:val="auto"/>
              </w:rPr>
              <w:t>Reece A. Kurtenbach</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Vice President – Live Events and International</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2004</w:t>
            </w:r>
          </w:p>
        </w:tc>
      </w:tr>
    </w:tbl>
    <w:p>
      <w:pPr>
        <w:spacing w:after="0" w:line="264"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b w:val="1"/>
          <w:bCs w:val="1"/>
          <w:i w:val="1"/>
          <w:iCs w:val="1"/>
          <w:color w:val="auto"/>
        </w:rPr>
        <w:t xml:space="preserve">William R. Retterath </w:t>
      </w:r>
      <w:r>
        <w:rPr>
          <w:rFonts w:ascii="Arial" w:cs="Arial" w:eastAsia="Arial" w:hAnsi="Arial"/>
          <w:sz w:val="18"/>
          <w:szCs w:val="18"/>
          <w:color w:val="auto"/>
        </w:rPr>
        <w:t>joined the Company in 2001 as Chief Financial Officer and Treasurer. During 2001,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the Company, Mr. Retterath served as the Chief Financial Officer of MQSoftware, Inc. From 1999 through 2000, he was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252"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b w:val="1"/>
          <w:bCs w:val="1"/>
          <w:i w:val="1"/>
          <w:iCs w:val="1"/>
          <w:color w:val="auto"/>
        </w:rPr>
        <w:t xml:space="preserve">Reece A. Kurtenbach </w:t>
      </w:r>
      <w:r>
        <w:rPr>
          <w:rFonts w:ascii="Arial" w:cs="Arial" w:eastAsia="Arial" w:hAnsi="Arial"/>
          <w:sz w:val="16"/>
          <w:szCs w:val="16"/>
          <w:color w:val="auto"/>
        </w:rPr>
        <w:t>joined the Company in 1991 as an applications engineer on large display projects. In 1994,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became the manager of what is today our video products engineering group and, in 2004, was appointed Vice President, Video Systems. In 2007, he was named Vice President, Live Events and International. Mr. Kurtenbach received a B.S. degree from South Dakota State University in electrical engineering, with minors in math and computer science. Mr. Kurtenbach is the son of Aelred Kurtenbach.</w:t>
      </w:r>
    </w:p>
    <w:p>
      <w:pPr>
        <w:spacing w:after="0" w:line="197"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an engineer focusing in our commercial and transportation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after spending a number of years with Rockwell International Corporation, where he was involved in flight control systems. In 2004, he was appointed Vice President, Commercial and Transportation,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SECTION 16(a) BENEFICIAL OWNERSHIP REPORTING COMPLIANCE</w:t>
      </w:r>
    </w:p>
    <w:p>
      <w:pPr>
        <w:sectPr>
          <w:pgSz w:w="11900" w:h="16838" w:orient="portrait"/>
          <w:cols w:equalWidth="0" w:num="1">
            <w:col w:w="10219"/>
          </w:cols>
          <w:pgMar w:left="240" w:top="131" w:right="1440" w:bottom="167" w:gutter="0" w:footer="0" w:header="0"/>
        </w:sectPr>
      </w:pPr>
    </w:p>
    <w:bookmarkStart w:id="11" w:name="page12"/>
    <w:bookmarkEnd w:id="11"/>
    <w:p>
      <w:pPr>
        <w:jc w:val="both"/>
        <w:ind w:right="2099"/>
        <w:spacing w:after="0" w:line="290" w:lineRule="auto"/>
        <w:rPr>
          <w:sz w:val="20"/>
          <w:szCs w:val="20"/>
          <w:color w:val="auto"/>
        </w:rPr>
      </w:pPr>
      <w:r>
        <w:rPr>
          <w:rFonts w:ascii="Arial" w:cs="Arial" w:eastAsia="Arial" w:hAnsi="Arial"/>
          <w:sz w:val="16"/>
          <w:szCs w:val="16"/>
          <w:color w:val="auto"/>
        </w:rPr>
        <w:t>Section 16(a) of the Securities Exchange Act of 1934 requires that our Directors, executive officers, and persons who own more than 10%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fiscal 2009.</w:t>
      </w:r>
    </w:p>
    <w:p>
      <w:pPr>
        <w:spacing w:after="0" w:line="19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Components</w:t>
      </w:r>
    </w:p>
    <w:p>
      <w:pPr>
        <w:spacing w:after="0" w:line="1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We compete in a competitive market for personnel, both for executives and for non-executive employees. Desirable candidates for employment may also have opportunities from many other attractive employers, such as multi-national companies, venture-backed or fast-growing technology companies and manufacturing institutions. Our long-term success depends on our ability to develop and market innovative visual display systems. In addition, the competitive nature of our business pressures us to continually improve productivity across our operations. To achieve these goals, it is critical that we be able to attract, motivate and retain highly talented individuals at all levels of the organization.</w:t>
      </w:r>
    </w:p>
    <w:p>
      <w:pPr>
        <w:spacing w:after="0" w:line="17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Compensation Committee of our Board of Directors bases its executive compensation programs on the same objectives that guide us in establishing all of our compensation programs:</w:t>
      </w:r>
    </w:p>
    <w:p>
      <w:pPr>
        <w:spacing w:after="0" w:line="186" w:lineRule="exact"/>
        <w:rPr>
          <w:sz w:val="20"/>
          <w:szCs w:val="20"/>
          <w:color w:val="auto"/>
        </w:rPr>
      </w:pPr>
    </w:p>
    <w:p>
      <w:pPr>
        <w:jc w:val="both"/>
        <w:ind w:left="660" w:right="2119" w:hanging="328"/>
        <w:spacing w:after="0" w:line="267"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6"/>
          <w:szCs w:val="16"/>
          <w:color w:val="auto"/>
        </w:rPr>
        <w:t>Compensation should be based on the level of job responsibility, individual performance and Company performance. As employees progress to higher levels in the organization, an increasing proportion of their pay should be linked to our performance because they are more able to affect our results.</w:t>
      </w:r>
    </w:p>
    <w:p>
      <w:pPr>
        <w:spacing w:after="0" w:line="2" w:lineRule="exact"/>
        <w:rPr>
          <w:rFonts w:ascii="Arial" w:cs="Arial" w:eastAsia="Arial" w:hAnsi="Arial"/>
          <w:sz w:val="19"/>
          <w:szCs w:val="19"/>
          <w:color w:val="auto"/>
        </w:rPr>
      </w:pPr>
    </w:p>
    <w:p>
      <w:pPr>
        <w:ind w:left="660" w:right="2099" w:hanging="328"/>
        <w:spacing w:after="0" w:line="22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Compensation should reward performance, and the objectives of pay-for-performance and retention must be balanced.</w:t>
      </w:r>
    </w:p>
    <w:p>
      <w:pPr>
        <w:jc w:val="both"/>
        <w:ind w:left="660" w:right="2119"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Compensation should reflect the value of the job in the marketplace. To attract and retain a highly skilled work force, we must remain competitive with the pay of other premier employers who compete with us for talent.</w:t>
      </w:r>
    </w:p>
    <w:p>
      <w:pPr>
        <w:jc w:val="both"/>
        <w:ind w:left="660" w:right="2119" w:hanging="328"/>
        <w:spacing w:after="0" w:line="246" w:lineRule="auto"/>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Although compensation and benefit programs and individual pay levels will reflect differences in performance, job responsibilities, geographies and marketplace considerations, the overall structure of compensation and benefit programs should be broadly similar across the organization.</w:t>
      </w:r>
    </w:p>
    <w:p>
      <w:pPr>
        <w:ind w:left="660" w:right="2119" w:hanging="328"/>
        <w:spacing w:after="0" w:line="225"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To be effective, performance-based compensation programs should measure the achievement of objectives that are critical for driving our success.</w:t>
      </w:r>
    </w:p>
    <w:p>
      <w:pPr>
        <w:spacing w:after="0" w:line="23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right="2119" w:hanging="328"/>
        <w:spacing w:after="0" w:line="280"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Except for benefits and programs that are available to all our employees or a broad selection of our general employee population, our executives should receive few perquisites, if any, and those that are provided should receive specific approval and meet a defined business purpose of the Company.</w:t>
      </w:r>
    </w:p>
    <w:p>
      <w:pPr>
        <w:spacing w:after="0" w:line="207"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attracts and retains talented management, motivates our executives to achieve short- and long-range corporate objectives, and aligns the motivation and interests of the executives with the interests of our shareholders.</w:t>
      </w:r>
    </w:p>
    <w:p>
      <w:pPr>
        <w:spacing w:after="0" w:line="170"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Compensation Committee administers our equity-based compensation and management incentive programs and other compensation initiatives identified by the Board. The Compensation Committee reviews and approves each executive’s base pay, bonus and equity incentives annually, as well as our annual incentive plan under which executive officers may receive cash bonus payments.</w:t>
      </w:r>
    </w:p>
    <w:p>
      <w:pPr>
        <w:spacing w:after="0" w:line="167"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view the various components of compensation as related but distinct. Although the Compensation Committee reviews and considers total compensation for each executive officer,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internal equity and consistency;</w:t>
      </w:r>
    </w:p>
    <w:p>
      <w:pPr>
        <w:spacing w:after="0" w:line="34" w:lineRule="exact"/>
        <w:rPr>
          <w:rFonts w:ascii="Arial" w:cs="Arial" w:eastAsia="Arial" w:hAnsi="Arial"/>
          <w:sz w:val="22"/>
          <w:szCs w:val="22"/>
          <w:color w:val="auto"/>
        </w:rPr>
      </w:pPr>
    </w:p>
    <w:p>
      <w:pPr>
        <w:ind w:left="660" w:hanging="328"/>
        <w:spacing w:after="0" w:line="19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individual performance;</w:t>
      </w:r>
    </w:p>
    <w:p>
      <w:pPr>
        <w:spacing w:after="0" w:line="3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the executive compensation paid by other companies with which we compete for executive talent; and</w:t>
      </w:r>
    </w:p>
    <w:p>
      <w:pPr>
        <w:spacing w:after="0" w:line="35" w:lineRule="exact"/>
        <w:rPr>
          <w:rFonts w:ascii="Arial" w:cs="Arial" w:eastAsia="Arial" w:hAnsi="Arial"/>
          <w:sz w:val="19"/>
          <w:szCs w:val="19"/>
          <w:color w:val="auto"/>
        </w:rPr>
      </w:pPr>
    </w:p>
    <w:p>
      <w:pPr>
        <w:ind w:left="660" w:hanging="328"/>
        <w:spacing w:after="0" w:line="197"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Company performance.</w:t>
      </w:r>
    </w:p>
    <w:p>
      <w:pPr>
        <w:spacing w:after="0" w:line="26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based on our financial goals.</w:t>
      </w:r>
    </w:p>
    <w:p>
      <w:pPr>
        <w:spacing w:after="0" w:line="197"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For fiscal year 2009, our named executive officers were Dr. Aelred J. Kurtenbach, Chairman of the Board, James B. Morgan, Chief Executive Officer, William R. Retterath, Chief Financial Officer, Reece A. Kurtenbach, Vice</w:t>
      </w:r>
    </w:p>
    <w:p>
      <w:pPr>
        <w:sectPr>
          <w:pgSz w:w="11900" w:h="16838" w:orient="portrait"/>
          <w:cols w:equalWidth="0" w:num="1">
            <w:col w:w="10219"/>
          </w:cols>
          <w:pgMar w:left="240" w:top="131" w:right="1440"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President and Bradley T. Wiemann, Vice President (the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5"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During meetings with the Compensation Committee held throughout the year, our Chief Executive Officer presents to the Compensation Committee his recommendations regarding changes in his compensation and the compensation for our Chief Financial Officer and all vice presidents. The Compensation Committee discusses these recommendations and accepts or adjusts them, in whole or in part, generally in November of each year. The Chief Executive Officer is not present during the Compensation Committee’s final discussions or determination of his compensation, but he participates in the discussions regarding other executive officers’ compensation. The Vice President of Human Resources may also be present for discussions regarding compensation. The other executive officers are not present during the Compensation Committee’s discussions of their compensation. The chair of the Compensation Committee presents the Committee’s findings regarding compensation for executive officers to the Board of Directors at one or more meetings to obtain the Board’s input and ratification. Based on such input at these meetings, the Board of Directors approves and adopts executive compensation, including executive salaries, the bonus compensation, stock awards and the parameters of the annual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15"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In making decisions regarding elements and amounts of compensation, the Compensation Committee considers compensation paid to executive officers at similar levels and with similar experience and responsibilities at public companies that exhibit characteristics similar to us in terms of revenue, market capitalization, complexity and profitability. We compile the list of companies from the lists of the Forbes 200 Best Small Companies, with a focus on technology and manufacturing, as that group of companies includes companies that exhibit the growth rates and profitability characteristics that are similar to us.</w:t>
      </w:r>
    </w:p>
    <w:p>
      <w:pPr>
        <w:spacing w:after="0" w:line="19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supplement the list with public companies that we believe to be fitting comparables within our geographical region that are involved in technology and manufacturing and, in some cases, industry related companies. Finally, we review compensation data from the Economic Research Institute and salary.com, which takes into consideration geographical considerations but excludes equity incentive compensation information. Generally, any material changes to the compensation of any executive officer is based on changes in that individual’s position and responsibilities to the Company or changes to conform that executive’s compensation structure as compared to similar executives in the peer group list.</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companies comprising the peer group list: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Forbes 200 Best Small Companies</w:t>
            </w:r>
          </w:p>
        </w:tc>
        <w:tc>
          <w:tcPr>
            <w:tcW w:w="3200" w:type="dxa"/>
            <w:vAlign w:val="bottom"/>
          </w:tcPr>
          <w:p>
            <w:pPr>
              <w:ind w:left="160"/>
              <w:spacing w:after="0"/>
              <w:rPr>
                <w:sz w:val="20"/>
                <w:szCs w:val="20"/>
                <w:color w:val="auto"/>
              </w:rPr>
            </w:pPr>
            <w:r>
              <w:rPr>
                <w:rFonts w:ascii="Arial" w:cs="Arial" w:eastAsia="Arial" w:hAnsi="Arial"/>
                <w:sz w:val="18"/>
                <w:szCs w:val="18"/>
                <w:b w:val="1"/>
                <w:bCs w:val="1"/>
                <w:color w:val="auto"/>
                <w:w w:val="92"/>
              </w:rPr>
              <w:t>Regional Public and Other Companies</w:t>
            </w:r>
          </w:p>
        </w:tc>
      </w:tr>
      <w:tr>
        <w:trPr>
          <w:trHeight w:val="43"/>
        </w:trPr>
        <w:tc>
          <w:tcPr>
            <w:tcW w:w="42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01"/>
        </w:trPr>
        <w:tc>
          <w:tcPr>
            <w:tcW w:w="4240" w:type="dxa"/>
            <w:vAlign w:val="bottom"/>
          </w:tcPr>
          <w:p>
            <w:pPr>
              <w:ind w:left="100"/>
              <w:spacing w:after="0" w:line="201" w:lineRule="exact"/>
              <w:rPr>
                <w:sz w:val="20"/>
                <w:szCs w:val="20"/>
                <w:color w:val="auto"/>
              </w:rPr>
            </w:pPr>
            <w:r>
              <w:rPr>
                <w:rFonts w:ascii="Arial" w:cs="Arial" w:eastAsia="Arial" w:hAnsi="Arial"/>
                <w:sz w:val="18"/>
                <w:szCs w:val="18"/>
                <w:color w:val="auto"/>
              </w:rPr>
              <w:t>Middleby Corp., Heico Corp., American Vanguard</w:t>
            </w:r>
          </w:p>
        </w:tc>
        <w:tc>
          <w:tcPr>
            <w:tcW w:w="420" w:type="dxa"/>
            <w:vAlign w:val="bottom"/>
          </w:tcPr>
          <w:p>
            <w:pPr>
              <w:spacing w:after="0"/>
              <w:rPr>
                <w:sz w:val="17"/>
                <w:szCs w:val="17"/>
                <w:color w:val="auto"/>
              </w:rPr>
            </w:pPr>
          </w:p>
        </w:tc>
        <w:tc>
          <w:tcPr>
            <w:tcW w:w="3200" w:type="dxa"/>
            <w:vAlign w:val="bottom"/>
          </w:tcPr>
          <w:p>
            <w:pPr>
              <w:ind w:left="100"/>
              <w:spacing w:after="0" w:line="201" w:lineRule="exact"/>
              <w:rPr>
                <w:sz w:val="20"/>
                <w:szCs w:val="20"/>
                <w:color w:val="auto"/>
              </w:rPr>
            </w:pPr>
            <w:r>
              <w:rPr>
                <w:rFonts w:ascii="Arial" w:cs="Arial" w:eastAsia="Arial" w:hAnsi="Arial"/>
                <w:sz w:val="18"/>
                <w:szCs w:val="18"/>
                <w:color w:val="auto"/>
                <w:w w:val="94"/>
              </w:rPr>
              <w:t>Possis Medical, Inc., Cree, Inc. Standard</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Corporation, Ladish Co., Inc., The Gorman Rupp</w:t>
            </w:r>
          </w:p>
        </w:tc>
        <w:tc>
          <w:tcPr>
            <w:tcW w:w="3200" w:type="dxa"/>
            <w:vAlign w:val="bottom"/>
          </w:tcPr>
          <w:p>
            <w:pPr>
              <w:ind w:left="100"/>
              <w:spacing w:after="0"/>
              <w:rPr>
                <w:sz w:val="20"/>
                <w:szCs w:val="20"/>
                <w:color w:val="auto"/>
              </w:rPr>
            </w:pPr>
            <w:r>
              <w:rPr>
                <w:rFonts w:ascii="Arial" w:cs="Arial" w:eastAsia="Arial" w:hAnsi="Arial"/>
                <w:sz w:val="18"/>
                <w:szCs w:val="18"/>
                <w:color w:val="auto"/>
              </w:rPr>
              <w:t>Microsystems Corporation, Twin Disc,</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Company, Diodes Incorporated, Gentex Corporation,</w:t>
            </w:r>
          </w:p>
        </w:tc>
        <w:tc>
          <w:tcPr>
            <w:tcW w:w="3200" w:type="dxa"/>
            <w:vAlign w:val="bottom"/>
          </w:tcPr>
          <w:p>
            <w:pPr>
              <w:ind w:left="100"/>
              <w:spacing w:after="0"/>
              <w:rPr>
                <w:sz w:val="20"/>
                <w:szCs w:val="20"/>
                <w:color w:val="auto"/>
              </w:rPr>
            </w:pPr>
            <w:r>
              <w:rPr>
                <w:rFonts w:ascii="Arial" w:cs="Arial" w:eastAsia="Arial" w:hAnsi="Arial"/>
                <w:sz w:val="18"/>
                <w:szCs w:val="18"/>
                <w:color w:val="auto"/>
              </w:rPr>
              <w:t>Inc., Cantel Medical Corp., inVentiv</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Tennant Company, MTS Systems Corporation, Badger</w:t>
            </w:r>
          </w:p>
        </w:tc>
        <w:tc>
          <w:tcPr>
            <w:tcW w:w="3200" w:type="dxa"/>
            <w:vAlign w:val="bottom"/>
          </w:tcPr>
          <w:p>
            <w:pPr>
              <w:ind w:left="100"/>
              <w:spacing w:after="0"/>
              <w:rPr>
                <w:sz w:val="20"/>
                <w:szCs w:val="20"/>
                <w:color w:val="auto"/>
              </w:rPr>
            </w:pPr>
            <w:r>
              <w:rPr>
                <w:rFonts w:ascii="Arial" w:cs="Arial" w:eastAsia="Arial" w:hAnsi="Arial"/>
                <w:sz w:val="18"/>
                <w:szCs w:val="18"/>
                <w:color w:val="auto"/>
              </w:rPr>
              <w:t>Health Inc., FormFactor Inc., Multi-</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Meter, Inc., Raven Industries, Inc., Comtech</w:t>
            </w:r>
          </w:p>
        </w:tc>
        <w:tc>
          <w:tcPr>
            <w:tcW w:w="3200" w:type="dxa"/>
            <w:vAlign w:val="bottom"/>
          </w:tcPr>
          <w:p>
            <w:pPr>
              <w:ind w:left="100"/>
              <w:spacing w:after="0"/>
              <w:rPr>
                <w:sz w:val="20"/>
                <w:szCs w:val="20"/>
                <w:color w:val="auto"/>
              </w:rPr>
            </w:pPr>
            <w:r>
              <w:rPr>
                <w:rFonts w:ascii="Arial" w:cs="Arial" w:eastAsia="Arial" w:hAnsi="Arial"/>
                <w:sz w:val="18"/>
                <w:szCs w:val="18"/>
                <w:color w:val="auto"/>
                <w:w w:val="98"/>
              </w:rPr>
              <w:t>Fineline Electronix, Inc., FLIR Systems,</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Telecommunications, Inc., Cymer, Inc., CIRCOR</w:t>
            </w:r>
          </w:p>
        </w:tc>
        <w:tc>
          <w:tcPr>
            <w:tcW w:w="3200" w:type="dxa"/>
            <w:vAlign w:val="bottom"/>
          </w:tcPr>
          <w:p>
            <w:pPr>
              <w:ind w:left="100"/>
              <w:spacing w:after="0"/>
              <w:rPr>
                <w:sz w:val="20"/>
                <w:szCs w:val="20"/>
                <w:color w:val="auto"/>
              </w:rPr>
            </w:pPr>
            <w:r>
              <w:rPr>
                <w:rFonts w:ascii="Arial" w:cs="Arial" w:eastAsia="Arial" w:hAnsi="Arial"/>
                <w:sz w:val="18"/>
                <w:szCs w:val="18"/>
                <w:color w:val="auto"/>
                <w:w w:val="95"/>
              </w:rPr>
              <w:t>Inc., Dolby Laboratories, Inc., Ceradyne,</w:t>
            </w:r>
          </w:p>
        </w:tc>
      </w:tr>
      <w:tr>
        <w:trPr>
          <w:trHeight w:val="216"/>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International, Inc., Lufkin Industries, Inc., Dril-Quip,</w:t>
            </w:r>
          </w:p>
        </w:tc>
        <w:tc>
          <w:tcPr>
            <w:tcW w:w="3200" w:type="dxa"/>
            <w:vAlign w:val="bottom"/>
          </w:tcPr>
          <w:p>
            <w:pPr>
              <w:ind w:left="100"/>
              <w:spacing w:after="0"/>
              <w:rPr>
                <w:sz w:val="20"/>
                <w:szCs w:val="20"/>
                <w:color w:val="auto"/>
              </w:rPr>
            </w:pPr>
            <w:r>
              <w:rPr>
                <w:rFonts w:ascii="Arial" w:cs="Arial" w:eastAsia="Arial" w:hAnsi="Arial"/>
                <w:sz w:val="18"/>
                <w:szCs w:val="18"/>
                <w:color w:val="auto"/>
              </w:rPr>
              <w:t>Inc., National Instruments Corporation</w:t>
            </w:r>
          </w:p>
        </w:tc>
      </w:tr>
      <w:tr>
        <w:trPr>
          <w:trHeight w:val="222"/>
        </w:trPr>
        <w:tc>
          <w:tcPr>
            <w:tcW w:w="4660" w:type="dxa"/>
            <w:vAlign w:val="bottom"/>
            <w:gridSpan w:val="2"/>
          </w:tcPr>
          <w:p>
            <w:pPr>
              <w:ind w:left="100"/>
              <w:spacing w:after="0"/>
              <w:rPr>
                <w:sz w:val="20"/>
                <w:szCs w:val="20"/>
                <w:color w:val="auto"/>
              </w:rPr>
            </w:pPr>
            <w:r>
              <w:rPr>
                <w:rFonts w:ascii="Arial" w:cs="Arial" w:eastAsia="Arial" w:hAnsi="Arial"/>
                <w:sz w:val="18"/>
                <w:szCs w:val="18"/>
                <w:color w:val="auto"/>
              </w:rPr>
              <w:t>Inc., Under Armor, Inc.</w:t>
            </w:r>
          </w:p>
        </w:tc>
        <w:tc>
          <w:tcPr>
            <w:tcW w:w="3200" w:type="dxa"/>
            <w:vAlign w:val="bottom"/>
          </w:tcPr>
          <w:p>
            <w:pPr>
              <w:spacing w:after="0"/>
              <w:rPr>
                <w:sz w:val="19"/>
                <w:szCs w:val="19"/>
                <w:color w:val="auto"/>
              </w:rPr>
            </w:pP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Compensation Committee reviewed base salary along with cash and equity incentive forms of compensation that were included in these companies’ respective SEC filings.</w:t>
      </w:r>
    </w:p>
    <w:p>
      <w:pPr>
        <w:spacing w:after="0" w:line="213"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Compensation Committee is also mindful of maintaining compatibility between executive compensation and compensation for employees of the Company as a whole. The Compensation Committee has deemed it appropriate to keep cash compensation levels for executives in the lower one-third of the companies in the peer group list. To date, we have not retained any consulting firms to assist us in determining 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5"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in addition to market data and comparisons to other Company officers.</w:t>
      </w:r>
    </w:p>
    <w:p>
      <w:pPr>
        <w:spacing w:after="0" w:line="198"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Salary levels are considered annually as part of our performance review process. Increases in the salary of the Chief Executive Officer are determined by the Compensation Committee based on its assessment of his performance, achievement of goals, and executive officers’ compensation at comparable companies as described above. The Committee also takes into account our financial performance, understanding that these measures need to be considered in light of current economic conditions, business opportunities and other factors. As such, the Compensation Committee does not generally focus on a limited and narrow set of financial measures in determinations of compensation.</w:t>
      </w:r>
    </w:p>
    <w:p>
      <w:pPr>
        <w:sectPr>
          <w:pgSz w:w="11900" w:h="16838" w:orient="portrait"/>
          <w:cols w:equalWidth="0" w:num="1">
            <w:col w:w="10219"/>
          </w:cols>
          <w:pgMar w:left="240" w:top="131" w:right="1440" w:bottom="34"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Non-Equity-Based Incentive Compensation Plan</w:t>
      </w:r>
    </w:p>
    <w:p>
      <w:pPr>
        <w:sectPr>
          <w:pgSz w:w="11900" w:h="16838" w:orient="portrait"/>
          <w:cols w:equalWidth="0" w:num="1">
            <w:col w:w="10219"/>
          </w:cols>
          <w:pgMar w:left="240" w:top="131" w:right="1440" w:bottom="34" w:gutter="0" w:footer="0" w:header="0"/>
          <w:type w:val="continuous"/>
        </w:sectPr>
      </w:pPr>
    </w:p>
    <w:bookmarkStart w:id="13" w:name="page14"/>
    <w:bookmarkEnd w:id="13"/>
    <w:p>
      <w:pPr>
        <w:jc w:val="both"/>
        <w:ind w:right="2099"/>
        <w:spacing w:after="0" w:line="285" w:lineRule="auto"/>
        <w:rPr>
          <w:sz w:val="20"/>
          <w:szCs w:val="20"/>
          <w:color w:val="auto"/>
        </w:rPr>
      </w:pPr>
      <w:r>
        <w:rPr>
          <w:rFonts w:ascii="Arial" w:cs="Arial" w:eastAsia="Arial" w:hAnsi="Arial"/>
          <w:sz w:val="16"/>
          <w:szCs w:val="16"/>
          <w:color w:val="auto"/>
        </w:rPr>
        <w:t>The purpose of our non-equity-based incentive compensation plan is to provide a direct financial incentive in the form of an annual cash bonus to our executive officers and key managers. The Committee recommends to the Board, and the independent Directors of the Board determine, the annual incentive bonus of the Chairman of the Board, Chief Executive Officer, Chief Financial Officer and other executive officers. The non-equity-based incentive compensation plan is a formula-based performance cash bonus plan, consisting of 30% of the maximum bonus amount if after tax-earnings exceed 13% of shareholders’ equity at the beginning of the fiscal year, and increasing linearly with performance to a maximum bonus which varies for each executive officer if after-tax earnings exceed 20% of beginning shareholders’ equity. The maximum level of the bonus varies from 4.5 months’ compensation to 7 months’ compensation for each officer. The maximum amount is determined by the Compensation Committee based on reference to the comparable companies identified above, current economic conditions, opportunities for increased earnings, and projected results for the year. The Compensation Committee selected return on equity as the measure of corporate financial performance because it believed it was the most appropriate indicator of performance that will drive long-term shareholder value. Furthermore, we have used this same measure for a number of years and found it to be a meaningful measure of performance that is closely aligned to long-term shareholder value.</w:t>
      </w:r>
    </w:p>
    <w:p>
      <w:pPr>
        <w:spacing w:after="0" w:line="20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non-equity-based incentive compensation plan is administered by the Board of Directors and Compensation Committee, which have the right, at any time and at their discretion, to amend the plan, increase or decrease individual payout amounts, whether earned or unearned, or terminate the plan, in whole or in part. Changes in the plan in recent years have been limited to changes in the targeted return on equity and the maximum bonus levels. Changes in the maximum level of return on equity have been made to more appropriately reflect changes in expected net income performance such that the achievement of the maximum bonus would result in higher than expected earnings for the Company over the long-term and have been applied to all executive officers. The maximum amount of the bonus for each executive officer has changed based primarily on factors described above, and it varies for each executive officer. We also follow applicable laws and regulations regarding recovery of any bonus, other incentive-based or equity-based compensation and profits realized from the sale of securities, resulting from any misconduct.</w:t>
      </w:r>
    </w:p>
    <w:p>
      <w:pPr>
        <w:spacing w:after="0" w:line="200" w:lineRule="exact"/>
        <w:rPr>
          <w:sz w:val="20"/>
          <w:szCs w:val="20"/>
          <w:color w:val="auto"/>
        </w:rPr>
      </w:pP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During fiscal 2009, the Chief Executive Officer was eligible for non-equity-based incentive compensation equal to approximately 63% of his base salary, and the Chief Financial Officer was eligible for non-equity-based incentive compensation equal to approximately 46% of his base salary. The Chairman of the Board of Directors was eligible for non-equity-based incentive compensation equal to approximately 25% of his base salary and all other Named Executive Officers were eligible for non-equity-based incentive compensation equal to 42% of their base salaries.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 Program</w:t>
      </w:r>
    </w:p>
    <w:p>
      <w:pPr>
        <w:spacing w:after="0" w:line="15" w:lineRule="exact"/>
        <w:rPr>
          <w:sz w:val="20"/>
          <w:szCs w:val="20"/>
          <w:color w:val="auto"/>
        </w:rPr>
      </w:pPr>
    </w:p>
    <w:p>
      <w:pPr>
        <w:jc w:val="both"/>
        <w:ind w:right="2099"/>
        <w:spacing w:after="0" w:line="292" w:lineRule="auto"/>
        <w:rPr>
          <w:sz w:val="20"/>
          <w:szCs w:val="20"/>
          <w:color w:val="auto"/>
        </w:rPr>
      </w:pPr>
      <w:r>
        <w:rPr>
          <w:rFonts w:ascii="Arial" w:cs="Arial" w:eastAsia="Arial" w:hAnsi="Arial"/>
          <w:sz w:val="16"/>
          <w:szCs w:val="16"/>
          <w:color w:val="auto"/>
        </w:rPr>
        <w:t>Grants of stock option awards have been the primary vehicles for offering long-term incentives to executive officers and key employees. The objectives of our equity-based compensation program are to advance our longer-term interests, complement incentives tied to annual performance and align the interests of employees more closely with those of our shareholders. We believe that long-term incentives provided by stock option awards are especially significant in motivating our executives and retaining their services.</w:t>
      </w:r>
    </w:p>
    <w:p>
      <w:pPr>
        <w:spacing w:after="0" w:line="19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Each year, the Board of Directors, based on recommendations of the Compensation Committee, determines the number of shares that may be subject to option awards for each Named Executive Officer and sets the total number of shares available subject to option awards for other key managers and employees as a whole. The Chief Executive Officer determines the grants of option awards to key employees within these limits, keeping in mind the factors described in the foregoing paragraph. The Compensation Committee approves grants of options based on, among other factors, historical grants, the value of past grants, the Company’s performance and how the grants compare to grants to all other employees. The grants are further constrained by the Board’s desire to limit dilution to shareholders to levels consistent with our historical levels. In granting stock option awards, the Compensation Committee and Chief Executive Officer consider trends in equity-based compensation and whether they are consistent with our compensation philosophy. They also consider our “overhang” percentage, that is, the number of our shares that are subject to outstanding options and awards and that are available for the grant of options and awards as a percentage of the number of our shares outstanding. To facilitate the grant of stock options to employees and executive officers, the Board of Directors authorized James B. Morgan to grant individual stock options during fiscal 2009 to such employees and executive officers, subject to the guidelines and limitations imposed on him by the Compensation Committee.</w:t>
      </w:r>
    </w:p>
    <w:p>
      <w:pPr>
        <w:spacing w:after="0" w:line="207"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Grants of stock option awards to executive officers are considered at the Board and Compensation Committee meetings held in November of each year. Options are not typically granted at other times of the year for new employees or others. The exercise price of all stock options granted is equal to the fair market value of the Company’s common stock as reported on The NASDAQ Global Market on the date of grant, which is defined in the 2007 Plan as the closing price of the common stock as reported on The NASDAQ Global Market on the date of grant. All options also contain five-year vesting provisions, with 20% of the shares underlying the stock option vesting each year following the date of grant.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15" w:lineRule="exact"/>
        <w:rPr>
          <w:sz w:val="20"/>
          <w:szCs w:val="20"/>
          <w:color w:val="auto"/>
        </w:rPr>
      </w:pPr>
    </w:p>
    <w:p>
      <w:pPr>
        <w:jc w:val="both"/>
        <w:ind w:right="2119"/>
        <w:spacing w:after="0" w:line="302" w:lineRule="auto"/>
        <w:rPr>
          <w:sz w:val="20"/>
          <w:szCs w:val="20"/>
          <w:color w:val="auto"/>
        </w:rPr>
      </w:pPr>
      <w:r>
        <w:rPr>
          <w:rFonts w:ascii="Arial" w:cs="Arial" w:eastAsia="Arial" w:hAnsi="Arial"/>
          <w:sz w:val="16"/>
          <w:szCs w:val="16"/>
          <w:color w:val="auto"/>
        </w:rPr>
        <w:t>We have deferred compensation arrangements to reward the Named Executive Officers who were employed by us as of August 1990, consisting of James B. Morgan and Aelred J. Kurtenbach. The arrangements are designed to fund annual payments upon retirement based on the value of amounts credited to each person’s account. The</w:t>
      </w:r>
    </w:p>
    <w:p>
      <w:pPr>
        <w:sectPr>
          <w:pgSz w:w="11900" w:h="16838" w:orient="portrait"/>
          <w:cols w:equalWidth="0" w:num="1">
            <w:col w:w="10219"/>
          </w:cols>
          <w:pgMar w:left="240" w:top="131" w:right="1440" w:bottom="0" w:gutter="0" w:footer="0" w:header="0"/>
        </w:sectPr>
      </w:pPr>
    </w:p>
    <w:bookmarkStart w:id="14" w:name="page15"/>
    <w:bookmarkEnd w:id="14"/>
    <w:p>
      <w:pPr>
        <w:jc w:val="both"/>
        <w:ind w:right="2119"/>
        <w:spacing w:after="0" w:line="306" w:lineRule="auto"/>
        <w:rPr>
          <w:sz w:val="20"/>
          <w:szCs w:val="20"/>
          <w:color w:val="auto"/>
        </w:rPr>
      </w:pPr>
      <w:r>
        <w:rPr>
          <w:rFonts w:ascii="Arial" w:cs="Arial" w:eastAsia="Arial" w:hAnsi="Arial"/>
          <w:sz w:val="16"/>
          <w:szCs w:val="16"/>
          <w:color w:val="auto"/>
        </w:rPr>
        <w:t>Compensation Committee administers these arrangements and approves on an annual basis the amounts credited to each participant’s account. The amounts credited are equal to the interest earned on the account at a rate equal to the five-year United States Treasury Note rate as of the first day of each plan year.</w:t>
      </w:r>
    </w:p>
    <w:p>
      <w:pPr>
        <w:spacing w:after="0" w:line="18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Additional 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currently is. These arrangements are funded through an increase in the cash surrender value of life insurance policies on the lives of the participants. These arrangements are evidenced by deferred compensation agreements and are described in the table entitled “Non-qualified Deferred Compensation – Fiscal 2009”.</w:t>
      </w:r>
    </w:p>
    <w:p>
      <w:pPr>
        <w:spacing w:after="0" w:line="199"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Vesting under the deferred compensation arrangements occurs upon reaching retirement age, defined as the earlier to occur of age 65, or age 55 and the completion of 20 years of service to the Company, or in the event of death or disability. Participants may withdraw benefits in the plan that are vested after the employee ceases employment with the Company, provided that termination of employment is not for cause. Upon a termination of employment for cause, the participant’s vested and non-vested interests in the plan are terminated. Upon termination, other than for cause, the participant may elect to receive benefits in the form of a lump sum payout or on an installment basis over a five- or ten-year period. Upon a change in control, all benefits under the plan are payable unless a majority of the Board of Directors agrees to continue the plan.</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5"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Our Named Executive Officers are eligible for all benefits generally available to our full-time permanent employees. Other than the deferred compensation plan described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2009 to executive officers are described below.</w:t>
      </w:r>
    </w:p>
    <w:p>
      <w:pPr>
        <w:spacing w:after="0" w:line="19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$1.8 million in matching and discretionary contributions in fiscal 2009, $1.9 million in fiscal 2008 and $1.5 million in fiscal 2007. Contributions to the 401(k) Plan on behalf of the Named Executive Officers are described in the “Summary Compensation Table – Fiscal 2009.”</w:t>
      </w:r>
    </w:p>
    <w:p>
      <w:pPr>
        <w:spacing w:after="0" w:line="201" w:lineRule="exact"/>
        <w:rPr>
          <w:sz w:val="20"/>
          <w:szCs w:val="20"/>
          <w:color w:val="auto"/>
        </w:rPr>
      </w:pPr>
    </w:p>
    <w:p>
      <w:pPr>
        <w:jc w:val="both"/>
        <w:ind w:right="2119"/>
        <w:spacing w:after="0" w:line="262"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The ESPP allows employees to purchase shares of our common stock, subject to annual limitations, at a price equal to 85% of the lower of the fair market value of the common stock at the beginning or the end of each six-month offering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15"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account for equity-based compensation paid to employees under SFAS No. 123(R) promulgated by the Financial Accounting Standards Board, which requires us to estimate and record an expense over the service period of the award. Thus, we may record an expense in one year for awards granted in earlier years. We adopted SFAS No. 123(R) on April 30, 2006 and, therefore, fiscal 2007 was the first year in which we recorded an expense related to employee stock options, other stock awards and the ESPP. Accounting rules also require us to record cash compensation as an expense at the time the obligation is accrued.</w:t>
      </w:r>
    </w:p>
    <w:p>
      <w:pPr>
        <w:spacing w:after="0" w:line="199"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w:t>
      </w:r>
    </w:p>
    <w:p>
      <w:pPr>
        <w:spacing w:after="0" w:line="16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With respect to restricted stock awards, we generally can deduct the gain recognized by employees and directors as ordinary income. This gain typically occurs upon vesting and is equal to the value of the stock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97"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ectPr>
          <w:pgSz w:w="11900" w:h="16838" w:orient="portrait"/>
          <w:cols w:equalWidth="0" w:num="1">
            <w:col w:w="10219"/>
          </w:cols>
          <w:pgMar w:left="240" w:top="131" w:right="1440" w:bottom="0" w:gutter="0" w:footer="0" w:header="0"/>
        </w:sectPr>
      </w:pPr>
    </w:p>
    <w:bookmarkStart w:id="15" w:name="page16"/>
    <w:bookmarkEnd w:id="15"/>
    <w:p>
      <w:pPr>
        <w:spacing w:after="0" w:line="22"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Notwithstanding the foregoing, during periods in which the economy is adversely impacting our performance, it has been our practice to consider freezing or decreasing base salaries and various other components of compensation for executive officers regardless of the foregoing practices. During fiscal year 2009, executive officers voluntarily offered to the Compensation Committee to forgo any increases in their base salaries for fiscal year 2009 and 2010. Therefore, there were no increases in base salary for executive officers during fiscal year 2009.</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May 2, 2009, April 26, 2008 and April 28, 2007 and to our three other most highly compensated Named Executive Officers whose total compensation was greater than $100,000 for the fiscal year ended May 2, 2009.</w:t>
      </w:r>
    </w:p>
    <w:p>
      <w:pPr>
        <w:spacing w:after="0" w:line="200" w:lineRule="exact"/>
        <w:rPr>
          <w:sz w:val="20"/>
          <w:szCs w:val="20"/>
          <w:color w:val="auto"/>
        </w:rPr>
      </w:pPr>
    </w:p>
    <w:p>
      <w:pPr>
        <w:spacing w:after="0" w:line="26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80" w:type="dxa"/>
            <w:vAlign w:val="bottom"/>
            <w:gridSpan w:val="14"/>
          </w:tcPr>
          <w:p>
            <w:pPr>
              <w:ind w:left="1920"/>
              <w:spacing w:after="0"/>
              <w:rPr>
                <w:sz w:val="20"/>
                <w:szCs w:val="20"/>
                <w:color w:val="auto"/>
              </w:rPr>
            </w:pPr>
            <w:r>
              <w:rPr>
                <w:rFonts w:ascii="Arial" w:cs="Arial" w:eastAsia="Arial" w:hAnsi="Arial"/>
                <w:sz w:val="18"/>
                <w:szCs w:val="18"/>
                <w:b w:val="1"/>
                <w:bCs w:val="1"/>
                <w:color w:val="auto"/>
                <w:w w:val="96"/>
              </w:rPr>
              <w:t>SUMMARY COMPENSATION TABLE – FISCAL 2009</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53"/>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Non-Equity</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Option</w:t>
            </w:r>
          </w:p>
        </w:tc>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Incentive Plan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All Other</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1"/>
        </w:trPr>
        <w:tc>
          <w:tcPr>
            <w:tcW w:w="2360" w:type="dxa"/>
            <w:vAlign w:val="bottom"/>
            <w:gridSpan w:val="3"/>
          </w:tcPr>
          <w:p>
            <w:pPr>
              <w:spacing w:after="0"/>
              <w:rPr>
                <w:sz w:val="20"/>
                <w:szCs w:val="20"/>
                <w:color w:val="auto"/>
              </w:rPr>
            </w:pPr>
            <w:r>
              <w:rPr>
                <w:rFonts w:ascii="Arial" w:cs="Arial" w:eastAsia="Arial" w:hAnsi="Arial"/>
                <w:sz w:val="18"/>
                <w:szCs w:val="18"/>
                <w:color w:val="auto"/>
              </w:rPr>
              <w:t>Name and Principal Position</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Salary</w:t>
            </w:r>
          </w:p>
        </w:tc>
        <w:tc>
          <w:tcPr>
            <w:tcW w:w="960" w:type="dxa"/>
            <w:vAlign w:val="bottom"/>
            <w:gridSpan w:val="3"/>
          </w:tcPr>
          <w:p>
            <w:pPr>
              <w:ind w:left="60"/>
              <w:spacing w:after="0" w:line="291" w:lineRule="exact"/>
              <w:rPr>
                <w:sz w:val="20"/>
                <w:szCs w:val="20"/>
                <w:color w:val="auto"/>
              </w:rPr>
            </w:pPr>
            <w:r>
              <w:rPr>
                <w:rFonts w:ascii="Arial" w:cs="Arial" w:eastAsia="Arial" w:hAnsi="Arial"/>
                <w:sz w:val="18"/>
                <w:szCs w:val="18"/>
                <w:color w:val="auto"/>
                <w:w w:val="99"/>
              </w:rPr>
              <w:t xml:space="preserve">Awards </w:t>
            </w:r>
            <w:r>
              <w:rPr>
                <w:rFonts w:ascii="Arial" w:cs="Arial" w:eastAsia="Arial" w:hAnsi="Arial"/>
                <w:sz w:val="29"/>
                <w:szCs w:val="29"/>
                <w:color w:val="auto"/>
                <w:w w:val="99"/>
                <w:vertAlign w:val="superscript"/>
              </w:rPr>
              <w:t>(1)</w:t>
            </w:r>
          </w:p>
        </w:tc>
        <w:tc>
          <w:tcPr>
            <w:tcW w:w="1380" w:type="dxa"/>
            <w:vAlign w:val="bottom"/>
            <w:gridSpan w:val="4"/>
          </w:tcPr>
          <w:p>
            <w:pPr>
              <w:jc w:val="center"/>
              <w:ind w:right="100"/>
              <w:spacing w:after="0" w:line="291" w:lineRule="exact"/>
              <w:rPr>
                <w:sz w:val="20"/>
                <w:szCs w:val="20"/>
                <w:color w:val="auto"/>
              </w:rPr>
            </w:pPr>
            <w:r>
              <w:rPr>
                <w:rFonts w:ascii="Arial" w:cs="Arial" w:eastAsia="Arial" w:hAnsi="Arial"/>
                <w:sz w:val="18"/>
                <w:szCs w:val="18"/>
                <w:color w:val="auto"/>
                <w:w w:val="85"/>
              </w:rPr>
              <w:t xml:space="preserve">Compensation </w:t>
            </w:r>
            <w:r>
              <w:rPr>
                <w:rFonts w:ascii="Arial" w:cs="Arial" w:eastAsia="Arial" w:hAnsi="Arial"/>
                <w:sz w:val="29"/>
                <w:szCs w:val="29"/>
                <w:color w:val="auto"/>
                <w:w w:val="85"/>
                <w:vertAlign w:val="superscript"/>
              </w:rPr>
              <w:t>(2)</w:t>
            </w:r>
          </w:p>
        </w:tc>
        <w:tc>
          <w:tcPr>
            <w:tcW w:w="1280" w:type="dxa"/>
            <w:vAlign w:val="bottom"/>
            <w:gridSpan w:val="3"/>
          </w:tcPr>
          <w:p>
            <w:pPr>
              <w:jc w:val="center"/>
              <w:ind w:right="100"/>
              <w:spacing w:after="0" w:line="291" w:lineRule="exact"/>
              <w:rPr>
                <w:sz w:val="20"/>
                <w:szCs w:val="20"/>
                <w:color w:val="auto"/>
              </w:rPr>
            </w:pPr>
            <w:r>
              <w:rPr>
                <w:rFonts w:ascii="Arial" w:cs="Arial" w:eastAsia="Arial" w:hAnsi="Arial"/>
                <w:sz w:val="18"/>
                <w:szCs w:val="18"/>
                <w:color w:val="auto"/>
                <w:w w:val="84"/>
              </w:rPr>
              <w:t>Compensation</w:t>
            </w:r>
            <w:r>
              <w:rPr>
                <w:rFonts w:ascii="Arial" w:cs="Arial" w:eastAsia="Arial" w:hAnsi="Arial"/>
                <w:sz w:val="29"/>
                <w:szCs w:val="29"/>
                <w:color w:val="auto"/>
                <w:w w:val="84"/>
                <w:vertAlign w:val="superscript"/>
              </w:rPr>
              <w:t>(3)</w:t>
            </w:r>
          </w:p>
        </w:tc>
        <w:tc>
          <w:tcPr>
            <w:tcW w:w="38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Total</w:t>
            </w:r>
          </w:p>
        </w:tc>
      </w:tr>
      <w:tr>
        <w:trPr>
          <w:trHeight w:val="215"/>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James B. Morgan</w:t>
            </w:r>
          </w:p>
        </w:tc>
        <w:tc>
          <w:tcPr>
            <w:tcW w:w="140" w:type="dxa"/>
            <w:vAlign w:val="bottom"/>
          </w:tcPr>
          <w:p>
            <w:pPr>
              <w:spacing w:after="0"/>
              <w:rPr>
                <w:sz w:val="18"/>
                <w:szCs w:val="18"/>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316,655</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79,908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85,861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488,423</w:t>
            </w:r>
          </w:p>
        </w:tc>
      </w:tr>
      <w:tr>
        <w:trPr>
          <w:trHeight w:val="222"/>
        </w:trPr>
        <w:tc>
          <w:tcPr>
            <w:tcW w:w="23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301,788</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516,855</w:t>
            </w:r>
          </w:p>
        </w:tc>
      </w:tr>
      <w:tr>
        <w:trPr>
          <w:trHeight w:val="243"/>
        </w:trPr>
        <w:tc>
          <w:tcPr>
            <w:tcW w:w="2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President and Director</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276,194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488,631</w:t>
            </w:r>
          </w:p>
        </w:tc>
      </w:tr>
      <w:tr>
        <w:trPr>
          <w:trHeight w:val="48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Dr. Aelred J. Kurtenbach</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152,885</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16,582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5,694</w:t>
            </w:r>
          </w:p>
        </w:tc>
        <w:tc>
          <w:tcPr>
            <w:tcW w:w="8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175,161</w:t>
            </w:r>
          </w:p>
        </w:tc>
      </w:tr>
      <w:tr>
        <w:trPr>
          <w:trHeight w:val="243"/>
        </w:trPr>
        <w:tc>
          <w:tcPr>
            <w:tcW w:w="2360" w:type="dxa"/>
            <w:vAlign w:val="bottom"/>
            <w:gridSpan w:val="3"/>
          </w:tcPr>
          <w:p>
            <w:pPr>
              <w:spacing w:after="0"/>
              <w:rPr>
                <w:sz w:val="20"/>
                <w:szCs w:val="20"/>
                <w:color w:val="auto"/>
              </w:rPr>
            </w:pPr>
            <w:r>
              <w:rPr>
                <w:rFonts w:ascii="Arial" w:cs="Arial" w:eastAsia="Arial" w:hAnsi="Arial"/>
                <w:sz w:val="18"/>
                <w:szCs w:val="18"/>
                <w:color w:val="auto"/>
              </w:rPr>
              <w:t>Chairman of the Board and</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150,050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182,669</w:t>
            </w:r>
          </w:p>
        </w:tc>
      </w:tr>
      <w:tr>
        <w:trPr>
          <w:trHeight w:val="243"/>
        </w:trPr>
        <w:tc>
          <w:tcPr>
            <w:tcW w:w="2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149,400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194,274</w:t>
            </w:r>
          </w:p>
        </w:tc>
      </w:tr>
      <w:tr>
        <w:trPr>
          <w:trHeight w:val="48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William R. Retterath</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196,487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74,078</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39,070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4,735</w:t>
            </w:r>
          </w:p>
        </w:tc>
        <w:tc>
          <w:tcPr>
            <w:tcW w:w="8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314,370</w:t>
            </w:r>
          </w:p>
        </w:tc>
      </w:tr>
      <w:tr>
        <w:trPr>
          <w:trHeight w:val="243"/>
        </w:trPr>
        <w:tc>
          <w:tcPr>
            <w:tcW w:w="23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188,176</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327,331</w:t>
            </w: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166,123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298,326</w:t>
            </w:r>
          </w:p>
        </w:tc>
      </w:tr>
      <w:tr>
        <w:trPr>
          <w:trHeight w:val="48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Bradley T. Wiemann</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180,404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55,270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32,611</w:t>
            </w: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7,115</w:t>
            </w:r>
          </w:p>
        </w:tc>
        <w:tc>
          <w:tcPr>
            <w:tcW w:w="8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275,400</w:t>
            </w:r>
          </w:p>
        </w:tc>
      </w:tr>
      <w:tr>
        <w:trPr>
          <w:trHeight w:val="243"/>
        </w:trPr>
        <w:tc>
          <w:tcPr>
            <w:tcW w:w="236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177,280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297,647</w:t>
            </w: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140,862</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228,044</w:t>
            </w:r>
          </w:p>
        </w:tc>
      </w:tr>
      <w:tr>
        <w:trPr>
          <w:trHeight w:val="48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Reece A. Kurtenbach</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2009</w:t>
            </w:r>
          </w:p>
        </w:tc>
        <w:tc>
          <w:tcPr>
            <w:tcW w:w="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184,685</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55,270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33,385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6,128</w:t>
            </w:r>
          </w:p>
        </w:tc>
        <w:tc>
          <w:tcPr>
            <w:tcW w:w="8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279,468</w:t>
            </w:r>
          </w:p>
        </w:tc>
      </w:tr>
      <w:tr>
        <w:trPr>
          <w:trHeight w:val="243"/>
        </w:trPr>
        <w:tc>
          <w:tcPr>
            <w:tcW w:w="236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179,635</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300,116</w:t>
            </w: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145,401</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233,162</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50" w:lineRule="exact"/>
        <w:rPr>
          <w:sz w:val="20"/>
          <w:szCs w:val="20"/>
          <w:color w:val="auto"/>
        </w:rPr>
      </w:pPr>
    </w:p>
    <w:p>
      <w:pPr>
        <w:jc w:val="both"/>
        <w:ind w:left="760" w:right="2099" w:hanging="558"/>
        <w:spacing w:after="0" w:line="261" w:lineRule="auto"/>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Consists of stock options granted under the 2007 Stock Incentive Plan. The options vest and become exercisable as to 20% of the shares one year after the date of grant and as to an additional 20% in each succeeding year, but only if the Named Executive Officer is then an employee of the Company. The value of the option awards is the amount of the awards that we recognize for financial reporting purposes under SFAS No. 123(R). Refer to “Item 7. Management’s Discussion and Analysis of Financial Condition and Results of Operations — Critical Accounting Policies and Estimates ” in our Annual Report on Form 10-K for the year ended May 2, 2009 for a discussion of the assumptions used in calculating the expense under SFAS No. 123(R).</w:t>
      </w:r>
    </w:p>
    <w:p>
      <w:pPr>
        <w:spacing w:after="0" w:line="2" w:lineRule="exact"/>
        <w:rPr>
          <w:rFonts w:ascii="Arial" w:cs="Arial" w:eastAsia="Arial" w:hAnsi="Arial"/>
          <w:sz w:val="12"/>
          <w:szCs w:val="12"/>
          <w:color w:val="auto"/>
        </w:rPr>
      </w:pPr>
    </w:p>
    <w:p>
      <w:pPr>
        <w:jc w:val="both"/>
        <w:ind w:left="760" w:right="2119" w:hanging="558"/>
        <w:spacing w:after="0" w:line="258" w:lineRule="auto"/>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fiscal 2009, consists of cash bonuses earned for fiscal 2009 and paid in fiscal year 2010. For fiscal year 2008, consists of cash bonuses earned for fiscal 2008 and paid in fiscal 2009. For fiscal 2007, consists of cash bonuses earned for fiscal 2007 and paid in fiscal 2008. The annual incentive bonus provides that our executive officers are eligible to earn annual cash bonuses tied to the level of achievement of net income compared to beginning stockholders’ equity. See “Compensation Discussion and Analysis — Setting Executive Compensation — Annual Incentive Bonus.”</w:t>
      </w:r>
    </w:p>
    <w:p>
      <w:pPr>
        <w:spacing w:after="0" w:line="1" w:lineRule="exact"/>
        <w:rPr>
          <w:rFonts w:ascii="Arial" w:cs="Arial" w:eastAsia="Arial" w:hAnsi="Arial"/>
          <w:sz w:val="12"/>
          <w:szCs w:val="12"/>
          <w:color w:val="auto"/>
        </w:rPr>
      </w:pPr>
    </w:p>
    <w:p>
      <w:pPr>
        <w:ind w:left="760" w:right="2119" w:hanging="558"/>
        <w:spacing w:after="0" w:line="230"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matching and discretionary contributions made by us under the Daktronics, Inc. 401(k) Plan, which is intended to qualify under Section 401(k) of the Internal Revenue Code of 1986.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21"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We maintain the 401(k) Plan, which is intended to qualify under Section 401(k) of the Internal Revenue Code of 1986 (the “Code”). The 401(k) Plan covers substantially all employees. Each employee may elect to contribute to the 401(k) Plan through payroll deductions of up to 100% of his or her salary, subject to certain limitations. At the discretion of the Board of Directors, we may make matching and other discretionary contributions equal to a percentage of the salary reduction contributions or other discretionary amounts. We paid $1.8 million in matching and other discretionary contributions in year 2009, $1.9 million in fiscal 2008 and $1.5 million in fiscal 2007. The contributions we made to the 401(k) Plan on behalf of the Named Executive Officers in fiscal years 2007, 2008 and 2009 are described in the Summary Compensation Table.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Incentive Plan and Incentive Option Plans</w:t>
      </w:r>
    </w:p>
    <w:p>
      <w:pPr>
        <w:spacing w:after="0" w:line="21" w:lineRule="exact"/>
        <w:rPr>
          <w:sz w:val="20"/>
          <w:szCs w:val="20"/>
          <w:color w:val="auto"/>
        </w:rPr>
      </w:pPr>
    </w:p>
    <w:p>
      <w:pPr>
        <w:jc w:val="both"/>
        <w:ind w:right="2119"/>
        <w:spacing w:after="0" w:line="302" w:lineRule="auto"/>
        <w:rPr>
          <w:sz w:val="20"/>
          <w:szCs w:val="20"/>
          <w:color w:val="auto"/>
        </w:rPr>
      </w:pPr>
      <w:r>
        <w:rPr>
          <w:rFonts w:ascii="Arial" w:cs="Arial" w:eastAsia="Arial" w:hAnsi="Arial"/>
          <w:sz w:val="16"/>
          <w:szCs w:val="16"/>
          <w:color w:val="auto"/>
        </w:rPr>
        <w:t>The 2007 Plan is intended to assist us in hiring and retaining well-qualified employees, consultants and other service providers by allowing them to participate in our ownership and growth through the grant of incentive and non-statutory stock options, restricted stock, restricted stock units and deferred stock. All grants of equity</w:t>
      </w:r>
    </w:p>
    <w:p>
      <w:pPr>
        <w:sectPr>
          <w:pgSz w:w="11900" w:h="16861" w:orient="portrait"/>
          <w:cols w:equalWidth="0" w:num="1">
            <w:col w:w="10219"/>
          </w:cols>
          <w:pgMar w:left="240" w:top="131" w:right="1440" w:bottom="0" w:gutter="0" w:footer="0" w:header="0"/>
        </w:sectPr>
      </w:pPr>
    </w:p>
    <w:bookmarkStart w:id="16" w:name="page17"/>
    <w:bookmarkEnd w:id="16"/>
    <w:p>
      <w:pPr>
        <w:jc w:val="both"/>
        <w:ind w:right="2119"/>
        <w:spacing w:after="0" w:line="291" w:lineRule="auto"/>
        <w:rPr>
          <w:sz w:val="20"/>
          <w:szCs w:val="20"/>
          <w:color w:val="auto"/>
        </w:rPr>
      </w:pPr>
      <w:r>
        <w:rPr>
          <w:rFonts w:ascii="Arial" w:cs="Arial" w:eastAsia="Arial" w:hAnsi="Arial"/>
          <w:sz w:val="16"/>
          <w:szCs w:val="16"/>
          <w:color w:val="auto"/>
        </w:rPr>
        <w:t>compensation after August 15, 2007 have been made under the 2007 Plan. We terminated the 2001 Daktronics Incentive Option Plan and the 1993 Daktronics Incentive Option Plan (the “Option Plans”) effective as of August 15, 2007, and we are no longer authorized to grant additional options or any other forms or equity compensation under the Option Plans. However, the outstanding options under the Option Plans as of August 15, 2007 were not affected by such termination. On July 1, 2009, options to purchase an aggregate of 3,019,586 shares were outstanding under the Option Plans and the 2007 Plan.</w:t>
      </w:r>
    </w:p>
    <w:p>
      <w:pPr>
        <w:spacing w:after="0" w:line="20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following is a summary of the terms of the 2007 Plan which is qualified by reference to the 2007 Plan. The principal terms of the Option Plans are substantially similar to those of the 2007 Plan described below, except as otherwise noted.</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2007 Plan is administered by the Compensation Committee of the Board of Directors,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determines when and which employees, consultants and other service providers will be granted options and other awards under the 2007 Plan. Subject to the provisions of the 2007 Plan, the Compensation Committee also determines the amount and terms of awards (including restrictions) and makes all other determinations necessary or advisable for the administration of the 2007 Plan.</w:t>
      </w:r>
    </w:p>
    <w:p>
      <w:pPr>
        <w:spacing w:after="0" w:line="197"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Employees of the Company and any of its affiliates are eligible for selection to receive options qualified as incentive stock options (“ISOs”) under Section 422 of the Code. Employees, consultants and other service providers of the Company or its affiliates may be granted non-qualified options (“NQOs”) under the 2007 Plan.</w:t>
      </w:r>
    </w:p>
    <w:p>
      <w:pPr>
        <w:spacing w:after="0" w:line="18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b w:val="1"/>
          <w:bCs w:val="1"/>
          <w:i w:val="1"/>
          <w:iCs w:val="1"/>
          <w:color w:val="auto"/>
        </w:rPr>
        <w:t xml:space="preserve">Shares Subject to the Option Plans. </w:t>
      </w:r>
      <w:r>
        <w:rPr>
          <w:rFonts w:ascii="Arial" w:cs="Arial" w:eastAsia="Arial" w:hAnsi="Arial"/>
          <w:sz w:val="16"/>
          <w:szCs w:val="16"/>
          <w:color w:val="auto"/>
        </w:rPr>
        <w:t>The Option Plans provided that the total number of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that could be purchased upon the exercise of options could not exceed 3,200,000 shares, subject to adjustment. The 2007 Plan provides for a total of 4,000,000 shares, also subject to adjustment. In the event of a stock dividend, stock split, reverse stock split, reclassification, combination, exchange of shares or other similar recapitalization of our common stock, there is an appropriate adjustment made, without the consent of any award recipient, to the number and kind of shares of our common stock subject to and reserved under the 2007 Plan, including any limits on shares established, the exercise or purchase price of each share subject to an award and any other affected terms of such awards.</w:t>
      </w:r>
    </w:p>
    <w:p>
      <w:pPr>
        <w:spacing w:after="0" w:line="199" w:lineRule="exact"/>
        <w:rPr>
          <w:sz w:val="20"/>
          <w:szCs w:val="20"/>
          <w:color w:val="auto"/>
        </w:rPr>
      </w:pPr>
    </w:p>
    <w:p>
      <w:pPr>
        <w:jc w:val="both"/>
        <w:ind w:right="2119"/>
        <w:spacing w:after="0" w:line="285"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Upon the grant of an option under the 2007 Plan, the Compensation Committee fixes the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shares of our common stock that the optionee may purchase upon exercise of the option and the exercise price at which the shares may be purchased. With regard to ISOs, the exercise price cannot be less than the “fair market value” of the common stock at the time the ISO is granted or 110%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cannot exceed $100,000. Under the Option Plans, the exercise price of non-qualified options could be less than the fair market value of the common stock but not less than 85% of fair market value. Under the 2007 Plan, the exercise price of non-qualified options cannot be less than fair market value. Each option granted under the 2007 Plan is exercisable by the optionee only during the term fixed by the Compensation Committee, with such term ending not later than 10 years after the date of grant in the case of ISO or five years after the date of grant in certain cases. Payment for shares upon exercise of any option can be made in cash, in shares of our common stock that have been owned for more than six months having an aggregate fair market value on the date of exercise which is not less than the exercise price of the option, or by a combination of cash and such shares, as described in the 2007 Plan.</w:t>
      </w:r>
    </w:p>
    <w:p>
      <w:pPr>
        <w:spacing w:after="0" w:line="207"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Options granted under the Option Plans and 2007 Plan are non-transferable except to the extent permitted by the agreement evidencing such option. However, no ISO is transferable by any optionee other than by will or the laws of descent and distribution. If, under the agreement evidencing any option, such option remains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20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40" w:type="dxa"/>
            <w:vAlign w:val="bottom"/>
            <w:gridSpan w:val="13"/>
          </w:tcPr>
          <w:p>
            <w:pPr>
              <w:ind w:left="180"/>
              <w:spacing w:after="0"/>
              <w:rPr>
                <w:sz w:val="20"/>
                <w:szCs w:val="20"/>
                <w:color w:val="auto"/>
              </w:rPr>
            </w:pPr>
            <w:r>
              <w:rPr>
                <w:rFonts w:ascii="Arial" w:cs="Arial" w:eastAsia="Arial" w:hAnsi="Arial"/>
                <w:sz w:val="18"/>
                <w:szCs w:val="18"/>
                <w:b w:val="1"/>
                <w:bCs w:val="1"/>
                <w:color w:val="auto"/>
              </w:rPr>
              <w:t>GRANTS OF PLAN-BASED AWARDS — FISCAL 2009</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Grant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gridSpan w:val="2"/>
          </w:tcPr>
          <w:p>
            <w:pPr>
              <w:jc w:val="center"/>
              <w:ind w:left="14"/>
              <w:spacing w:after="0"/>
              <w:rPr>
                <w:sz w:val="20"/>
                <w:szCs w:val="20"/>
                <w:color w:val="auto"/>
              </w:rPr>
            </w:pPr>
            <w:r>
              <w:rPr>
                <w:rFonts w:ascii="Arial" w:cs="Arial" w:eastAsia="Arial" w:hAnsi="Arial"/>
                <w:sz w:val="18"/>
                <w:szCs w:val="18"/>
                <w:color w:val="auto"/>
                <w:w w:val="86"/>
              </w:rPr>
              <w:t>or Base</w:t>
            </w:r>
          </w:p>
        </w:tc>
        <w:tc>
          <w:tcPr>
            <w:tcW w:w="2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9"/>
              </w:rPr>
              <w:t>Date Fair</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Estimated Future Payouts Under</w:t>
            </w:r>
          </w:p>
        </w:tc>
        <w:tc>
          <w:tcPr>
            <w:tcW w:w="60" w:type="dxa"/>
            <w:vAlign w:val="bottom"/>
          </w:tcPr>
          <w:p>
            <w:pPr>
              <w:spacing w:after="0"/>
              <w:rPr>
                <w:sz w:val="21"/>
                <w:szCs w:val="21"/>
                <w:color w:val="auto"/>
              </w:rPr>
            </w:pPr>
          </w:p>
        </w:tc>
        <w:tc>
          <w:tcPr>
            <w:tcW w:w="2320" w:type="dxa"/>
            <w:vAlign w:val="bottom"/>
            <w:gridSpan w:val="5"/>
          </w:tcPr>
          <w:p>
            <w:pPr>
              <w:jc w:val="center"/>
              <w:spacing w:after="0"/>
              <w:rPr>
                <w:sz w:val="20"/>
                <w:szCs w:val="20"/>
                <w:color w:val="auto"/>
              </w:rPr>
            </w:pPr>
            <w:r>
              <w:rPr>
                <w:rFonts w:ascii="Arial" w:cs="Arial" w:eastAsia="Arial" w:hAnsi="Arial"/>
                <w:sz w:val="18"/>
                <w:szCs w:val="18"/>
                <w:color w:val="auto"/>
                <w:w w:val="86"/>
              </w:rPr>
              <w:t>Estimated Future Payouts</w:t>
            </w:r>
          </w:p>
        </w:tc>
        <w:tc>
          <w:tcPr>
            <w:tcW w:w="760" w:type="dxa"/>
            <w:vAlign w:val="bottom"/>
            <w:gridSpan w:val="2"/>
          </w:tcPr>
          <w:p>
            <w:pPr>
              <w:jc w:val="center"/>
              <w:ind w:left="14"/>
              <w:spacing w:after="0"/>
              <w:rPr>
                <w:sz w:val="20"/>
                <w:szCs w:val="20"/>
                <w:color w:val="auto"/>
              </w:rPr>
            </w:pPr>
            <w:r>
              <w:rPr>
                <w:rFonts w:ascii="Arial" w:cs="Arial" w:eastAsia="Arial" w:hAnsi="Arial"/>
                <w:sz w:val="18"/>
                <w:szCs w:val="18"/>
                <w:color w:val="auto"/>
                <w:w w:val="88"/>
              </w:rPr>
              <w:t>Price of</w:t>
            </w:r>
          </w:p>
        </w:tc>
        <w:tc>
          <w:tcPr>
            <w:tcW w:w="2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7"/>
              </w:rPr>
              <w:t>Value of</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Non-Equity Incentive Plan</w:t>
            </w:r>
          </w:p>
        </w:tc>
        <w:tc>
          <w:tcPr>
            <w:tcW w:w="60" w:type="dxa"/>
            <w:vAlign w:val="bottom"/>
          </w:tcPr>
          <w:p>
            <w:pPr>
              <w:spacing w:after="0"/>
              <w:rPr>
                <w:sz w:val="21"/>
                <w:szCs w:val="21"/>
                <w:color w:val="auto"/>
              </w:rPr>
            </w:pPr>
          </w:p>
        </w:tc>
        <w:tc>
          <w:tcPr>
            <w:tcW w:w="2320" w:type="dxa"/>
            <w:vAlign w:val="bottom"/>
            <w:gridSpan w:val="5"/>
          </w:tcPr>
          <w:p>
            <w:pPr>
              <w:jc w:val="center"/>
              <w:spacing w:after="0"/>
              <w:rPr>
                <w:sz w:val="20"/>
                <w:szCs w:val="20"/>
                <w:color w:val="auto"/>
              </w:rPr>
            </w:pPr>
            <w:r>
              <w:rPr>
                <w:rFonts w:ascii="Arial" w:cs="Arial" w:eastAsia="Arial" w:hAnsi="Arial"/>
                <w:sz w:val="18"/>
                <w:szCs w:val="18"/>
                <w:color w:val="auto"/>
                <w:w w:val="90"/>
              </w:rPr>
              <w:t>Under Equity Incentive Plan</w:t>
            </w:r>
          </w:p>
        </w:tc>
        <w:tc>
          <w:tcPr>
            <w:tcW w:w="760" w:type="dxa"/>
            <w:vAlign w:val="bottom"/>
            <w:gridSpan w:val="2"/>
          </w:tcPr>
          <w:p>
            <w:pPr>
              <w:jc w:val="center"/>
              <w:ind w:left="14"/>
              <w:spacing w:after="0"/>
              <w:rPr>
                <w:sz w:val="20"/>
                <w:szCs w:val="20"/>
                <w:color w:val="auto"/>
              </w:rPr>
            </w:pPr>
            <w:r>
              <w:rPr>
                <w:rFonts w:ascii="Arial" w:cs="Arial" w:eastAsia="Arial" w:hAnsi="Arial"/>
                <w:sz w:val="18"/>
                <w:szCs w:val="18"/>
                <w:color w:val="auto"/>
                <w:w w:val="94"/>
              </w:rPr>
              <w:t>Option</w:t>
            </w:r>
          </w:p>
        </w:tc>
        <w:tc>
          <w:tcPr>
            <w:tcW w:w="2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7"/>
              </w:rPr>
              <w:t>Stock and</w:t>
            </w: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Grant</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spacing w:after="0" w:line="285" w:lineRule="exact"/>
              <w:rPr>
                <w:sz w:val="20"/>
                <w:szCs w:val="20"/>
                <w:color w:val="auto"/>
              </w:rPr>
            </w:pPr>
            <w:r>
              <w:rPr>
                <w:rFonts w:ascii="Arial" w:cs="Arial" w:eastAsia="Arial" w:hAnsi="Arial"/>
                <w:sz w:val="18"/>
                <w:szCs w:val="18"/>
                <w:color w:val="auto"/>
                <w:w w:val="83"/>
              </w:rPr>
              <w:t>Awards</w:t>
            </w:r>
            <w:r>
              <w:rPr>
                <w:rFonts w:ascii="Arial" w:cs="Arial" w:eastAsia="Arial" w:hAnsi="Arial"/>
                <w:sz w:val="29"/>
                <w:szCs w:val="29"/>
                <w:color w:val="auto"/>
                <w:w w:val="83"/>
                <w:vertAlign w:val="superscript"/>
              </w:rPr>
              <w:t>(1)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center"/>
              <w:spacing w:after="0" w:line="285" w:lineRule="exact"/>
              <w:rPr>
                <w:sz w:val="20"/>
                <w:szCs w:val="20"/>
                <w:color w:val="auto"/>
              </w:rPr>
            </w:pPr>
            <w:r>
              <w:rPr>
                <w:rFonts w:ascii="Arial" w:cs="Arial" w:eastAsia="Arial" w:hAnsi="Arial"/>
                <w:sz w:val="18"/>
                <w:szCs w:val="18"/>
                <w:color w:val="auto"/>
                <w:w w:val="83"/>
              </w:rPr>
              <w:t>Awards</w:t>
            </w:r>
            <w:r>
              <w:rPr>
                <w:rFonts w:ascii="Arial" w:cs="Arial" w:eastAsia="Arial" w:hAnsi="Arial"/>
                <w:sz w:val="29"/>
                <w:szCs w:val="29"/>
                <w:color w:val="auto"/>
                <w:w w:val="83"/>
                <w:vertAlign w:val="superscript"/>
              </w:rPr>
              <w:t>(2)</w:t>
            </w:r>
          </w:p>
        </w:tc>
        <w:tc>
          <w:tcPr>
            <w:tcW w:w="800" w:type="dxa"/>
            <w:vAlign w:val="bottom"/>
            <w:tcBorders>
              <w:bottom w:val="single" w:sz="8" w:color="auto"/>
            </w:tcBorders>
          </w:tcPr>
          <w:p>
            <w:pPr>
              <w:spacing w:after="0"/>
              <w:rPr>
                <w:sz w:val="24"/>
                <w:szCs w:val="24"/>
                <w:color w:val="auto"/>
              </w:rPr>
            </w:pPr>
          </w:p>
        </w:tc>
        <w:tc>
          <w:tcPr>
            <w:tcW w:w="760" w:type="dxa"/>
            <w:vAlign w:val="bottom"/>
            <w:gridSpan w:val="2"/>
          </w:tcPr>
          <w:p>
            <w:pPr>
              <w:jc w:val="center"/>
              <w:ind w:left="14"/>
              <w:spacing w:after="0"/>
              <w:rPr>
                <w:sz w:val="20"/>
                <w:szCs w:val="20"/>
                <w:color w:val="auto"/>
              </w:rPr>
            </w:pPr>
            <w:r>
              <w:rPr>
                <w:rFonts w:ascii="Arial" w:cs="Arial" w:eastAsia="Arial" w:hAnsi="Arial"/>
                <w:sz w:val="18"/>
                <w:szCs w:val="18"/>
                <w:color w:val="auto"/>
                <w:w w:val="89"/>
              </w:rPr>
              <w:t>Awards</w:t>
            </w:r>
          </w:p>
        </w:tc>
        <w:tc>
          <w:tcPr>
            <w:tcW w:w="200" w:type="dxa"/>
            <w:vAlign w:val="bottom"/>
          </w:tcPr>
          <w:p>
            <w:pPr>
              <w:spacing w:after="0"/>
              <w:rPr>
                <w:sz w:val="24"/>
                <w:szCs w:val="24"/>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4"/>
              </w:rPr>
              <w:t>Option</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Threshold</w:t>
            </w:r>
          </w:p>
        </w:tc>
        <w:tc>
          <w:tcPr>
            <w:tcW w:w="180" w:type="dxa"/>
            <w:vAlign w:val="bottom"/>
          </w:tcPr>
          <w:p>
            <w:pPr>
              <w:spacing w:after="0"/>
              <w:rPr>
                <w:sz w:val="24"/>
                <w:szCs w:val="24"/>
                <w:color w:val="auto"/>
              </w:rPr>
            </w:pPr>
          </w:p>
        </w:tc>
        <w:tc>
          <w:tcPr>
            <w:tcW w:w="680" w:type="dxa"/>
            <w:vAlign w:val="bottom"/>
          </w:tcPr>
          <w:p>
            <w:pPr>
              <w:jc w:val="center"/>
              <w:ind w:right="32"/>
              <w:spacing w:after="0"/>
              <w:rPr>
                <w:sz w:val="20"/>
                <w:szCs w:val="20"/>
                <w:color w:val="auto"/>
              </w:rPr>
            </w:pPr>
            <w:r>
              <w:rPr>
                <w:rFonts w:ascii="Arial" w:cs="Arial" w:eastAsia="Arial" w:hAnsi="Arial"/>
                <w:sz w:val="18"/>
                <w:szCs w:val="18"/>
                <w:color w:val="auto"/>
                <w:w w:val="84"/>
              </w:rPr>
              <w:t>Target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Maximum</w:t>
            </w:r>
          </w:p>
        </w:tc>
        <w:tc>
          <w:tcPr>
            <w:tcW w:w="6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2"/>
              </w:rPr>
              <w:t>Threshold</w:t>
            </w:r>
          </w:p>
        </w:tc>
        <w:tc>
          <w:tcPr>
            <w:tcW w:w="8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Target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Maximum</w:t>
            </w:r>
          </w:p>
        </w:tc>
        <w:tc>
          <w:tcPr>
            <w:tcW w:w="760" w:type="dxa"/>
            <w:vAlign w:val="bottom"/>
            <w:gridSpan w:val="2"/>
          </w:tcPr>
          <w:p>
            <w:pPr>
              <w:jc w:val="center"/>
              <w:ind w:left="14"/>
              <w:spacing w:after="0"/>
              <w:rPr>
                <w:sz w:val="20"/>
                <w:szCs w:val="20"/>
                <w:color w:val="auto"/>
              </w:rPr>
            </w:pPr>
            <w:r>
              <w:rPr>
                <w:rFonts w:ascii="Arial" w:cs="Arial" w:eastAsia="Arial" w:hAnsi="Arial"/>
                <w:sz w:val="15"/>
                <w:szCs w:val="15"/>
                <w:color w:val="auto"/>
                <w:w w:val="97"/>
              </w:rPr>
              <w:t>(3)</w:t>
            </w:r>
          </w:p>
        </w:tc>
        <w:tc>
          <w:tcPr>
            <w:tcW w:w="200" w:type="dxa"/>
            <w:vAlign w:val="bottom"/>
          </w:tcPr>
          <w:p>
            <w:pPr>
              <w:spacing w:after="0"/>
              <w:rPr>
                <w:sz w:val="24"/>
                <w:szCs w:val="24"/>
                <w:color w:val="auto"/>
              </w:rPr>
            </w:pPr>
          </w:p>
        </w:tc>
        <w:tc>
          <w:tcPr>
            <w:tcW w:w="800" w:type="dxa"/>
            <w:vAlign w:val="bottom"/>
          </w:tcPr>
          <w:p>
            <w:pPr>
              <w:jc w:val="center"/>
              <w:ind w:right="12"/>
              <w:spacing w:after="0" w:line="277" w:lineRule="exact"/>
              <w:rPr>
                <w:sz w:val="20"/>
                <w:szCs w:val="20"/>
                <w:color w:val="auto"/>
              </w:rPr>
            </w:pPr>
            <w:r>
              <w:rPr>
                <w:rFonts w:ascii="Arial" w:cs="Arial" w:eastAsia="Arial" w:hAnsi="Arial"/>
                <w:sz w:val="18"/>
                <w:szCs w:val="18"/>
                <w:color w:val="auto"/>
                <w:w w:val="83"/>
              </w:rPr>
              <w:t>Awards</w:t>
            </w:r>
            <w:r>
              <w:rPr>
                <w:rFonts w:ascii="Arial" w:cs="Arial" w:eastAsia="Arial" w:hAnsi="Arial"/>
                <w:sz w:val="29"/>
                <w:szCs w:val="29"/>
                <w:color w:val="auto"/>
                <w:w w:val="83"/>
                <w:vertAlign w:val="superscript"/>
              </w:rPr>
              <w:t>(4)</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660" w:type="dxa"/>
            <w:vAlign w:val="bottom"/>
          </w:tcPr>
          <w:p>
            <w:pPr>
              <w:spacing w:after="0"/>
              <w:rPr>
                <w:sz w:val="20"/>
                <w:szCs w:val="20"/>
                <w:color w:val="auto"/>
              </w:rPr>
            </w:pPr>
            <w:r>
              <w:rPr>
                <w:rFonts w:ascii="Arial" w:cs="Arial" w:eastAsia="Arial" w:hAnsi="Arial"/>
                <w:sz w:val="18"/>
                <w:szCs w:val="18"/>
                <w:color w:val="auto"/>
              </w:rPr>
              <w:t>James B. Morgan</w:t>
            </w:r>
          </w:p>
        </w:tc>
        <w:tc>
          <w:tcPr>
            <w:tcW w:w="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12/04/08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58,253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6"/>
              </w:rPr>
              <w:t>$  194,175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194,175</w:t>
            </w:r>
          </w:p>
        </w:tc>
        <w:tc>
          <w:tcPr>
            <w:tcW w:w="6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8.29</w:t>
            </w:r>
          </w:p>
        </w:tc>
        <w:tc>
          <w:tcPr>
            <w:tcW w:w="2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39,341</w:t>
            </w:r>
          </w:p>
        </w:tc>
        <w:tc>
          <w:tcPr>
            <w:tcW w:w="0" w:type="dxa"/>
            <w:vAlign w:val="bottom"/>
          </w:tcPr>
          <w:p>
            <w:pPr>
              <w:spacing w:after="0"/>
              <w:rPr>
                <w:sz w:val="1"/>
                <w:szCs w:val="1"/>
                <w:color w:val="auto"/>
              </w:rPr>
            </w:pPr>
          </w:p>
        </w:tc>
      </w:tr>
      <w:tr>
        <w:trPr>
          <w:trHeight w:val="243"/>
        </w:trPr>
        <w:tc>
          <w:tcPr>
            <w:tcW w:w="1740" w:type="dxa"/>
            <w:vAlign w:val="bottom"/>
            <w:gridSpan w:val="2"/>
          </w:tcPr>
          <w:p>
            <w:pPr>
              <w:spacing w:after="0"/>
              <w:rPr>
                <w:sz w:val="20"/>
                <w:szCs w:val="20"/>
                <w:color w:val="auto"/>
              </w:rPr>
            </w:pPr>
            <w:r>
              <w:rPr>
                <w:rFonts w:ascii="Arial" w:cs="Arial" w:eastAsia="Arial" w:hAnsi="Arial"/>
                <w:sz w:val="18"/>
                <w:szCs w:val="18"/>
                <w:color w:val="auto"/>
              </w:rPr>
              <w:t>Aelred J. Kurtenbach</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12/04/08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11,250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40" w:type="dxa"/>
            <w:vAlign w:val="bottom"/>
            <w:gridSpan w:val="2"/>
          </w:tcPr>
          <w:p>
            <w:pPr>
              <w:spacing w:after="0"/>
              <w:rPr>
                <w:sz w:val="20"/>
                <w:szCs w:val="20"/>
                <w:color w:val="auto"/>
              </w:rPr>
            </w:pPr>
            <w:r>
              <w:rPr>
                <w:rFonts w:ascii="Arial" w:cs="Arial" w:eastAsia="Arial" w:hAnsi="Arial"/>
                <w:sz w:val="18"/>
                <w:szCs w:val="18"/>
                <w:color w:val="auto"/>
              </w:rPr>
              <w:t>William R. Retterath</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12/04/08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26,507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88,357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88,357</w:t>
            </w:r>
          </w:p>
        </w:tc>
        <w:tc>
          <w:tcPr>
            <w:tcW w:w="6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36,062</w:t>
            </w:r>
          </w:p>
        </w:tc>
        <w:tc>
          <w:tcPr>
            <w:tcW w:w="0" w:type="dxa"/>
            <w:vAlign w:val="bottom"/>
          </w:tcPr>
          <w:p>
            <w:pPr>
              <w:spacing w:after="0"/>
              <w:rPr>
                <w:sz w:val="1"/>
                <w:szCs w:val="1"/>
                <w:color w:val="auto"/>
              </w:rPr>
            </w:pPr>
          </w:p>
        </w:tc>
      </w:tr>
      <w:tr>
        <w:trPr>
          <w:trHeight w:val="243"/>
        </w:trPr>
        <w:tc>
          <w:tcPr>
            <w:tcW w:w="1740" w:type="dxa"/>
            <w:vAlign w:val="bottom"/>
            <w:gridSpan w:val="2"/>
          </w:tcPr>
          <w:p>
            <w:pPr>
              <w:spacing w:after="0"/>
              <w:rPr>
                <w:sz w:val="20"/>
                <w:szCs w:val="20"/>
                <w:color w:val="auto"/>
              </w:rPr>
            </w:pPr>
            <w:r>
              <w:rPr>
                <w:rFonts w:ascii="Arial" w:cs="Arial" w:eastAsia="Arial" w:hAnsi="Arial"/>
                <w:sz w:val="18"/>
                <w:szCs w:val="18"/>
                <w:color w:val="auto"/>
              </w:rPr>
              <w:t>Bradley T. Wiemann</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12/04/08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22,125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73,750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73,750</w:t>
            </w:r>
          </w:p>
        </w:tc>
        <w:tc>
          <w:tcPr>
            <w:tcW w:w="6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34,423</w:t>
            </w:r>
          </w:p>
        </w:tc>
        <w:tc>
          <w:tcPr>
            <w:tcW w:w="0" w:type="dxa"/>
            <w:vAlign w:val="bottom"/>
          </w:tcPr>
          <w:p>
            <w:pPr>
              <w:spacing w:after="0"/>
              <w:rPr>
                <w:sz w:val="1"/>
                <w:szCs w:val="1"/>
                <w:color w:val="auto"/>
              </w:rPr>
            </w:pPr>
          </w:p>
        </w:tc>
      </w:tr>
      <w:tr>
        <w:trPr>
          <w:trHeight w:val="243"/>
        </w:trPr>
        <w:tc>
          <w:tcPr>
            <w:tcW w:w="1740" w:type="dxa"/>
            <w:vAlign w:val="bottom"/>
            <w:gridSpan w:val="2"/>
          </w:tcPr>
          <w:p>
            <w:pPr>
              <w:spacing w:after="0"/>
              <w:rPr>
                <w:sz w:val="20"/>
                <w:szCs w:val="20"/>
                <w:color w:val="auto"/>
              </w:rPr>
            </w:pPr>
            <w:r>
              <w:rPr>
                <w:rFonts w:ascii="Arial" w:cs="Arial" w:eastAsia="Arial" w:hAnsi="Arial"/>
                <w:sz w:val="18"/>
                <w:szCs w:val="18"/>
                <w:color w:val="auto"/>
              </w:rPr>
              <w:t>Reece A. Kurtenbach</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12/04/08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22,650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75,500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75,500</w:t>
            </w:r>
          </w:p>
        </w:tc>
        <w:tc>
          <w:tcPr>
            <w:tcW w:w="6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10,500</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34,423</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______________________</w:t>
      </w:r>
    </w:p>
    <w:p>
      <w:pPr>
        <w:spacing w:after="0" w:line="250" w:lineRule="exact"/>
        <w:rPr>
          <w:sz w:val="20"/>
          <w:szCs w:val="20"/>
          <w:color w:val="auto"/>
        </w:rPr>
      </w:pPr>
    </w:p>
    <w:p>
      <w:pPr>
        <w:ind w:left="620" w:right="1299" w:hanging="515"/>
        <w:spacing w:after="0" w:line="265" w:lineRule="auto"/>
        <w:tabs>
          <w:tab w:leader="none" w:pos="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Consists of cash bonuses under our annual non-equity-based incentive compensation plan. The amounts in these columns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jc w:val="both"/>
        <w:ind w:left="620" w:right="1159" w:hanging="515"/>
        <w:spacing w:after="0" w:line="221"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stock options granted to the Named Executive Officers in fiscal 2009 under the 2007 Plan. The options vest and become exercisable as to 20% of the shares one year after the date of grant and as to an additional 20% in each succeeding year, but only if the Named Executive Officer is then an employee of the Company.</w:t>
      </w:r>
    </w:p>
    <w:p>
      <w:pPr>
        <w:ind w:left="620" w:hanging="515"/>
        <w:spacing w:after="0"/>
        <w:tabs>
          <w:tab w:leader="none" w:pos="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exercise price of all options was equal to the closing price of the common stock as quoted on The NASDAQ Global Market on the date of grant.</w:t>
      </w:r>
    </w:p>
    <w:p>
      <w:pPr>
        <w:spacing w:after="0" w:line="10" w:lineRule="exact"/>
        <w:rPr>
          <w:rFonts w:ascii="Arial" w:cs="Arial" w:eastAsia="Arial" w:hAnsi="Arial"/>
          <w:sz w:val="12"/>
          <w:szCs w:val="12"/>
          <w:color w:val="auto"/>
        </w:rPr>
      </w:pPr>
    </w:p>
    <w:p>
      <w:pPr>
        <w:ind w:left="620" w:right="1319" w:hanging="515"/>
        <w:spacing w:after="0" w:line="227"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full grant date fair value determined pursuant to SFAS No. 123(R) as reflected in our financial statements, based on the numbers of shares subject to option awards granted and the closing price of the common stock as quoted on The NASDAQ Global Market on the date of grant, which was $8.29 per share.</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following table sets forth information about unexercised options that were held at May 2, 2009 by the Named Executive Officers:</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OUTSTANDING EQUITY AWARDS AT FISCAL YEAR-END — FISCAL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rPr>
              <w:t>Option Awards</w:t>
            </w:r>
            <w:r>
              <w:rPr>
                <w:rFonts w:ascii="Arial" w:cs="Arial" w:eastAsia="Arial" w:hAnsi="Arial"/>
                <w:sz w:val="29"/>
                <w:szCs w:val="29"/>
                <w:color w:val="auto"/>
                <w:vertAlign w:val="superscript"/>
              </w:rPr>
              <w:t>(1)</w:t>
            </w:r>
          </w:p>
        </w:tc>
        <w:tc>
          <w:tcPr>
            <w:tcW w:w="1500" w:type="dxa"/>
            <w:vAlign w:val="bottom"/>
            <w:tcBorders>
              <w:bottom w:val="single" w:sz="8" w:color="auto"/>
            </w:tcBorders>
          </w:tcPr>
          <w:p>
            <w:pPr>
              <w:spacing w:after="0"/>
              <w:rPr>
                <w:sz w:val="24"/>
                <w:szCs w:val="24"/>
                <w:color w:val="auto"/>
              </w:rPr>
            </w:pPr>
          </w:p>
        </w:tc>
      </w:tr>
      <w:tr>
        <w:trPr>
          <w:trHeight w:val="282"/>
        </w:trPr>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Securities</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Securities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Underlying</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Underlying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Unexercised</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Unexercised</w:t>
            </w:r>
          </w:p>
        </w:tc>
        <w:tc>
          <w:tcPr>
            <w:tcW w:w="30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Option</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Option</w:t>
            </w:r>
          </w:p>
        </w:tc>
      </w:tr>
      <w:tr>
        <w:trPr>
          <w:trHeight w:val="216"/>
        </w:trPr>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Options (#)</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Options (#)</w:t>
            </w:r>
          </w:p>
        </w:tc>
        <w:tc>
          <w:tcPr>
            <w:tcW w:w="30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Exercise</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Expiration</w:t>
            </w:r>
          </w:p>
        </w:tc>
      </w:tr>
      <w:tr>
        <w:trPr>
          <w:trHeight w:val="223"/>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Exercisable</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88"/>
              </w:rPr>
              <w:t>Price ($)</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James B. Morgan</w:t>
            </w: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5.7725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11/20/2012</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11/19/2013</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11/22/2014</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11/16/2015</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34.0650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11/15/2016</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11/14/2017</w:t>
            </w:r>
          </w:p>
        </w:tc>
      </w:tr>
      <w:tr>
        <w:trPr>
          <w:trHeight w:val="249"/>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12/03/2018</w:t>
            </w:r>
          </w:p>
        </w:tc>
      </w:tr>
      <w:tr>
        <w:trPr>
          <w:trHeight w:val="480"/>
        </w:trPr>
        <w:tc>
          <w:tcPr>
            <w:tcW w:w="2140" w:type="dxa"/>
            <w:vAlign w:val="bottom"/>
            <w:gridSpan w:val="2"/>
          </w:tcPr>
          <w:p>
            <w:pPr>
              <w:spacing w:after="0"/>
              <w:rPr>
                <w:sz w:val="20"/>
                <w:szCs w:val="20"/>
                <w:color w:val="auto"/>
              </w:rPr>
            </w:pPr>
            <w:r>
              <w:rPr>
                <w:rFonts w:ascii="Arial" w:cs="Arial" w:eastAsia="Arial" w:hAnsi="Arial"/>
                <w:sz w:val="18"/>
                <w:szCs w:val="18"/>
                <w:color w:val="auto"/>
              </w:rPr>
              <w:t>Dr. Aelred J. Kurtenbach</w:t>
            </w:r>
          </w:p>
        </w:tc>
        <w:tc>
          <w:tcPr>
            <w:tcW w:w="1200" w:type="dxa"/>
            <w:vAlign w:val="bottom"/>
          </w:tcPr>
          <w:p>
            <w:pPr>
              <w:jc w:val="right"/>
              <w:spacing w:after="0"/>
              <w:rPr>
                <w:sz w:val="20"/>
                <w:szCs w:val="20"/>
                <w:color w:val="auto"/>
              </w:rPr>
            </w:pPr>
            <w:r>
              <w:rPr>
                <w:rFonts w:ascii="Arial" w:cs="Arial" w:eastAsia="Arial" w:hAnsi="Arial"/>
                <w:sz w:val="18"/>
                <w:szCs w:val="18"/>
                <w:color w:val="auto"/>
              </w:rPr>
              <w:t>22,504</w:t>
            </w:r>
          </w:p>
        </w:tc>
        <w:tc>
          <w:tcPr>
            <w:tcW w:w="18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3.8281</w:t>
            </w: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11/15/2010</w:t>
            </w:r>
          </w:p>
        </w:tc>
      </w:tr>
      <w:tr>
        <w:trPr>
          <w:trHeight w:val="249"/>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11/12/2011</w:t>
            </w:r>
          </w:p>
        </w:tc>
      </w:tr>
      <w:tr>
        <w:trPr>
          <w:trHeight w:val="480"/>
        </w:trPr>
        <w:tc>
          <w:tcPr>
            <w:tcW w:w="2140" w:type="dxa"/>
            <w:vAlign w:val="bottom"/>
            <w:gridSpan w:val="2"/>
          </w:tcPr>
          <w:p>
            <w:pPr>
              <w:spacing w:after="0"/>
              <w:rPr>
                <w:sz w:val="20"/>
                <w:szCs w:val="20"/>
                <w:color w:val="auto"/>
              </w:rPr>
            </w:pPr>
            <w:r>
              <w:rPr>
                <w:rFonts w:ascii="Arial" w:cs="Arial" w:eastAsia="Arial" w:hAnsi="Arial"/>
                <w:sz w:val="18"/>
                <w:szCs w:val="18"/>
                <w:color w:val="auto"/>
              </w:rPr>
              <w:t>William R. Retterath</w:t>
            </w: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5.7725</w:t>
            </w: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11/20/2012</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11/19/2013</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11/22/2014</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11/16/2015</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34.0650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11/15/2016</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11/14/2017</w:t>
            </w:r>
          </w:p>
        </w:tc>
      </w:tr>
      <w:tr>
        <w:trPr>
          <w:trHeight w:val="249"/>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12/03/2018</w:t>
            </w:r>
          </w:p>
        </w:tc>
      </w:tr>
      <w:tr>
        <w:trPr>
          <w:trHeight w:val="480"/>
        </w:trPr>
        <w:tc>
          <w:tcPr>
            <w:tcW w:w="2140" w:type="dxa"/>
            <w:vAlign w:val="bottom"/>
            <w:gridSpan w:val="2"/>
          </w:tcPr>
          <w:p>
            <w:pPr>
              <w:spacing w:after="0"/>
              <w:rPr>
                <w:sz w:val="20"/>
                <w:szCs w:val="20"/>
                <w:color w:val="auto"/>
              </w:rPr>
            </w:pPr>
            <w:r>
              <w:rPr>
                <w:rFonts w:ascii="Arial" w:cs="Arial" w:eastAsia="Arial" w:hAnsi="Arial"/>
                <w:sz w:val="18"/>
                <w:szCs w:val="18"/>
                <w:color w:val="auto"/>
              </w:rPr>
              <w:t>Bradley T. Wiemann</w:t>
            </w: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2.5625</w:t>
            </w: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11/17/2009</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3.8281</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11/15/2010</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11/12/2011</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5.7725</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11/20/2012</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11/19/2013</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11/22/2014</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11/16/2015</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34.0650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11/15/2016</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11/14/2017</w:t>
            </w:r>
          </w:p>
        </w:tc>
      </w:tr>
      <w:tr>
        <w:trPr>
          <w:trHeight w:val="249"/>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12/03/2018</w:t>
            </w:r>
          </w:p>
        </w:tc>
      </w:tr>
      <w:tr>
        <w:trPr>
          <w:trHeight w:val="480"/>
        </w:trPr>
        <w:tc>
          <w:tcPr>
            <w:tcW w:w="2140" w:type="dxa"/>
            <w:vAlign w:val="bottom"/>
            <w:gridSpan w:val="2"/>
          </w:tcPr>
          <w:p>
            <w:pPr>
              <w:spacing w:after="0"/>
              <w:rPr>
                <w:sz w:val="20"/>
                <w:szCs w:val="20"/>
                <w:color w:val="auto"/>
              </w:rPr>
            </w:pPr>
            <w:r>
              <w:rPr>
                <w:rFonts w:ascii="Arial" w:cs="Arial" w:eastAsia="Arial" w:hAnsi="Arial"/>
                <w:sz w:val="18"/>
                <w:szCs w:val="18"/>
                <w:color w:val="auto"/>
              </w:rPr>
              <w:t>Reece A. Kurtenbach</w:t>
            </w:r>
          </w:p>
        </w:tc>
        <w:tc>
          <w:tcPr>
            <w:tcW w:w="1200" w:type="dxa"/>
            <w:vAlign w:val="bottom"/>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5.7725</w:t>
            </w: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11/20/2012</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11/19/2013</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11/22/2014</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11/16/2015</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34.0650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11/15/2016</w:t>
            </w:r>
          </w:p>
        </w:tc>
      </w:tr>
      <w:tr>
        <w:trPr>
          <w:trHeight w:val="243"/>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20.0700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11/14/2017</w:t>
            </w:r>
          </w:p>
        </w:tc>
      </w:tr>
      <w:tr>
        <w:trPr>
          <w:trHeight w:val="249"/>
        </w:trPr>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8.2900</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12/03/2018</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ind w:left="340" w:right="2119" w:hanging="332"/>
        <w:spacing w:after="0" w:line="23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Options vest and become exercisable as to 20% one year after date of grant and as to an additional 20% in each succeeding year, but only if the Named Executive Officer is then an employee of the Company.</w:t>
      </w:r>
    </w:p>
    <w:p>
      <w:pPr>
        <w:sectPr>
          <w:pgSz w:w="11900" w:h="16838" w:orient="portrait"/>
          <w:cols w:equalWidth="0" w:num="1">
            <w:col w:w="10219"/>
          </w:cols>
          <w:pgMar w:left="240" w:top="374" w:right="1440" w:bottom="0" w:gutter="0" w:footer="0" w:header="0"/>
        </w:sectPr>
      </w:pPr>
    </w:p>
    <w:bookmarkStart w:id="18" w:name="page19"/>
    <w:bookmarkEnd w:id="18"/>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fiscal 2009 by the Named Executive Officers:</w:t>
      </w:r>
    </w:p>
    <w:p>
      <w:pPr>
        <w:spacing w:after="0" w:line="20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OPTION EXERCISES AND STOCK VESTED – FISCAL 2009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8"/>
                <w:szCs w:val="18"/>
                <w:color w:val="auto"/>
              </w:rPr>
              <w:t>Option Awards</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Number of</w:t>
            </w:r>
          </w:p>
        </w:tc>
        <w:tc>
          <w:tcPr>
            <w:tcW w:w="300" w:type="dxa"/>
            <w:vAlign w:val="bottom"/>
          </w:tcPr>
          <w:p>
            <w:pPr>
              <w:spacing w:after="0"/>
              <w:rPr>
                <w:sz w:val="12"/>
                <w:szCs w:val="12"/>
                <w:color w:val="auto"/>
              </w:rPr>
            </w:pPr>
          </w:p>
        </w:tc>
        <w:tc>
          <w:tcPr>
            <w:tcW w:w="1520" w:type="dxa"/>
            <w:vAlign w:val="bottom"/>
          </w:tcPr>
          <w:p>
            <w:pPr>
              <w:jc w:val="center"/>
              <w:ind w:right="233"/>
              <w:spacing w:after="0" w:line="148" w:lineRule="exact"/>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vMerge w:val="restart"/>
          </w:tcPr>
          <w:p>
            <w:pPr>
              <w:jc w:val="center"/>
              <w:ind w:right="213"/>
              <w:spacing w:after="0" w:line="176" w:lineRule="exact"/>
              <w:rPr>
                <w:sz w:val="20"/>
                <w:szCs w:val="20"/>
                <w:color w:val="auto"/>
              </w:rPr>
            </w:pPr>
            <w:r>
              <w:rPr>
                <w:rFonts w:ascii="Arial" w:cs="Arial" w:eastAsia="Arial" w:hAnsi="Arial"/>
                <w:sz w:val="18"/>
                <w:szCs w:val="18"/>
                <w:color w:val="auto"/>
                <w:w w:val="88"/>
              </w:rPr>
              <w:t>Realized</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color w:val="auto"/>
                <w:w w:val="84"/>
              </w:rPr>
              <w:t>Shares</w:t>
            </w:r>
          </w:p>
        </w:tc>
        <w:tc>
          <w:tcPr>
            <w:tcW w:w="3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vMerge w:val="restart"/>
          </w:tcPr>
          <w:p>
            <w:pPr>
              <w:jc w:val="center"/>
              <w:ind w:right="213"/>
              <w:spacing w:after="0" w:line="190" w:lineRule="exact"/>
              <w:rPr>
                <w:sz w:val="20"/>
                <w:szCs w:val="20"/>
                <w:color w:val="auto"/>
              </w:rPr>
            </w:pPr>
            <w:r>
              <w:rPr>
                <w:rFonts w:ascii="Arial" w:cs="Arial" w:eastAsia="Arial" w:hAnsi="Arial"/>
                <w:sz w:val="18"/>
                <w:szCs w:val="18"/>
                <w:color w:val="auto"/>
                <w:w w:val="89"/>
              </w:rPr>
              <w:t>on</w:t>
            </w: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color w:val="auto"/>
                <w:w w:val="91"/>
              </w:rPr>
              <w:t>Acquired on</w:t>
            </w: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20" w:type="dxa"/>
            <w:vAlign w:val="bottom"/>
            <w:vMerge w:val="restart"/>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vMerge w:val="restart"/>
          </w:tcPr>
          <w:p>
            <w:pPr>
              <w:jc w:val="center"/>
              <w:ind w:right="213"/>
              <w:spacing w:after="0" w:line="251" w:lineRule="exact"/>
              <w:rPr>
                <w:sz w:val="20"/>
                <w:szCs w:val="20"/>
                <w:color w:val="auto"/>
              </w:rPr>
            </w:pPr>
            <w:r>
              <w:rPr>
                <w:rFonts w:ascii="Arial" w:cs="Arial" w:eastAsia="Arial" w:hAnsi="Arial"/>
                <w:sz w:val="18"/>
                <w:szCs w:val="18"/>
                <w:color w:val="auto"/>
                <w:w w:val="83"/>
              </w:rPr>
              <w:t xml:space="preserve">Exercise </w:t>
            </w:r>
            <w:r>
              <w:rPr>
                <w:rFonts w:ascii="Arial" w:cs="Arial" w:eastAsia="Arial" w:hAnsi="Arial"/>
                <w:sz w:val="29"/>
                <w:szCs w:val="29"/>
                <w:color w:val="auto"/>
                <w:w w:val="83"/>
                <w:vertAlign w:val="superscript"/>
              </w:rPr>
              <w:t>(1)</w:t>
            </w:r>
          </w:p>
        </w:tc>
        <w:tc>
          <w:tcPr>
            <w:tcW w:w="0" w:type="dxa"/>
            <w:vAlign w:val="bottom"/>
          </w:tcPr>
          <w:p>
            <w:pPr>
              <w:spacing w:after="0"/>
              <w:rPr>
                <w:sz w:val="1"/>
                <w:szCs w:val="1"/>
                <w:color w:val="auto"/>
              </w:rPr>
            </w:pPr>
          </w:p>
        </w:tc>
      </w:tr>
      <w:tr>
        <w:trPr>
          <w:trHeight w:val="197"/>
        </w:trPr>
        <w:tc>
          <w:tcPr>
            <w:tcW w:w="1680" w:type="dxa"/>
            <w:vAlign w:val="bottom"/>
            <w:tcBorders>
              <w:bottom w:val="single" w:sz="8" w:color="auto"/>
            </w:tcBorders>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8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color w:val="auto"/>
                <w:w w:val="86"/>
              </w:rPr>
              <w:t>Exercise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00" w:type="dxa"/>
            <w:vAlign w:val="bottom"/>
            <w:gridSpan w:val="2"/>
          </w:tcPr>
          <w:p>
            <w:pPr>
              <w:spacing w:after="0"/>
              <w:rPr>
                <w:sz w:val="20"/>
                <w:szCs w:val="20"/>
                <w:color w:val="auto"/>
              </w:rPr>
            </w:pPr>
            <w:r>
              <w:rPr>
                <w:rFonts w:ascii="Arial" w:cs="Arial" w:eastAsia="Arial" w:hAnsi="Arial"/>
                <w:sz w:val="18"/>
                <w:szCs w:val="18"/>
                <w:color w:val="auto"/>
              </w:rPr>
              <w:t>Reece A. Kurtenbach</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257,800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ind w:left="340" w:right="2119" w:hanging="332"/>
        <w:spacing w:after="0" w:line="23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the difference between the closing price of our common stock on the date of exercise and the exercise price of the option multiplied by the number of shares acquired upon exercise.</w:t>
      </w:r>
    </w:p>
    <w:p>
      <w:pPr>
        <w:spacing w:after="0" w:line="223" w:lineRule="exact"/>
        <w:rPr>
          <w:sz w:val="20"/>
          <w:szCs w:val="20"/>
          <w:color w:val="auto"/>
        </w:rPr>
      </w:pPr>
    </w:p>
    <w:p>
      <w:pPr>
        <w:ind w:right="2099"/>
        <w:spacing w:after="0" w:line="268" w:lineRule="auto"/>
        <w:rPr>
          <w:sz w:val="20"/>
          <w:szCs w:val="20"/>
          <w:color w:val="auto"/>
        </w:rPr>
      </w:pPr>
      <w:r>
        <w:rPr>
          <w:rFonts w:ascii="Arial" w:cs="Arial" w:eastAsia="Arial" w:hAnsi="Arial"/>
          <w:sz w:val="18"/>
          <w:szCs w:val="18"/>
          <w:color w:val="auto"/>
        </w:rPr>
        <w:t>The following table sets forth information about our defined contribution plans for the Named Executive Officers subject to such plans for fiscal 2009:</w:t>
      </w:r>
    </w:p>
    <w:p>
      <w:pPr>
        <w:spacing w:after="0" w:line="20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NON-QUALIFIED DEFERRED COMPENSATION – FISCAL 2009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Executive</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Registrant</w:t>
            </w: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Aggregate</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9"/>
              </w:rPr>
              <w:t>Aggregate</w:t>
            </w:r>
          </w:p>
        </w:tc>
      </w:tr>
      <w:tr>
        <w:trPr>
          <w:trHeight w:val="216"/>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Contributions</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Contributions</w:t>
            </w: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Earnings</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Aggregate</w:t>
            </w: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6"/>
              </w:rPr>
              <w:t>Balance at</w:t>
            </w:r>
          </w:p>
        </w:tc>
      </w:tr>
      <w:tr>
        <w:trPr>
          <w:trHeight w:val="217"/>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in Last</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in Last Fiscal</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 Last Fiscal</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Withdrawals/</w:t>
            </w:r>
          </w:p>
        </w:tc>
        <w:tc>
          <w:tcPr>
            <w:tcW w:w="880" w:type="dxa"/>
            <w:vAlign w:val="bottom"/>
          </w:tcPr>
          <w:p>
            <w:pPr>
              <w:jc w:val="center"/>
              <w:ind w:right="32"/>
              <w:spacing w:after="0"/>
              <w:rPr>
                <w:sz w:val="20"/>
                <w:szCs w:val="20"/>
                <w:color w:val="auto"/>
              </w:rPr>
            </w:pPr>
            <w:r>
              <w:rPr>
                <w:rFonts w:ascii="Arial" w:cs="Arial" w:eastAsia="Arial" w:hAnsi="Arial"/>
                <w:sz w:val="18"/>
                <w:szCs w:val="18"/>
                <w:color w:val="auto"/>
                <w:w w:val="88"/>
              </w:rPr>
              <w:t>Last Fiscal</w:t>
            </w:r>
          </w:p>
        </w:tc>
      </w:tr>
      <w:tr>
        <w:trPr>
          <w:trHeight w:val="264"/>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Fiscal Year</w:t>
            </w:r>
          </w:p>
        </w:tc>
        <w:tc>
          <w:tcPr>
            <w:tcW w:w="4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Year</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2"/>
              <w:spacing w:after="0" w:line="263" w:lineRule="exact"/>
              <w:rPr>
                <w:sz w:val="20"/>
                <w:szCs w:val="20"/>
                <w:color w:val="auto"/>
              </w:rPr>
            </w:pPr>
            <w:r>
              <w:rPr>
                <w:rFonts w:ascii="Arial" w:cs="Arial" w:eastAsia="Arial" w:hAnsi="Arial"/>
                <w:sz w:val="18"/>
                <w:szCs w:val="18"/>
                <w:color w:val="auto"/>
                <w:w w:val="77"/>
              </w:rPr>
              <w:t>Year</w:t>
            </w:r>
            <w:r>
              <w:rPr>
                <w:rFonts w:ascii="Arial" w:cs="Arial" w:eastAsia="Arial" w:hAnsi="Arial"/>
                <w:sz w:val="29"/>
                <w:szCs w:val="29"/>
                <w:color w:val="auto"/>
                <w:w w:val="77"/>
                <w:vertAlign w:val="superscript"/>
              </w:rPr>
              <w:t>(1)</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Distributions</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Year End</w:t>
            </w:r>
          </w:p>
        </w:tc>
      </w:tr>
      <w:tr>
        <w:trPr>
          <w:trHeight w:val="235"/>
        </w:trPr>
        <w:tc>
          <w:tcPr>
            <w:tcW w:w="2140" w:type="dxa"/>
            <w:vAlign w:val="bottom"/>
            <w:gridSpan w:val="2"/>
          </w:tcPr>
          <w:p>
            <w:pPr>
              <w:spacing w:after="0"/>
              <w:rPr>
                <w:sz w:val="20"/>
                <w:szCs w:val="20"/>
                <w:color w:val="auto"/>
              </w:rPr>
            </w:pPr>
            <w:r>
              <w:rPr>
                <w:rFonts w:ascii="Arial" w:cs="Arial" w:eastAsia="Arial" w:hAnsi="Arial"/>
                <w:sz w:val="18"/>
                <w:szCs w:val="18"/>
                <w:color w:val="auto"/>
              </w:rPr>
              <w:t>James B. Morgan</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2,630</w:t>
            </w:r>
          </w:p>
        </w:tc>
        <w:tc>
          <w:tcPr>
            <w:tcW w:w="60" w:type="dxa"/>
            <w:vAlign w:val="bottom"/>
          </w:tcPr>
          <w:p>
            <w:pPr>
              <w:spacing w:after="0"/>
              <w:rPr>
                <w:sz w:val="20"/>
                <w:szCs w:val="20"/>
                <w:color w:val="auto"/>
              </w:rPr>
            </w:pPr>
          </w:p>
        </w:tc>
        <w:tc>
          <w:tcPr>
            <w:tcW w:w="1360" w:type="dxa"/>
            <w:vAlign w:val="bottom"/>
            <w:gridSpan w:val="3"/>
          </w:tcPr>
          <w:p>
            <w:pPr>
              <w:ind w:left="1020"/>
              <w:spacing w:after="0"/>
              <w:rPr>
                <w:sz w:val="20"/>
                <w:szCs w:val="20"/>
                <w:color w:val="auto"/>
              </w:rPr>
            </w:pPr>
            <w:r>
              <w:rPr>
                <w:rFonts w:ascii="Arial" w:cs="Arial" w:eastAsia="Arial" w:hAnsi="Arial"/>
                <w:sz w:val="18"/>
                <w:szCs w:val="18"/>
                <w:color w:val="auto"/>
                <w:w w:val="96"/>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106,881</w:t>
            </w:r>
          </w:p>
        </w:tc>
      </w:tr>
      <w:tr>
        <w:trPr>
          <w:trHeight w:val="237"/>
        </w:trPr>
        <w:tc>
          <w:tcPr>
            <w:tcW w:w="2140" w:type="dxa"/>
            <w:vAlign w:val="bottom"/>
            <w:gridSpan w:val="2"/>
          </w:tcPr>
          <w:p>
            <w:pPr>
              <w:spacing w:after="0"/>
              <w:rPr>
                <w:sz w:val="20"/>
                <w:szCs w:val="20"/>
                <w:color w:val="auto"/>
              </w:rPr>
            </w:pPr>
            <w:r>
              <w:rPr>
                <w:rFonts w:ascii="Arial" w:cs="Arial" w:eastAsia="Arial" w:hAnsi="Arial"/>
                <w:sz w:val="18"/>
                <w:szCs w:val="18"/>
                <w:color w:val="auto"/>
              </w:rPr>
              <w:t>Dr. Aelred J. Kurtenbach</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10,411</w:t>
            </w:r>
          </w:p>
        </w:tc>
        <w:tc>
          <w:tcPr>
            <w:tcW w:w="1360" w:type="dxa"/>
            <w:vAlign w:val="bottom"/>
            <w:gridSpan w:val="3"/>
          </w:tcPr>
          <w:p>
            <w:pPr>
              <w:ind w:left="1020"/>
              <w:spacing w:after="0"/>
              <w:rPr>
                <w:sz w:val="20"/>
                <w:szCs w:val="20"/>
                <w:color w:val="auto"/>
              </w:rPr>
            </w:pPr>
            <w:r>
              <w:rPr>
                <w:rFonts w:ascii="Arial" w:cs="Arial" w:eastAsia="Arial" w:hAnsi="Arial"/>
                <w:sz w:val="18"/>
                <w:szCs w:val="18"/>
                <w:color w:val="auto"/>
                <w:w w:val="96"/>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423,110</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w w:val="93"/>
              </w:rPr>
              <w:t>______________________</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34" w:lineRule="exact"/>
        <w:rPr>
          <w:sz w:val="20"/>
          <w:szCs w:val="20"/>
          <w:color w:val="auto"/>
        </w:rPr>
      </w:pPr>
    </w:p>
    <w:p>
      <w:pPr>
        <w:jc w:val="both"/>
        <w:ind w:left="340" w:right="2119" w:hanging="332"/>
        <w:spacing w:after="0" w:line="26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w:t>
      </w:r>
    </w:p>
    <w:p>
      <w:pPr>
        <w:ind w:left="340"/>
        <w:spacing w:after="0"/>
        <w:rPr>
          <w:rFonts w:ascii="Arial" w:cs="Arial" w:eastAsia="Arial" w:hAnsi="Arial"/>
          <w:sz w:val="12"/>
          <w:szCs w:val="12"/>
          <w:color w:val="auto"/>
        </w:rPr>
      </w:pPr>
      <w:r>
        <w:rPr>
          <w:rFonts w:ascii="Arial" w:cs="Arial" w:eastAsia="Arial" w:hAnsi="Arial"/>
          <w:sz w:val="14"/>
          <w:szCs w:val="14"/>
          <w:color w:val="auto"/>
        </w:rPr>
        <w:t>(2)(viii)(B) of Regulation S-K.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1" w:lineRule="exact"/>
        <w:rPr>
          <w:sz w:val="20"/>
          <w:szCs w:val="20"/>
          <w:color w:val="auto"/>
        </w:rPr>
      </w:pPr>
    </w:p>
    <w:p>
      <w:pPr>
        <w:jc w:val="both"/>
        <w:ind w:right="2099"/>
        <w:spacing w:after="0" w:line="281" w:lineRule="auto"/>
        <w:rPr>
          <w:sz w:val="20"/>
          <w:szCs w:val="20"/>
          <w:color w:val="auto"/>
        </w:rPr>
      </w:pPr>
      <w:r>
        <w:rPr>
          <w:rFonts w:ascii="Arial" w:cs="Arial" w:eastAsia="Arial" w:hAnsi="Arial"/>
          <w:sz w:val="16"/>
          <w:szCs w:val="16"/>
          <w:color w:val="auto"/>
        </w:rPr>
        <w:t>The Daktronics, Inc. Employee Stock Purchase Plan (the “ESPP”) permits eligible employees to make voluntary contributions through payroll deductions to be used to purchase our common stock. The ESPP provides for periodic offerings, and each offering period is for six months (an “Offering Period”). An employee may elect to have up to a maximum of 15% deducted from his or her regular salary for purposes of purchasing shares under the ESPP during each Offering Period. The price at which the employee shares are purchased will be the lower of</w:t>
      </w:r>
    </w:p>
    <w:p>
      <w:pPr>
        <w:spacing w:after="0" w:line="3" w:lineRule="exact"/>
        <w:rPr>
          <w:sz w:val="20"/>
          <w:szCs w:val="20"/>
          <w:color w:val="auto"/>
        </w:rPr>
      </w:pPr>
    </w:p>
    <w:p>
      <w:pPr>
        <w:jc w:val="both"/>
        <w:ind w:right="2099" w:firstLine="8"/>
        <w:spacing w:after="0" w:line="287" w:lineRule="auto"/>
        <w:tabs>
          <w:tab w:leader="none" w:pos="2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85% of the closing price of our common stock on the day that an Offering Period commences under the ESPP or (ii) 85% of the closing price of our common stock on the day that such Offering Period terminates. With certain exceptions, employees are eligible to participate in the ESPP. The ESPP provides for the issuance of up to 1,000,000 shares of common stock, and it is administered by the Board of Directors through the Compensation Committee. Through May 2, 2009, 491,496 shares had been issued under the ESPP and, as of May 2, 2009, 508,504 shares were available for purchase under the ESPP. During fiscal 2009, various Named Executive Officers participated in the ESPP, and the shares they hold through the ESPP are reflected in the table entitled “Security Ownership of Certain Beneficial Owners and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 w:lineRule="exact"/>
        <w:rPr>
          <w:sz w:val="20"/>
          <w:szCs w:val="20"/>
          <w:color w:val="auto"/>
        </w:rPr>
      </w:pPr>
    </w:p>
    <w:p>
      <w:pPr>
        <w:ind w:right="2119"/>
        <w:spacing w:after="0" w:line="261" w:lineRule="auto"/>
        <w:rPr>
          <w:sz w:val="20"/>
          <w:szCs w:val="20"/>
          <w:color w:val="auto"/>
        </w:rPr>
      </w:pPr>
      <w:r>
        <w:rPr>
          <w:rFonts w:ascii="Arial" w:cs="Arial" w:eastAsia="Arial" w:hAnsi="Arial"/>
          <w:sz w:val="18"/>
          <w:szCs w:val="18"/>
          <w:color w:val="auto"/>
        </w:rPr>
        <w:t>The following table sets forth certain information as of May 2, 2009 with respect to our equity compensation plans:</w:t>
      </w:r>
    </w:p>
    <w:p>
      <w:pPr>
        <w:spacing w:after="0" w:line="21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5680" w:type="dxa"/>
            <w:vAlign w:val="bottom"/>
            <w:gridSpan w:val="6"/>
          </w:tcPr>
          <w:p>
            <w:pPr>
              <w:ind w:left="540"/>
              <w:spacing w:after="0"/>
              <w:rPr>
                <w:sz w:val="20"/>
                <w:szCs w:val="20"/>
                <w:color w:val="auto"/>
              </w:rPr>
            </w:pPr>
            <w:r>
              <w:rPr>
                <w:rFonts w:ascii="Arial" w:cs="Arial" w:eastAsia="Arial" w:hAnsi="Arial"/>
                <w:sz w:val="18"/>
                <w:szCs w:val="18"/>
                <w:b w:val="1"/>
                <w:bCs w:val="1"/>
                <w:color w:val="auto"/>
              </w:rPr>
              <w:t>EQUITY COMPENSATION PLAN INFORMATION</w:t>
            </w:r>
          </w:p>
        </w:tc>
        <w:tc>
          <w:tcPr>
            <w:tcW w:w="1780" w:type="dxa"/>
            <w:vAlign w:val="bottom"/>
          </w:tcPr>
          <w:p>
            <w:pPr>
              <w:spacing w:after="0"/>
              <w:rPr>
                <w:sz w:val="19"/>
                <w:szCs w:val="19"/>
                <w:color w:val="auto"/>
              </w:rPr>
            </w:pPr>
          </w:p>
        </w:tc>
      </w:tr>
      <w:tr>
        <w:trPr>
          <w:trHeight w:val="453"/>
        </w:trPr>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Number of Securities</w:t>
            </w:r>
          </w:p>
        </w:tc>
      </w:tr>
      <w:tr>
        <w:trPr>
          <w:trHeight w:val="216"/>
        </w:trPr>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Remaining Available for</w:t>
            </w:r>
          </w:p>
        </w:tc>
      </w:tr>
      <w:tr>
        <w:trPr>
          <w:trHeight w:val="216"/>
        </w:trPr>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Weighted-Average</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Future Issuance Under</w:t>
            </w:r>
          </w:p>
        </w:tc>
      </w:tr>
      <w:tr>
        <w:trPr>
          <w:trHeight w:val="216"/>
        </w:trPr>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Number of Securities to</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Exercise Price of</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Equity Compensation</w:t>
            </w:r>
          </w:p>
        </w:tc>
      </w:tr>
      <w:tr>
        <w:trPr>
          <w:trHeight w:val="216"/>
        </w:trPr>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be Issued Upon Exercise</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Outstanding</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Plans (Excluding</w:t>
            </w:r>
          </w:p>
        </w:tc>
      </w:tr>
      <w:tr>
        <w:trPr>
          <w:trHeight w:val="216"/>
        </w:trPr>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Outstanding Options,</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Options,</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Securities Reflected in</w:t>
            </w:r>
          </w:p>
        </w:tc>
      </w:tr>
      <w:tr>
        <w:trPr>
          <w:trHeight w:val="223"/>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category</w:t>
            </w:r>
          </w:p>
        </w:tc>
        <w:tc>
          <w:tcPr>
            <w:tcW w:w="1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Warrants and Rights</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Warrants and Rights</w:t>
            </w:r>
          </w:p>
        </w:tc>
        <w:tc>
          <w:tcPr>
            <w:tcW w:w="14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Column (a))</w:t>
            </w:r>
          </w:p>
        </w:tc>
      </w:tr>
      <w:tr>
        <w:trPr>
          <w:trHeight w:val="236"/>
        </w:trPr>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(c)</w:t>
            </w:r>
          </w:p>
        </w:tc>
      </w:tr>
    </w:tbl>
    <w:p>
      <w:pPr>
        <w:spacing w:after="0"/>
        <w:rPr>
          <w:sz w:val="20"/>
          <w:szCs w:val="20"/>
          <w:color w:val="auto"/>
        </w:rPr>
      </w:pPr>
      <w:r>
        <w:rPr>
          <w:rFonts w:ascii="Arial" w:cs="Arial" w:eastAsia="Arial" w:hAnsi="Arial"/>
          <w:sz w:val="18"/>
          <w:szCs w:val="18"/>
          <w:color w:val="auto"/>
        </w:rPr>
        <w:t>Equity compensation plans approved by</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security holders:</w:t>
      </w:r>
    </w:p>
    <w:p>
      <w:pPr>
        <w:sectPr>
          <w:pgSz w:w="11900" w:h="16853" w:orient="portrait"/>
          <w:cols w:equalWidth="0" w:num="1">
            <w:col w:w="10219"/>
          </w:cols>
          <w:pgMar w:left="240" w:top="131"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700" w:type="dxa"/>
            <w:vAlign w:val="bottom"/>
          </w:tcPr>
          <w:p>
            <w:pPr>
              <w:ind w:left="340"/>
              <w:spacing w:after="0"/>
              <w:rPr>
                <w:sz w:val="20"/>
                <w:szCs w:val="20"/>
                <w:color w:val="auto"/>
              </w:rPr>
            </w:pPr>
            <w:r>
              <w:rPr>
                <w:rFonts w:ascii="Arial" w:cs="Arial" w:eastAsia="Arial" w:hAnsi="Arial"/>
                <w:sz w:val="18"/>
                <w:szCs w:val="18"/>
                <w:color w:val="auto"/>
                <w:w w:val="84"/>
              </w:rPr>
              <w:t>1993</w:t>
            </w:r>
          </w:p>
        </w:tc>
        <w:tc>
          <w:tcPr>
            <w:tcW w:w="2820" w:type="dxa"/>
            <w:vAlign w:val="bottom"/>
          </w:tcPr>
          <w:p>
            <w:pPr>
              <w:ind w:left="20"/>
              <w:spacing w:after="0"/>
              <w:rPr>
                <w:sz w:val="20"/>
                <w:szCs w:val="20"/>
                <w:color w:val="auto"/>
              </w:rPr>
            </w:pPr>
            <w:r>
              <w:rPr>
                <w:rFonts w:ascii="Arial" w:cs="Arial" w:eastAsia="Arial" w:hAnsi="Arial"/>
                <w:sz w:val="18"/>
                <w:szCs w:val="18"/>
                <w:color w:val="auto"/>
              </w:rPr>
              <w:t>Incentive Stock Option Plan</w:t>
            </w:r>
          </w:p>
        </w:tc>
        <w:tc>
          <w:tcPr>
            <w:tcW w:w="1900" w:type="dxa"/>
            <w:vAlign w:val="bottom"/>
          </w:tcPr>
          <w:p>
            <w:pPr>
              <w:jc w:val="right"/>
              <w:spacing w:after="0"/>
              <w:rPr>
                <w:sz w:val="20"/>
                <w:szCs w:val="20"/>
                <w:color w:val="auto"/>
              </w:rPr>
            </w:pPr>
            <w:r>
              <w:rPr>
                <w:rFonts w:ascii="Arial" w:cs="Arial" w:eastAsia="Arial" w:hAnsi="Arial"/>
                <w:sz w:val="18"/>
                <w:szCs w:val="18"/>
                <w:color w:val="auto"/>
              </w:rPr>
              <w:t>271,214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0" w:type="dxa"/>
            <w:vAlign w:val="bottom"/>
          </w:tcPr>
          <w:p>
            <w:pPr>
              <w:ind w:left="340"/>
              <w:spacing w:after="0"/>
              <w:rPr>
                <w:sz w:val="20"/>
                <w:szCs w:val="20"/>
                <w:color w:val="auto"/>
              </w:rPr>
            </w:pPr>
            <w:r>
              <w:rPr>
                <w:rFonts w:ascii="Arial" w:cs="Arial" w:eastAsia="Arial" w:hAnsi="Arial"/>
                <w:sz w:val="18"/>
                <w:szCs w:val="18"/>
                <w:color w:val="auto"/>
                <w:w w:val="84"/>
              </w:rPr>
              <w:t>2001</w:t>
            </w:r>
          </w:p>
        </w:tc>
        <w:tc>
          <w:tcPr>
            <w:tcW w:w="2820" w:type="dxa"/>
            <w:vAlign w:val="bottom"/>
          </w:tcPr>
          <w:p>
            <w:pPr>
              <w:ind w:left="20"/>
              <w:spacing w:after="0"/>
              <w:rPr>
                <w:sz w:val="20"/>
                <w:szCs w:val="20"/>
                <w:color w:val="auto"/>
              </w:rPr>
            </w:pPr>
            <w:r>
              <w:rPr>
                <w:rFonts w:ascii="Arial" w:cs="Arial" w:eastAsia="Arial" w:hAnsi="Arial"/>
                <w:sz w:val="18"/>
                <w:szCs w:val="18"/>
                <w:color w:val="auto"/>
              </w:rPr>
              <w:t>Incentive Stock Option Plan</w:t>
            </w:r>
          </w:p>
        </w:tc>
        <w:tc>
          <w:tcPr>
            <w:tcW w:w="1900" w:type="dxa"/>
            <w:vAlign w:val="bottom"/>
          </w:tcPr>
          <w:p>
            <w:pPr>
              <w:jc w:val="right"/>
              <w:spacing w:after="0"/>
              <w:rPr>
                <w:sz w:val="20"/>
                <w:szCs w:val="20"/>
                <w:color w:val="auto"/>
              </w:rPr>
            </w:pPr>
            <w:r>
              <w:rPr>
                <w:rFonts w:ascii="Arial" w:cs="Arial" w:eastAsia="Arial" w:hAnsi="Arial"/>
                <w:sz w:val="18"/>
                <w:szCs w:val="18"/>
                <w:color w:val="auto"/>
              </w:rPr>
              <w:t>1,641,938</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00" w:type="dxa"/>
            <w:vAlign w:val="bottom"/>
          </w:tcPr>
          <w:p>
            <w:pPr>
              <w:ind w:left="340"/>
              <w:spacing w:after="0"/>
              <w:rPr>
                <w:sz w:val="20"/>
                <w:szCs w:val="20"/>
                <w:color w:val="auto"/>
              </w:rPr>
            </w:pPr>
            <w:r>
              <w:rPr>
                <w:rFonts w:ascii="Arial" w:cs="Arial" w:eastAsia="Arial" w:hAnsi="Arial"/>
                <w:sz w:val="18"/>
                <w:szCs w:val="18"/>
                <w:color w:val="auto"/>
                <w:w w:val="84"/>
              </w:rPr>
              <w:t>2001</w:t>
            </w:r>
          </w:p>
        </w:tc>
        <w:tc>
          <w:tcPr>
            <w:tcW w:w="2820" w:type="dxa"/>
            <w:vAlign w:val="bottom"/>
          </w:tcPr>
          <w:p>
            <w:pPr>
              <w:ind w:left="20"/>
              <w:spacing w:after="0"/>
              <w:rPr>
                <w:sz w:val="20"/>
                <w:szCs w:val="20"/>
                <w:color w:val="auto"/>
              </w:rPr>
            </w:pPr>
            <w:r>
              <w:rPr>
                <w:rFonts w:ascii="Arial" w:cs="Arial" w:eastAsia="Arial" w:hAnsi="Arial"/>
                <w:sz w:val="18"/>
                <w:szCs w:val="18"/>
                <w:color w:val="auto"/>
                <w:w w:val="99"/>
              </w:rPr>
              <w:t>Outside Director Stock Option Plan</w:t>
            </w:r>
          </w:p>
        </w:tc>
        <w:tc>
          <w:tcPr>
            <w:tcW w:w="1900" w:type="dxa"/>
            <w:vAlign w:val="bottom"/>
          </w:tcPr>
          <w:p>
            <w:pPr>
              <w:jc w:val="right"/>
              <w:spacing w:after="0"/>
              <w:rPr>
                <w:sz w:val="20"/>
                <w:szCs w:val="20"/>
                <w:color w:val="auto"/>
              </w:rPr>
            </w:pPr>
            <w:r>
              <w:rPr>
                <w:rFonts w:ascii="Arial" w:cs="Arial" w:eastAsia="Arial" w:hAnsi="Arial"/>
                <w:sz w:val="18"/>
                <w:szCs w:val="18"/>
                <w:color w:val="auto"/>
              </w:rPr>
              <w:t>236,000</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520" w:type="dxa"/>
            <w:vAlign w:val="bottom"/>
            <w:gridSpan w:val="2"/>
          </w:tcPr>
          <w:p>
            <w:pPr>
              <w:ind w:left="340"/>
              <w:spacing w:after="0" w:line="283"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9"/>
                <w:szCs w:val="29"/>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Not Applicable</w:t>
            </w:r>
          </w:p>
        </w:tc>
        <w:tc>
          <w:tcPr>
            <w:tcW w:w="1780" w:type="dxa"/>
            <w:vAlign w:val="bottom"/>
          </w:tcPr>
          <w:p>
            <w:pPr>
              <w:spacing w:after="0"/>
              <w:rPr>
                <w:sz w:val="24"/>
                <w:szCs w:val="24"/>
                <w:color w:val="auto"/>
              </w:rPr>
            </w:pP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84"/>
              </w:rPr>
              <w:t>2007</w:t>
            </w:r>
          </w:p>
        </w:tc>
        <w:tc>
          <w:tcPr>
            <w:tcW w:w="282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900" w:type="dxa"/>
            <w:vAlign w:val="bottom"/>
          </w:tcPr>
          <w:p>
            <w:pPr>
              <w:jc w:val="right"/>
              <w:spacing w:after="0"/>
              <w:rPr>
                <w:sz w:val="20"/>
                <w:szCs w:val="20"/>
                <w:color w:val="auto"/>
              </w:rPr>
            </w:pPr>
            <w:r>
              <w:rPr>
                <w:rFonts w:ascii="Arial" w:cs="Arial" w:eastAsia="Arial" w:hAnsi="Arial"/>
                <w:sz w:val="18"/>
                <w:szCs w:val="18"/>
                <w:color w:val="auto"/>
              </w:rPr>
              <w:t>879,410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3,117,406</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84"/>
        </w:trPr>
        <w:tc>
          <w:tcPr>
            <w:tcW w:w="3520" w:type="dxa"/>
            <w:vAlign w:val="bottom"/>
            <w:gridSpan w:val="2"/>
          </w:tcPr>
          <w:p>
            <w:pPr>
              <w:ind w:left="340"/>
              <w:spacing w:after="0"/>
              <w:rPr>
                <w:sz w:val="20"/>
                <w:szCs w:val="20"/>
                <w:color w:val="auto"/>
              </w:rPr>
            </w:pPr>
            <w:r>
              <w:rPr>
                <w:rFonts w:ascii="Arial" w:cs="Arial" w:eastAsia="Arial" w:hAnsi="Arial"/>
                <w:sz w:val="18"/>
                <w:szCs w:val="18"/>
                <w:color w:val="auto"/>
              </w:rPr>
              <w:t>security 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52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3,028,562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3,117,406</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______________________</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34"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Under the ESPP, shares are acquired at the time of investment by the participating employees at the applicable discount.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1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and are in addition to the amounts due as described in the table entitled “Non-qualified Deferred Compensation – Fiscal 2009”. The amounts shown assume that such termination was effective as of May 2, 2009, include amounts earned through such time and are estimates of the amounts which would be paid out to the executives upon their termination. The actual amounts to be paid out can be determined only at the time of such executive’s separation from the Company. In addition, there may be re-negotiation of the payments upon any termination of employment or change in control.</w:t>
      </w:r>
    </w:p>
    <w:p>
      <w:pPr>
        <w:spacing w:after="0" w:line="20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Under the Option Plans and the 2007 Plan, all options immediately vest upon a change in control as defined in the Option Plans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Termination</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Termination</w:t>
            </w:r>
          </w:p>
        </w:tc>
        <w:tc>
          <w:tcPr>
            <w:tcW w:w="136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Termination</w:t>
            </w:r>
          </w:p>
        </w:tc>
        <w:tc>
          <w:tcPr>
            <w:tcW w:w="7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due to</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without cause</w:t>
            </w:r>
          </w:p>
        </w:tc>
        <w:tc>
          <w:tcPr>
            <w:tcW w:w="180" w:type="dxa"/>
            <w:vAlign w:val="bottom"/>
          </w:tcPr>
          <w:p>
            <w:pPr>
              <w:spacing w:after="0"/>
              <w:rPr>
                <w:sz w:val="18"/>
                <w:szCs w:val="18"/>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for cause</w:t>
            </w:r>
          </w:p>
        </w:tc>
        <w:tc>
          <w:tcPr>
            <w:tcW w:w="760" w:type="dxa"/>
            <w:vAlign w:val="bottom"/>
          </w:tcPr>
          <w:p>
            <w:pPr>
              <w:spacing w:after="0"/>
              <w:rPr>
                <w:sz w:val="18"/>
                <w:szCs w:val="18"/>
                <w:color w:val="auto"/>
              </w:rPr>
            </w:pPr>
          </w:p>
        </w:tc>
      </w:tr>
      <w:tr>
        <w:trPr>
          <w:trHeight w:val="217"/>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change in</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or for good</w:t>
            </w:r>
          </w:p>
        </w:tc>
        <w:tc>
          <w:tcPr>
            <w:tcW w:w="136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or for good</w:t>
            </w:r>
          </w:p>
        </w:tc>
        <w:tc>
          <w:tcPr>
            <w:tcW w:w="760" w:type="dxa"/>
            <w:vAlign w:val="bottom"/>
          </w:tcPr>
          <w:p>
            <w:pPr>
              <w:spacing w:after="0"/>
              <w:rPr>
                <w:sz w:val="18"/>
                <w:szCs w:val="18"/>
                <w:color w:val="auto"/>
              </w:rPr>
            </w:pPr>
          </w:p>
        </w:tc>
      </w:tr>
      <w:tr>
        <w:trPr>
          <w:trHeight w:val="264"/>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2"/>
                <w:szCs w:val="22"/>
                <w:color w:val="auto"/>
              </w:rPr>
            </w:pPr>
          </w:p>
        </w:tc>
        <w:tc>
          <w:tcPr>
            <w:tcW w:w="23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Benefit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92"/>
              <w:spacing w:after="0" w:line="263" w:lineRule="exact"/>
              <w:rPr>
                <w:sz w:val="20"/>
                <w:szCs w:val="20"/>
                <w:color w:val="auto"/>
              </w:rPr>
            </w:pPr>
            <w:r>
              <w:rPr>
                <w:rFonts w:ascii="Arial" w:cs="Arial" w:eastAsia="Arial" w:hAnsi="Arial"/>
                <w:sz w:val="18"/>
                <w:szCs w:val="18"/>
                <w:color w:val="auto"/>
                <w:w w:val="84"/>
              </w:rPr>
              <w:t>control</w:t>
            </w:r>
            <w:r>
              <w:rPr>
                <w:rFonts w:ascii="Arial" w:cs="Arial" w:eastAsia="Arial" w:hAnsi="Arial"/>
                <w:sz w:val="29"/>
                <w:szCs w:val="29"/>
                <w:color w:val="auto"/>
                <w:w w:val="84"/>
                <w:vertAlign w:val="superscript"/>
              </w:rPr>
              <w:t>(1)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3"/>
              </w:rPr>
              <w:t>reason</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3"/>
              </w:rPr>
              <w:t>reason</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Death</w:t>
            </w: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James B. Morgan</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Equity Vesting Acceleration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Vacation Pay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35,848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35,848</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Dr. Aelred J. Kurtenbach</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Equity Vesting Acceleration</w:t>
            </w: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Vacation Pay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28,846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28,846</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William R. Retterath</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Equity Vesting Acceleration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Vacation Pay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21,362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21,362</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Bradley T. Wiemann</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Equity Vesting Acceleration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4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Vacation Pay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20,253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20,253</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Reece A. Kurtenbach</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Equity Vesting Acceleration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2040" w:type="dxa"/>
            <w:vAlign w:val="bottom"/>
          </w:tcPr>
          <w:p>
            <w:pPr>
              <w:spacing w:after="0"/>
              <w:rPr>
                <w:sz w:val="21"/>
                <w:szCs w:val="21"/>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Vacation Pay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w w:val="83"/>
              </w:rPr>
              <w:t>20,910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20,910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ind w:left="340" w:right="2119" w:hanging="332"/>
        <w:spacing w:after="0" w:line="302"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For option awards, consists of the difference between the closing market price of the common stock as reported on The NASDAQ Global Market as of May 2, 2009 less the exercise price of the option multiplied by the number of shares subject to the option.</w:t>
      </w:r>
    </w:p>
    <w:p>
      <w:pPr>
        <w:spacing w:after="0" w:line="18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15"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COMPENSATION COMMITTEE REPORT</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9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ectPr>
          <w:pgSz w:w="11900" w:h="16838" w:orient="portrait"/>
          <w:cols w:equalWidth="0" w:num="1">
            <w:col w:w="10219"/>
          </w:cols>
          <w:pgMar w:left="240" w:top="158" w:right="1440" w:bottom="0" w:gutter="0" w:footer="0" w:header="0"/>
        </w:sectPr>
      </w:pPr>
    </w:p>
    <w:bookmarkStart w:id="20" w:name="page21"/>
    <w:bookmarkEnd w:id="20"/>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PUBLIC ACCOUNTING FIRM</w:t>
      </w:r>
    </w:p>
    <w:p>
      <w:pPr>
        <w:spacing w:after="0" w:line="219"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Audit Committee of the Board of Directors has appointed Ernst &amp; Young LLP as our independent registered public accounting firm to audit our consolidated financial statements for fiscal 2010 and recommends that the shareholders vote for ratification of such appointment. 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aggregate fees billed for professional services rendered by Ernst &amp; Young LLP for the audit of our annual financial statements for last two fiscal years and fees billed for other services rendered by Ernst &amp; Young LLP related to those years are set forth in the following table: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color w:val="auto"/>
              </w:rPr>
              <w:t>Fiscal Year Ended</w:t>
            </w:r>
          </w:p>
        </w:tc>
        <w:tc>
          <w:tcPr>
            <w:tcW w:w="0" w:type="dxa"/>
            <w:vAlign w:val="bottom"/>
          </w:tcPr>
          <w:p>
            <w:pPr>
              <w:spacing w:after="0"/>
              <w:rPr>
                <w:sz w:val="1"/>
                <w:szCs w:val="1"/>
                <w:color w:val="auto"/>
              </w:rPr>
            </w:pPr>
          </w:p>
        </w:tc>
      </w:tr>
      <w:tr>
        <w:trPr>
          <w:trHeight w:val="237"/>
        </w:trPr>
        <w:tc>
          <w:tcPr>
            <w:tcW w:w="3080" w:type="dxa"/>
            <w:vAlign w:val="bottom"/>
            <w:vMerge w:val="restart"/>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4"/>
              </w:rPr>
              <w:t>May 2, 2009</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April 26, 2008</w:t>
            </w:r>
          </w:p>
        </w:tc>
        <w:tc>
          <w:tcPr>
            <w:tcW w:w="0" w:type="dxa"/>
            <w:vAlign w:val="bottom"/>
          </w:tcPr>
          <w:p>
            <w:pPr>
              <w:spacing w:after="0"/>
              <w:rPr>
                <w:sz w:val="1"/>
                <w:szCs w:val="1"/>
                <w:color w:val="auto"/>
              </w:rPr>
            </w:pPr>
          </w:p>
        </w:tc>
      </w:tr>
      <w:tr>
        <w:trPr>
          <w:trHeight w:val="229"/>
        </w:trPr>
        <w:tc>
          <w:tcPr>
            <w:tcW w:w="3080" w:type="dxa"/>
            <w:vAlign w:val="bottom"/>
            <w:vMerge w:val="continue"/>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471,627</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435,162</w:t>
            </w:r>
          </w:p>
        </w:tc>
        <w:tc>
          <w:tcPr>
            <w:tcW w:w="0" w:type="dxa"/>
            <w:vAlign w:val="bottom"/>
          </w:tcPr>
          <w:p>
            <w:pPr>
              <w:spacing w:after="0"/>
              <w:rPr>
                <w:sz w:val="1"/>
                <w:szCs w:val="1"/>
                <w:color w:val="auto"/>
              </w:rPr>
            </w:pPr>
          </w:p>
        </w:tc>
      </w:tr>
      <w:tr>
        <w:trPr>
          <w:trHeight w:val="257"/>
        </w:trPr>
        <w:tc>
          <w:tcPr>
            <w:tcW w:w="308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26,926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26,926</w:t>
            </w:r>
          </w:p>
        </w:tc>
        <w:tc>
          <w:tcPr>
            <w:tcW w:w="0" w:type="dxa"/>
            <w:vAlign w:val="bottom"/>
          </w:tcPr>
          <w:p>
            <w:pPr>
              <w:spacing w:after="0"/>
              <w:rPr>
                <w:sz w:val="1"/>
                <w:szCs w:val="1"/>
                <w:color w:val="auto"/>
              </w:rPr>
            </w:pPr>
          </w:p>
        </w:tc>
      </w:tr>
      <w:tr>
        <w:trPr>
          <w:trHeight w:val="270"/>
        </w:trPr>
        <w:tc>
          <w:tcPr>
            <w:tcW w:w="3080" w:type="dxa"/>
            <w:vAlign w:val="bottom"/>
          </w:tcPr>
          <w:p>
            <w:pPr>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080" w:type="dxa"/>
            <w:vAlign w:val="bottom"/>
          </w:tcPr>
          <w:p>
            <w:pPr>
              <w:spacing w:after="0" w:line="263"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(4)</w:t>
            </w:r>
          </w:p>
        </w:tc>
        <w:tc>
          <w:tcPr>
            <w:tcW w:w="16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6"/>
        </w:trPr>
        <w:tc>
          <w:tcPr>
            <w:tcW w:w="3080" w:type="dxa"/>
            <w:vAlign w:val="bottom"/>
          </w:tcPr>
          <w:p>
            <w:pPr>
              <w:ind w:left="540"/>
              <w:spacing w:after="0"/>
              <w:rPr>
                <w:sz w:val="20"/>
                <w:szCs w:val="20"/>
                <w:color w:val="auto"/>
              </w:rPr>
            </w:pPr>
            <w:r>
              <w:rPr>
                <w:rFonts w:ascii="Arial" w:cs="Arial" w:eastAsia="Arial" w:hAnsi="Arial"/>
                <w:sz w:val="18"/>
                <w:szCs w:val="18"/>
                <w:color w:val="auto"/>
              </w:rPr>
              <w:t>Totals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501,553</w:t>
            </w:r>
          </w:p>
        </w:tc>
        <w:tc>
          <w:tcPr>
            <w:tcW w:w="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465,088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50" w:lineRule="exact"/>
        <w:rPr>
          <w:sz w:val="20"/>
          <w:szCs w:val="20"/>
          <w:color w:val="auto"/>
        </w:rPr>
      </w:pPr>
    </w:p>
    <w:p>
      <w:pPr>
        <w:ind w:left="600" w:right="2299" w:hanging="495"/>
        <w:spacing w:after="0" w:line="265" w:lineRule="auto"/>
        <w:tabs>
          <w:tab w:leader="none" w:pos="6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600" w:right="2659" w:hanging="495"/>
        <w:spacing w:after="0" w:line="221"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Audit-related fees are fees for assurance and related services performed by Ernst &amp; Young LLP that are reasonably related to the performance of the audit or review of the Company’s financial statements.</w:t>
      </w:r>
    </w:p>
    <w:p>
      <w:pPr>
        <w:jc w:val="both"/>
        <w:ind w:left="600" w:right="2739" w:hanging="495"/>
        <w:spacing w:after="0" w:line="258" w:lineRule="auto"/>
        <w:tabs>
          <w:tab w:leader="none" w:pos="6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ind w:left="600" w:hanging="495"/>
        <w:spacing w:after="0"/>
        <w:tabs>
          <w:tab w:leader="none" w:pos="6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All other fees are fees for other permissible work performed by Ernst &amp; Young LLP that does not meet the above category descriptions.</w:t>
      </w:r>
    </w:p>
    <w:p>
      <w:pPr>
        <w:spacing w:after="0" w:line="244"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200" w:lineRule="exact"/>
        <w:rPr>
          <w:sz w:val="20"/>
          <w:szCs w:val="20"/>
          <w:color w:val="auto"/>
        </w:rPr>
      </w:pPr>
    </w:p>
    <w:p>
      <w:pPr>
        <w:spacing w:after="0" w:line="24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Ernst &amp; Young LLP ability to maintain its independence.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1" w:lineRule="exact"/>
        <w:rPr>
          <w:sz w:val="20"/>
          <w:szCs w:val="20"/>
          <w:color w:val="auto"/>
        </w:rPr>
      </w:pPr>
    </w:p>
    <w:p>
      <w:pPr>
        <w:jc w:val="both"/>
        <w:ind w:right="2099"/>
        <w:spacing w:after="0" w:line="292" w:lineRule="auto"/>
        <w:rPr>
          <w:sz w:val="20"/>
          <w:szCs w:val="20"/>
          <w:color w:val="auto"/>
        </w:rPr>
      </w:pPr>
      <w:r>
        <w:rPr>
          <w:rFonts w:ascii="Arial" w:cs="Arial" w:eastAsia="Arial" w:hAnsi="Arial"/>
          <w:sz w:val="16"/>
          <w:szCs w:val="16"/>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May 1, 2010. If the shareholders do not approve the selection of Ernst &amp; Young LLP, the Audit Committee will reconsider its selection.</w:t>
      </w:r>
    </w:p>
    <w:p>
      <w:pPr>
        <w:spacing w:after="0" w:line="219" w:lineRule="exact"/>
        <w:rPr>
          <w:sz w:val="20"/>
          <w:szCs w:val="20"/>
          <w:color w:val="auto"/>
        </w:rPr>
      </w:pPr>
    </w:p>
    <w:p>
      <w:pPr>
        <w:jc w:val="both"/>
        <w:ind w:right="2119"/>
        <w:spacing w:after="0" w:line="269"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MAY 1, 2010 AS SET FORTH IN PROPOSAL 2.</w:t>
      </w:r>
    </w:p>
    <w:p>
      <w:pPr>
        <w:spacing w:after="0" w:line="17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9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Audit Committee is responsible for reviewing our financial reporting process, systems of internal controls, the audit process and compliance with laws and regulations. Management has the responsibility for the financial</w:t>
      </w:r>
    </w:p>
    <w:p>
      <w:pPr>
        <w:sectPr>
          <w:pgSz w:w="11900" w:h="16979" w:orient="portrait"/>
          <w:cols w:equalWidth="0" w:num="1">
            <w:col w:w="10219"/>
          </w:cols>
          <w:pgMar w:left="240" w:top="131" w:right="1440" w:bottom="0" w:gutter="0" w:footer="0" w:header="0"/>
        </w:sectPr>
      </w:pPr>
    </w:p>
    <w:bookmarkStart w:id="21" w:name="page22"/>
    <w:bookmarkEnd w:id="21"/>
    <w:p>
      <w:pPr>
        <w:spacing w:after="0" w:line="12"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9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20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Audit Committee is composed of three Directors who are independent as provided in Rule 4500(a)(15) of NASDAQ’s Marketplace Rules and Rule 10A-3 under the Securities Exchange Act of 1934. The members of the Audit Committee are appointed annually by the Board of Directors. John L. Mulligan, Nancy D. Frame and James A.Vellenga served as members of the Audit Committee throughout fiscal 2009.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20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fiscal year ended May 2, 2009;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the statement on Auditing Standards No. 61,as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Public Company Accounting Oversight Board in Rule 3200T: discussed with our independent registered public accounting firm their respective audits and assessments, including internal control testing under Section 404 of the Sarbanes-Oxley Act of 2002;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firm’s independence; reviewed and pre-approved fees charged by the independent registered public accounting firm; considered whether the independent registered public accounting firm’s provision of non-audit services to us is compatible with the auditor’s independence; and discussed with the independent registered public accounting firm its independence. The Audit Committee also met in executive session following each of the formal Audit Committee meetings with representation of our independent registered public accounting firm.</w:t>
      </w:r>
    </w:p>
    <w:p>
      <w:pPr>
        <w:spacing w:after="0" w:line="20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Committee has concluded that the independent registered public accounting firm is independent from the Company and its management. The Committee discussed with our independent registered public accounting firm the overall scope and plans for their respective audits. The Committee meets with the independent registered public accounting firm, with and without management present, to discuss the results of their examinations, the evaluations of our internal controls, and the overall quality of our financial reporting.</w:t>
      </w:r>
    </w:p>
    <w:p>
      <w:pPr>
        <w:spacing w:after="0" w:line="170"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our audited financial statements for the fiscal year ended May 2, 2009 be included in our Annual Report on Form 10-K for filing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4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5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also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the Company’s expenses.</w:t>
      </w:r>
    </w:p>
    <w:p>
      <w:pPr>
        <w:sectPr>
          <w:pgSz w:w="11900" w:h="16850" w:orient="portrait"/>
          <w:cols w:equalWidth="0" w:num="1">
            <w:col w:w="10219"/>
          </w:cols>
          <w:pgMar w:left="240" w:top="131" w:right="1440" w:bottom="0" w:gutter="0" w:footer="0" w:header="0"/>
        </w:sectPr>
      </w:pPr>
    </w:p>
    <w:bookmarkStart w:id="22" w:name="page23"/>
    <w:bookmarkEnd w:id="22"/>
    <w:p>
      <w:pPr>
        <w:jc w:val="both"/>
        <w:ind w:right="2099"/>
        <w:spacing w:after="0" w:line="291" w:lineRule="auto"/>
        <w:rPr>
          <w:sz w:val="20"/>
          <w:szCs w:val="20"/>
          <w:color w:val="auto"/>
        </w:rPr>
      </w:pPr>
      <w:r>
        <w:rPr>
          <w:rFonts w:ascii="Arial" w:cs="Arial" w:eastAsia="Arial" w:hAnsi="Arial"/>
          <w:sz w:val="16"/>
          <w:szCs w:val="16"/>
          <w:color w:val="auto"/>
        </w:rPr>
        <w:t>Shareholders that have previously received a single set of our Annual Report, this Proxy Statement and our Notice of Internet Availability of Proxy Materials disclosure documents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9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Annual Report to Shareholders for the fiscal year ended May 2, 2009, including financial statements, is being mailed with this Proxy Statement. The Annual Report to Shareholders is not incorporated in this Proxy Statement and is not deemed to be a part of this Proxy Statement.</w:t>
      </w:r>
    </w:p>
    <w:p>
      <w:pPr>
        <w:spacing w:after="0" w:line="215" w:lineRule="exact"/>
        <w:rPr>
          <w:sz w:val="20"/>
          <w:szCs w:val="20"/>
          <w:color w:val="auto"/>
        </w:rPr>
      </w:pPr>
    </w:p>
    <w:p>
      <w:pPr>
        <w:jc w:val="both"/>
        <w:ind w:right="2119"/>
        <w:spacing w:after="0" w:line="258" w:lineRule="auto"/>
        <w:rPr>
          <w:sz w:val="20"/>
          <w:szCs w:val="20"/>
          <w:color w:val="auto"/>
        </w:rPr>
      </w:pPr>
      <w:r>
        <w:rPr>
          <w:rFonts w:ascii="Arial" w:cs="Arial" w:eastAsia="Arial" w:hAnsi="Arial"/>
          <w:sz w:val="18"/>
          <w:szCs w:val="18"/>
          <w:b w:val="1"/>
          <w:bCs w:val="1"/>
          <w:color w:val="auto"/>
        </w:rPr>
        <w:t>Any person whose proxy is solicited by this Proxy Statement will be provided, upon request and without charge, with a copy of our Annual Report on Form 10-K for the fiscal year ended May 2, 2009. Please submit such requests to Daktronics, Inc., 201 Daktronics Drive, Brookings, South Dakota 57006, Attention: Investor Relations, or by calling (605) 692-0200.</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689600" cy="7619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9600" cy="7619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676900" cy="7400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676900" cy="7400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
      <w:numFmt w:val="bullet"/>
      <w:start w:val="1"/>
    </w:lvl>
    <w:lvl w:ilvl="1">
      <w:lvlJc w:val="left"/>
      <w:lvlText w:val="%2)"/>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2019-12-10T11:14:17Z</dcterms:created>
  <dcterms:modified xsi:type="dcterms:W3CDTF">2019-12-10T11:14:17Z</dcterms:modified>
</cp:coreProperties>
</file>