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3"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For the Fiscal Year Ended April 30, 2005</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3480" w:right="1140" w:hanging="2325"/>
        <w:spacing w:after="0" w:line="275" w:lineRule="auto"/>
        <w:tabs>
          <w:tab w:leader="none" w:pos="131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SECURITES EXCHANGE ACT OF 1934 For the Transition Period From __________ to __________.</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Daktronics,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8"/>
          <w:szCs w:val="18"/>
          <w:b w:val="1"/>
          <w:bCs w:val="1"/>
          <w:color w:val="auto"/>
        </w:rPr>
        <w:t>Brookings, SD 57006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w:t>
      </w:r>
    </w:p>
    <w:p>
      <w:pPr>
        <w:spacing w:after="0" w:line="164" w:lineRule="exact"/>
        <w:rPr>
          <w:sz w:val="24"/>
          <w:szCs w:val="24"/>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30, 2004, (which is the last business day at the Registrant's most recently completed second quarter) computed by reference to the closing sales price of the registrant's Common Stock on the NASDAQ National Market on such date, was approximately $467,861,000.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July 1, 2005 was 19,200,127.</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Portions of the Registrant's Proxy Statement for its Annual Meeting of Shareholders to be held August 18, 2004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April 30, 2005</w:t>
      </w:r>
    </w:p>
    <w:p>
      <w:pPr>
        <w:sectPr>
          <w:pgSz w:w="11900" w:h="16838" w:orient="portrait"/>
          <w:cols w:equalWidth="0" w:num="1">
            <w:col w:w="11400"/>
          </w:cols>
          <w:pgMar w:left="240" w:top="1016" w:right="25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2"/>
        </w:trPr>
        <w:tc>
          <w:tcPr>
            <w:tcW w:w="10820" w:type="dxa"/>
            <w:vAlign w:val="bottom"/>
            <w:gridSpan w:val="23"/>
          </w:tcPr>
          <w:p>
            <w:pPr>
              <w:spacing w:after="0"/>
              <w:rPr>
                <w:sz w:val="20"/>
                <w:szCs w:val="20"/>
                <w:color w:val="auto"/>
              </w:rPr>
            </w:pPr>
            <w:r>
              <w:rPr>
                <w:rFonts w:ascii="Arial" w:cs="Arial" w:eastAsia="Arial" w:hAnsi="Arial"/>
                <w:sz w:val="18"/>
                <w:szCs w:val="18"/>
                <w:color w:val="auto"/>
              </w:rPr>
              <w:t>SPECIAL NOTE REGARDING FORWARD-LOOKING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48"/>
        </w:trPr>
        <w:tc>
          <w:tcPr>
            <w:tcW w:w="5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10240" w:type="dxa"/>
            <w:vAlign w:val="bottom"/>
            <w:gridSpan w:val="21"/>
          </w:tcPr>
          <w:p>
            <w:pPr>
              <w:spacing w:after="0"/>
              <w:rPr>
                <w:sz w:val="24"/>
                <w:szCs w:val="24"/>
                <w:color w:val="auto"/>
              </w:rPr>
            </w:pPr>
          </w:p>
        </w:tc>
        <w:tc>
          <w:tcPr>
            <w:tcW w:w="600" w:type="dxa"/>
            <w:vAlign w:val="bottom"/>
          </w:tcPr>
          <w:p>
            <w:pPr>
              <w:spacing w:after="0"/>
              <w:rPr>
                <w:sz w:val="24"/>
                <w:szCs w:val="24"/>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BUSINESS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3. LEGAL PROCEEDINGS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582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ITEM 4. SUBMISSION OF MATTERS TO A VOTE OF SECURITY HOLDERS</w:t>
              </w:r>
            </w:hyperlink>
          </w:p>
        </w:tc>
        <w:tc>
          <w:tcPr>
            <w:tcW w:w="500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66"/>
        </w:trPr>
        <w:tc>
          <w:tcPr>
            <w:tcW w:w="10820" w:type="dxa"/>
            <w:vAlign w:val="bottom"/>
            <w:gridSpan w:val="23"/>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PART II</w:t>
              </w:r>
            </w:hyperlink>
          </w:p>
        </w:tc>
        <w:tc>
          <w:tcPr>
            <w:tcW w:w="60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72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ITEM 5. MARKET FOR REGISTRANT'S COMMON EQUITY, RELATED STOCKHOLDER MATTERS AND ISSUER PURCHASES OF EQUITY</w:t>
              </w:r>
            </w:hyperlink>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SECURITIES</w:t>
              </w:r>
            </w:hyperlink>
          </w:p>
        </w:tc>
        <w:tc>
          <w:tcPr>
            <w:tcW w:w="966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6. SELECTED FINANCIAL DATA</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sz w:val="20"/>
                <w:szCs w:val="20"/>
                <w:color w:val="auto"/>
              </w:rPr>
            </w:pPr>
            <w:r>
              <w:rPr>
                <w:rFonts w:ascii="Arial" w:cs="Arial" w:eastAsia="Arial" w:hAnsi="Arial"/>
                <w:sz w:val="18"/>
                <w:szCs w:val="18"/>
                <w:color w:val="0000EE"/>
              </w:rPr>
              <w:t>ITEM 7. 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9"/>
        </w:trPr>
        <w:tc>
          <w:tcPr>
            <w:tcW w:w="67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ITEM 7A. QUANTITATIVE AND QUALITATIVE DISCLOSURES ABOUT MARKET RISK</w:t>
              </w:r>
            </w:hyperlink>
          </w:p>
        </w:tc>
        <w:tc>
          <w:tcPr>
            <w:tcW w:w="2540" w:type="dxa"/>
            <w:vAlign w:val="bottom"/>
            <w:tcBorders>
              <w:top w:val="single" w:sz="8" w:color="0000EE"/>
            </w:tcBorders>
          </w:tcPr>
          <w:p>
            <w:pPr>
              <w:spacing w:after="0"/>
              <w:rPr>
                <w:sz w:val="24"/>
                <w:szCs w:val="24"/>
                <w:color w:val="auto"/>
              </w:rPr>
            </w:pPr>
          </w:p>
        </w:tc>
        <w:tc>
          <w:tcPr>
            <w:tcW w:w="15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9"/>
        </w:trPr>
        <w:tc>
          <w:tcPr>
            <w:tcW w:w="520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8. FINANCIAL STATEMENTS AND SUPPLEMENTARY DATA</w:t>
              </w:r>
            </w:hyperlink>
          </w:p>
        </w:tc>
        <w:tc>
          <w:tcPr>
            <w:tcW w:w="56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9. CHANGES IN AND DISAGREEMENTS WITH ACCOUNTANTS ON ACCOUNTING AND FINANCIAL DISCLOSURE</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9"/>
        </w:trPr>
        <w:tc>
          <w:tcPr>
            <w:tcW w:w="3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9A. CONTROLS AND PROCEDURES</w:t>
              </w:r>
            </w:hyperlink>
          </w:p>
        </w:tc>
        <w:tc>
          <w:tcPr>
            <w:tcW w:w="6200" w:type="dxa"/>
            <w:vAlign w:val="bottom"/>
            <w:tcBorders>
              <w:top w:val="single" w:sz="8" w:color="0000EE"/>
            </w:tcBorders>
            <w:gridSpan w:val="8"/>
          </w:tcPr>
          <w:p>
            <w:pPr>
              <w:spacing w:after="0"/>
              <w:rPr>
                <w:sz w:val="24"/>
                <w:szCs w:val="24"/>
                <w:color w:val="auto"/>
              </w:rPr>
            </w:pPr>
          </w:p>
        </w:tc>
        <w:tc>
          <w:tcPr>
            <w:tcW w:w="13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66"/>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III</w:t>
              </w:r>
            </w:hyperlink>
          </w:p>
        </w:tc>
        <w:tc>
          <w:tcPr>
            <w:tcW w:w="10100" w:type="dxa"/>
            <w:vAlign w:val="bottom"/>
            <w:gridSpan w:val="18"/>
          </w:tcPr>
          <w:p>
            <w:pPr>
              <w:spacing w:after="0"/>
              <w:rPr>
                <w:sz w:val="24"/>
                <w:szCs w:val="24"/>
                <w:color w:val="auto"/>
              </w:rPr>
            </w:pPr>
          </w:p>
        </w:tc>
        <w:tc>
          <w:tcPr>
            <w:tcW w:w="600" w:type="dxa"/>
            <w:vAlign w:val="bottom"/>
          </w:tcPr>
          <w:p>
            <w:pPr>
              <w:spacing w:after="0"/>
              <w:rPr>
                <w:sz w:val="24"/>
                <w:szCs w:val="24"/>
                <w:color w:val="auto"/>
              </w:rPr>
            </w:pP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10. DIRECTORS AND EXECUTIVE OFFICERS OF THE REGISTRANT</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5820" w:type="dxa"/>
            <w:vAlign w:val="bottom"/>
            <w:tcBorders>
              <w:top w:val="single" w:sz="8" w:color="0000EE"/>
            </w:tcBorders>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11. EXECUTIVE COMPENSATION</w:t>
              </w:r>
            </w:hyperlink>
          </w:p>
        </w:tc>
        <w:tc>
          <w:tcPr>
            <w:tcW w:w="500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10820" w:type="dxa"/>
            <w:vAlign w:val="bottom"/>
            <w:gridSpan w:val="2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12. SECURITY OWNERSHIP OF CERTAIN BENEFICIAL OWNERS AND MANAGEMENT AND RELATED STOCKHOLDER MATTERS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10720" w:type="dxa"/>
            <w:vAlign w:val="bottom"/>
            <w:tcBorders>
              <w:top w:val="single" w:sz="8" w:color="0000EE"/>
            </w:tcBorders>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13. CERTAIN RELATIONSHIPS AND RELATED TRANSACTIONS</w:t>
              </w:r>
            </w:hyperlink>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46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ITEM 14. PRINCIPAL ACCOUNTANT FEES AND SERVICES</w:t>
              </w:r>
            </w:hyperlink>
          </w:p>
        </w:tc>
        <w:tc>
          <w:tcPr>
            <w:tcW w:w="860" w:type="dxa"/>
            <w:vAlign w:val="bottom"/>
            <w:tcBorders>
              <w:top w:val="single" w:sz="8" w:color="0000EE"/>
            </w:tcBorders>
            <w:gridSpan w:val="3"/>
          </w:tcPr>
          <w:p>
            <w:pPr>
              <w:spacing w:after="0"/>
              <w:rPr>
                <w:sz w:val="24"/>
                <w:szCs w:val="24"/>
                <w:color w:val="auto"/>
              </w:rPr>
            </w:pPr>
          </w:p>
        </w:tc>
        <w:tc>
          <w:tcPr>
            <w:tcW w:w="534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66"/>
        </w:trPr>
        <w:tc>
          <w:tcPr>
            <w:tcW w:w="10820" w:type="dxa"/>
            <w:vAlign w:val="bottom"/>
            <w:gridSpan w:val="2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IV</w:t>
              </w:r>
            </w:hyperlink>
          </w:p>
        </w:tc>
        <w:tc>
          <w:tcPr>
            <w:tcW w:w="600" w:type="dxa"/>
            <w:vAlign w:val="bottom"/>
          </w:tcPr>
          <w:p>
            <w:pPr>
              <w:spacing w:after="0"/>
              <w:rPr>
                <w:sz w:val="24"/>
                <w:szCs w:val="24"/>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9"/>
        </w:trPr>
        <w:tc>
          <w:tcPr>
            <w:tcW w:w="508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ITEM 15. EXHIBITS AND FINANCIAL STATEMENT SCHEDULES</w:t>
              </w:r>
            </w:hyperlink>
          </w:p>
        </w:tc>
        <w:tc>
          <w:tcPr>
            <w:tcW w:w="574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9"/>
        </w:trPr>
        <w:tc>
          <w:tcPr>
            <w:tcW w:w="1082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7. Management’s Discussion and Analysis of Financial Condition and Results of Operations – Business Risks and Uncertainties,” and those factors discussed in detail in our filings with the Securities and Exchange Commission.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ectPr>
          <w:pgSz w:w="11900" w:h="16838" w:orient="portrait"/>
          <w:cols w:equalWidth="0" w:num="1">
            <w:col w:w="11420"/>
          </w:cols>
          <w:pgMar w:left="240" w:top="638" w:right="239" w:bottom="19"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31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 Sander in 1968 while they were professors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engineering at South Dakota State University (“SDSU”) in Brookings, South Dakota. Our long and close relationship with SDSU and other South Dakota colleges and universities is a key factor contributing to our leadership in the industry. We have been able to experience sustained growth due in part to the capability of the local universities and colleges to provide an important source of highly educated full-time and student employees.</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1970, we manufactured and sold our first product — a voting display system for the Utah State Legislature. Soon thereafter, we expanded into manufacturing electronic scoreboards and commercial displays using the technology and experience we developed. These scoreboard and commercial displays integrated computers as display controllers to process information and to formulate that information for presentation on a display. At that time, we also began building computer-programmable information display systems utilizing standard modules in a variety of configurations. The use of modular sections for both our smaller and larger display systems allowed us to offer a broad range of both standard and custom products. Innovations like these helped us obtain a major scoreboard contract for the 1980 Olympic Winter Games in Lake Placid as well as installation contracts at several large universities. Over the years, we continued to enhance our controller and display technology by creating and acquiring new display technologies. These developments led to our first scoreboard installation at a professional sports facility.</w:t>
      </w:r>
    </w:p>
    <w:p>
      <w:pPr>
        <w:spacing w:after="0" w:line="172" w:lineRule="exact"/>
        <w:rPr>
          <w:sz w:val="20"/>
          <w:szCs w:val="20"/>
          <w:color w:val="auto"/>
        </w:rPr>
      </w:pPr>
    </w:p>
    <w:p>
      <w:pPr>
        <w:jc w:val="both"/>
        <w:ind w:right="440" w:firstLine="351"/>
        <w:spacing w:after="0" w:line="259" w:lineRule="auto"/>
        <w:rPr>
          <w:sz w:val="20"/>
          <w:szCs w:val="20"/>
          <w:color w:val="auto"/>
        </w:rPr>
      </w:pPr>
      <w:r>
        <w:rPr>
          <w:rFonts w:ascii="Arial" w:cs="Arial" w:eastAsia="Arial" w:hAnsi="Arial"/>
          <w:sz w:val="18"/>
          <w:szCs w:val="18"/>
          <w:color w:val="auto"/>
        </w:rPr>
        <w:t>During the 1990s, we focused on expanding our product line, increasing market share and developing new markets for products. We were successful in increasing our market share in these areas and, as a result, grew commensurately. Our professional and manufacturing talent allows us to continue to design, enhance, create and manufacture and market cutting-edge products.</w:t>
      </w:r>
    </w:p>
    <w:p>
      <w:pPr>
        <w:spacing w:after="0" w:line="194"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New technology continues to provide opportunities for us to expand. The development of blue and green light-emitting devices (LEDs) in the mid-nineties has led to significant changes in the electronic display market, principally the development of full-color LED displays. Prior to that time the majority of Daktronics products were based on incandescent or reflective display technologies. Today, LED technology has totally displaced the incandescent and reflective technologies for large format displays. LED technology excels over incandescent technology because of its superior viewing characteristics, energy efficiency, cost of maintenance and lifetime. It excels over reflective technology in all the same areas except energy efficiency, as the reflective technology is extremely energy efficient.</w:t>
      </w:r>
    </w:p>
    <w:p>
      <w:pPr>
        <w:spacing w:after="0" w:line="19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More recently we began offering display networks incorporating LCD and plasma technology displays in what is commonly referred to as digital advertising or narrowcasting systems.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also offer a range of proprietary display control software to complement the display technologies, and are able to offer customers complete integrated system solutions. We also develop content for the displays, including animations and advertising content to assist our clients in realizing the maximum impact and benefit from their display systems.</w:t>
      </w:r>
    </w:p>
    <w:p>
      <w:pPr>
        <w:spacing w:after="0" w:line="194" w:lineRule="exact"/>
        <w:rPr>
          <w:sz w:val="20"/>
          <w:szCs w:val="20"/>
          <w:color w:val="auto"/>
        </w:rPr>
      </w:pPr>
    </w:p>
    <w:p>
      <w:pPr>
        <w:ind w:right="120" w:firstLine="351"/>
        <w:spacing w:after="0" w:line="305" w:lineRule="auto"/>
        <w:rPr>
          <w:sz w:val="20"/>
          <w:szCs w:val="20"/>
          <w:color w:val="auto"/>
        </w:rPr>
      </w:pPr>
      <w:r>
        <w:rPr>
          <w:rFonts w:ascii="Arial" w:cs="Arial" w:eastAsia="Arial" w:hAnsi="Arial"/>
          <w:sz w:val="15"/>
          <w:szCs w:val="15"/>
          <w:color w:val="auto"/>
        </w:rPr>
        <w:t>Over the past few years, we achieved significant recognition and awards for our products and financial performance. In 2001, our chairman, Dr. Aelred Kurtenbach, was awarded the national Ernst &amp; Young Entrepreneur of the Year® award for the manufacturing category. We have also been named, on numerous</w:t>
      </w:r>
    </w:p>
    <w:p>
      <w:pPr>
        <w:jc w:val="both"/>
        <w:ind w:right="160"/>
        <w:spacing w:after="0" w:line="225" w:lineRule="auto"/>
        <w:rPr>
          <w:sz w:val="20"/>
          <w:szCs w:val="20"/>
          <w:color w:val="auto"/>
        </w:rPr>
      </w:pPr>
      <w:r>
        <w:rPr>
          <w:rFonts w:ascii="Arial" w:cs="Arial" w:eastAsia="Arial" w:hAnsi="Arial"/>
          <w:sz w:val="15"/>
          <w:szCs w:val="15"/>
          <w:color w:val="auto"/>
        </w:rPr>
        <w:t>occasions, as the South Dakota Business of the Year by the South Dakota Chamber of Commerce and Industry. We were ranked 38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on Forbes’ list of the 200 Best Small Companies in America in 2003 and 2001; and 59</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83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in 2004 and 2002 on the list of America’s Fastest Growing Small Companies by Fortune Small Business Magazine. We ranked 67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100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on the list of the 100 Best Small Companies in 2004 and 2001 by Business Week Magazine and</w:t>
      </w:r>
    </w:p>
    <w:p>
      <w:pPr>
        <w:ind w:right="280"/>
        <w:spacing w:after="0" w:line="231" w:lineRule="auto"/>
        <w:rPr>
          <w:sz w:val="20"/>
          <w:szCs w:val="20"/>
          <w:color w:val="auto"/>
        </w:rPr>
      </w:pPr>
      <w:r>
        <w:rPr>
          <w:rFonts w:ascii="Arial" w:cs="Arial" w:eastAsia="Arial" w:hAnsi="Arial"/>
          <w:sz w:val="16"/>
          <w:szCs w:val="16"/>
          <w:color w:val="auto"/>
        </w:rPr>
        <w:t>18</w:t>
      </w:r>
      <w:r>
        <w:rPr>
          <w:rFonts w:ascii="Arial" w:cs="Arial" w:eastAsia="Arial" w:hAnsi="Arial"/>
          <w:sz w:val="26"/>
          <w:szCs w:val="26"/>
          <w:color w:val="auto"/>
          <w:vertAlign w:val="superscript"/>
        </w:rPr>
        <w:t>th</w:t>
      </w:r>
      <w:r>
        <w:rPr>
          <w:rFonts w:ascii="Arial" w:cs="Arial" w:eastAsia="Arial" w:hAnsi="Arial"/>
          <w:sz w:val="16"/>
          <w:szCs w:val="16"/>
          <w:color w:val="auto"/>
        </w:rPr>
        <w:t>, 27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48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on the list of the 100 Fastest Growing Tech Companies by Business 2.0. in 2002, 2003, and 2004. According to a recent industry report, we have the largest share of the worldwide market for LED video displays and are considered the top LED text display supplier in the world.</w:t>
      </w:r>
    </w:p>
    <w:p>
      <w:pPr>
        <w:spacing w:after="0" w:line="21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Business Developments. </w:t>
      </w:r>
      <w:r>
        <w:rPr>
          <w:rFonts w:ascii="Arial" w:cs="Arial" w:eastAsia="Arial" w:hAnsi="Arial"/>
          <w:sz w:val="16"/>
          <w:szCs w:val="16"/>
          <w:color w:val="auto"/>
        </w:rPr>
        <w:t>With the advent of full-color LED display systems and various software applications, we gained significant market share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designing and manufacturing quality products and providing technical expertise and services. Our products are now seen in an array of major professional and university sports complexes, including, among others, fully integrated systems at the Rodgers Center in Toronto (Toronto Blue Jays); Soldier Field in Chicago (Chicago Bears); Xcel Energy Center in St. Paul (Minnesota Wild); ALLTEL Stadium in Jacksonville (Jacksonville Jaguars); the new Charlotte Arena in Charlotte (Charlotte Bobcats); The Palace at Auburn Hills (Detroit Pistons) and the University of Wisconsin. We increased our market share of international sports venues, including such sites as the Berlin Olympic Stadium, and, in Paris, France, Roland Garros (home of the French Open) and the Bercy Arena. On the world stage, our products performance and integrated solution led to their selection and use at the 1996, 2000, 2002 and 2004 Olympic games.</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aggressively built market share in areas beyond the large-venue sports market. We have also installed signature displays in the commercial market from the financial market sector as seen at the Kuwait National Stock Exchange to the new Coca-Cola display in Times Square, New York City. In addition, we designed and manufactured billboards along highways across the country. We designed and manufactured commercial installations, including multi-million dollar displays in Las Vegas, Nevada and Branson, Missouri and small message signs for national retailers and quick serve restaurants.</w:t>
      </w:r>
    </w:p>
    <w:p>
      <w:pPr>
        <w:spacing w:after="0" w:line="167" w:lineRule="exact"/>
        <w:rPr>
          <w:sz w:val="20"/>
          <w:szCs w:val="20"/>
          <w:color w:val="auto"/>
        </w:rPr>
      </w:pPr>
    </w:p>
    <w:p>
      <w:pPr>
        <w:ind w:right="620" w:firstLine="351"/>
        <w:spacing w:after="0" w:line="259" w:lineRule="auto"/>
        <w:rPr>
          <w:sz w:val="20"/>
          <w:szCs w:val="20"/>
          <w:color w:val="auto"/>
        </w:rPr>
      </w:pPr>
      <w:r>
        <w:rPr>
          <w:rFonts w:ascii="Arial" w:cs="Arial" w:eastAsia="Arial" w:hAnsi="Arial"/>
          <w:sz w:val="18"/>
          <w:szCs w:val="18"/>
          <w:color w:val="auto"/>
        </w:rPr>
        <w:t>Further, we also design and manufacture transportation display systems, such as over-the-road message displays for many state and federal agencies, including the Departments of Transportation in Virginia, New Jersey, New York, Rhode Island, Connecticut, California, Washington, Delaware, Illinois, Pennsylvania, Mexico, and Canada.</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One of our core growth strategies is to enter geographic markets by opening a small sales and service office that provides after-sale support to our entire product line, sales of standard products and support on large custom projects. This network of offices, which totals 47 locations throughout the world, has historically been and we expect it to continue to be an extremely important growth strategy.</w:t>
      </w:r>
    </w:p>
    <w:p>
      <w:pPr>
        <w:spacing w:after="0" w:line="194" w:lineRule="exact"/>
        <w:rPr>
          <w:sz w:val="20"/>
          <w:szCs w:val="20"/>
          <w:color w:val="auto"/>
        </w:rPr>
      </w:pPr>
    </w:p>
    <w:p>
      <w:pPr>
        <w:ind w:right="100" w:firstLine="348"/>
        <w:spacing w:after="0" w:line="309" w:lineRule="auto"/>
        <w:rPr>
          <w:sz w:val="20"/>
          <w:szCs w:val="20"/>
          <w:color w:val="auto"/>
        </w:rPr>
      </w:pPr>
      <w:r>
        <w:rPr>
          <w:rFonts w:ascii="Arial" w:cs="Arial" w:eastAsia="Arial" w:hAnsi="Arial"/>
          <w:sz w:val="15"/>
          <w:szCs w:val="15"/>
          <w:color w:val="auto"/>
        </w:rPr>
        <w:t>We occasionally acquire new businesses that provide access to new markets or complement our existing products. In the past five years, we have acquired four companies. In 2001, we acquired Servtrotech, Inc., a company located in Montreal, Quebec, Canada. This acquisition has provided new products and improved distribution. It further expanded our ability to provide after-sales service and support to our Canadian customers by improving our response time and expanding our expertise. We also acquired Keyframe, Inc., which provides video animation content, logos, advertising and other services. Its acquisition allowed us to offer video content related services and support to complement our fully integrated display systems. In fiscal year 2005, we acquired two companies. European Timing Systems, Ltd. in Bristol, England assembles, sells and services timing and scoring solutions for an array of products, including aquatics timing systems, cricket display boards, and other electronic display systems. We anticipate that this acquisition will assist us to further increase our market share in the United Kingdom, provide access to new markets and increase our ability to provide after-sales service. We also acquired Dodge Electronics, Inc., a manufacturer of sound systems in Topeka, Kansas. We purchased equipment from Dodge Electronics, Inc. for a number of years and came to the conclusion that acquiring it</w:t>
      </w:r>
    </w:p>
    <w:p>
      <w:pPr>
        <w:sectPr>
          <w:pgSz w:w="11900" w:h="16838" w:orient="portrait"/>
          <w:cols w:equalWidth="0" w:num="1">
            <w:col w:w="11420"/>
          </w:cols>
          <w:pgMar w:left="240" w:top="125" w:right="239" w:bottom="0" w:gutter="0" w:footer="0" w:header="0"/>
        </w:sectPr>
      </w:pPr>
    </w:p>
    <w:bookmarkStart w:id="3" w:name="page4"/>
    <w:bookmarkEnd w:id="3"/>
    <w:p>
      <w:pPr>
        <w:ind w:right="340"/>
        <w:spacing w:after="0" w:line="332" w:lineRule="auto"/>
        <w:rPr>
          <w:sz w:val="20"/>
          <w:szCs w:val="20"/>
          <w:color w:val="auto"/>
        </w:rPr>
      </w:pPr>
      <w:r>
        <w:rPr>
          <w:rFonts w:ascii="Arial" w:cs="Arial" w:eastAsia="Arial" w:hAnsi="Arial"/>
          <w:sz w:val="16"/>
          <w:szCs w:val="16"/>
          <w:color w:val="auto"/>
        </w:rPr>
        <w:t>would allow us to provide our customers with a more fully integrated display and sound systems. Although these purchases increased the scope of services or technology that we are able to provide, our primary growth objective is still the increase of sales through organic growth.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31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global business is principally in a single industry segment – the design, development, marketing and support of visual display solutions for the sports, commercial and transportation markets.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312"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are the world’s leading supplier of electronic scoreboards, large electronic display systems, marketing services, digital messaging solutions and related software and services for sports,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systems, timing and sound systems and professional services. We are recognized worldwide as a technical leader with the capabilities to design, market, manufacture, install and service complete integrated systems that display real-time data, graphics, animation and video.</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engaged in a full-range of activities: marketing and sales, engineering and design, manufacturing, and service and support. Each of those activities is described below.</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products have been sold throughout the United States and in many other countries through a combination of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and independent resellers. In the United States and Canada, we use primarily a direct sales force for professional sports, colleges and universities, convention centers and smaller sports facilities, including high schools and transportation applications. In smaller commercial applications, we use a combination of direct sales staff and resellers.</w:t>
      </w:r>
    </w:p>
    <w:p>
      <w:pPr>
        <w:spacing w:after="0" w:line="19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majority of the products sold by resellers are standard or “catalog” products. These are typically moderately priced and relatively easy to install. A limited number of models are built to inventory and available for quick delivery. We support our resellers through national and regional direct mail advertising, trade journal advertising, trade show exhibitions and direct sales force support in the field. We believe that we can expand market share by expanding both our direct sales force and resellers.</w:t>
      </w:r>
    </w:p>
    <w:p>
      <w:pPr>
        <w:spacing w:after="0" w:line="19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Our direct sales force is comprised of a network of 47 offices located throughout the world supporting all customer types in both sales and service. In addition to supporting resellers as mentioned above, the direct sales staff also sells the entire range of our standard products and substantially all the large video display systems. Our direct sales staff is structured in a way to maximize cross-selling opportunities across markets. To accomplish this, we have developed a matrix structure where the main focus and reporting responsibilities fall into one of our three main markets. A complementary emphasis is then placed on a regional structure to create opportunities in other markets and to support efforts for the organization as a whole.</w:t>
      </w:r>
    </w:p>
    <w:p>
      <w:pPr>
        <w:spacing w:after="0" w:line="170"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 assemble and present proposals. Proposals to prospective customers include business and technical presentations as well as product demonstrations and visits to existing installations. We also regularly host prospective customers at our manufacturing facility to demonstrate product quality and delivery capability.</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2005, 2004 and 2003, approximately 11%, 13% and 5% of our net sales, respectively, were derived from international sales. Since 2000, we have acquired or opened five international office locations, including Frankfurt, Germany; Bristol, England; Montreal and Toronto, Canada; and Macau. We also are a 49% owner in a joint venture in Malaysia, serving the ASEAN region.</w:t>
      </w:r>
    </w:p>
    <w:p>
      <w:pPr>
        <w:spacing w:after="0" w:line="170"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 their needs and opportunities. We have developed and continue to develop this understanding through active participation in the sales cycle by engineers and various others and through attendance at trade shows, conventions and seminars as well as through a culture of teamwork throughout the organization.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w:t>
      </w:r>
      <w:r>
        <w:rPr>
          <w:rFonts w:ascii="Arial" w:cs="Arial" w:eastAsia="Arial" w:hAnsi="Arial"/>
          <w:sz w:val="18"/>
          <w:szCs w:val="18"/>
          <w:color w:val="auto"/>
        </w:rPr>
        <w:t>The large screen electronic display industry is characterized by ongoing product innovations and developments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into product design and development.</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employ engineers and technicians in the areas of mechanical and electrical design, applications engineering, and customer and product support. Unlike some companies, which depend on contract engineering from outside vendors, we use in-house engineering to anticipate and respond rapidly to the product development needs of customers and the marketplace. We typically assign product managers from our engineering staff to each product or product family to assist our sales staff in training, to implement product improvements and to ensure that each product is designed for maximum reliability and serviceability. Our product development personnel also modify existing products and develop new products to comply with rule changes for particular sports. We also invest in new creative technologies and in companies developing new technologies.</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engineering staff consists of the following four product development groups aligned with the primary product families: Sport Products Engineering, Video Products Engineering, Commercial Products Engineering and Transportation Products Engineering.</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design group is autonomous to allow it to focus on one product family, while at the same time the engineering groups are closely tied with each other to facilitate sharing ideas and technology. This organizational structure positions us for effective product development in the future because of our concentrated focus on standardization, which reduces the amount of engineering time allocated to one-time custom design.</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Manufacturing and Technical Contracting. </w:t>
      </w:r>
      <w:r>
        <w:rPr>
          <w:rFonts w:ascii="Arial" w:cs="Arial" w:eastAsia="Arial" w:hAnsi="Arial"/>
          <w:sz w:val="18"/>
          <w:szCs w:val="18"/>
          <w:color w:val="auto"/>
        </w:rPr>
        <w:t>As a vertically integrated manufacturer of display systems, we perform most sub-assembly and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final assembly of our products. We also serve as a technical contractor for customers who desire custom hardware design, custom software development, installation or other technical services.</w:t>
      </w:r>
    </w:p>
    <w:p>
      <w:pPr>
        <w:sectPr>
          <w:pgSz w:w="11900" w:h="16838" w:orient="portrait"/>
          <w:cols w:equalWidth="0" w:num="1">
            <w:col w:w="11420"/>
          </w:cols>
          <w:pgMar w:left="240" w:top="131" w:right="239" w:bottom="0" w:gutter="0" w:footer="0" w:header="0"/>
        </w:sectPr>
      </w:pPr>
    </w:p>
    <w:bookmarkStart w:id="4" w:name="page5"/>
    <w:bookmarkEnd w:id="4"/>
    <w:p>
      <w:pPr>
        <w:ind w:right="120" w:firstLine="351"/>
        <w:spacing w:after="0" w:line="256" w:lineRule="auto"/>
        <w:rPr>
          <w:sz w:val="20"/>
          <w:szCs w:val="20"/>
          <w:color w:val="auto"/>
        </w:rPr>
      </w:pPr>
      <w:r>
        <w:rPr>
          <w:rFonts w:ascii="Arial" w:cs="Arial" w:eastAsia="Arial" w:hAnsi="Arial"/>
          <w:sz w:val="18"/>
          <w:szCs w:val="18"/>
          <w:color w:val="auto"/>
        </w:rPr>
        <w:t>Our manufacturing operations include component manufacturing (printed circuit boards) and system manufacturing (metal fabrication, electronic assembly, sub-assembly and final assembly). Star Circuits, Inc., a wholly-owned subsidiary, manufactures printed circuit boards primarily for our products at a separate production facility located in Brookings, South Dakota. We augment our production capacity with the use of outside subcontractors primarily for metal fabrication and loading printed circuit boards.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scheduling and manufacturing, production employees work as teams to ensure quality and timely delivery while minimizing excess inventories. Our order entry, production, customer service and many other functions are also consolidated through an ERP (enterprise resource planning) system to facilitate communication among employee teams throughout the entire sales, design, production and delivery process.</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Technical Contracting. </w:t>
      </w:r>
      <w:r>
        <w:rPr>
          <w:rFonts w:ascii="Arial" w:cs="Arial" w:eastAsia="Arial" w:hAnsi="Arial"/>
          <w:sz w:val="18"/>
          <w:szCs w:val="18"/>
          <w:color w:val="auto"/>
        </w:rPr>
        <w:t>We serve as a technical contractor for larger display system installations that require custom designs and innovative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The purchase of scoreboards and other state of the art display systems for large installations typically involves competitive proposals. As a part of our response to a proposal request, we may suggest additional products or features to assist the prospective customer in analyzing the optimal type of display system. If requested by a customer or if necessary to help secure a bid, we will include as a part of our proposal the work necessary to prepare the site and install the display system. In such cases, we may serve as the general contractor and retain subcontractors. We are licensed in a number of domestic jurisdictions as a contractor.</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Our professional services are essential to continued market penetration. To enhance the level of service available to our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maintenance and support services in all of our offices throughout the world. We plan to open other offices in the future to supplement our service capabilities. Sales of our standard and, to a lesser degree, custom products to small and mid-sized sports venues and commercial customers are also made through these offices. In addition, we use a network of authorized service companies to service and maintain our products.</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Services we provide include project management, on-site installation and event support, content creation, product maintenance, marketing assistance and display rentals. Our Keyframe® support group provides a variety of services to customers, including video and animation support, event support, control room design, on-site training (hardware and software), and continuing technical support for operators of complicated display systems.</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Daktronics Sports Marketing™ division provides customers (primarily sports facilities) with a complete display system, funded in part through value-added marketing services. These marketing services extend beyond the marketing potential of the equipment in the facility to other facility-related components. Typically, these services are limited to facilities that do not have in-house marketing programs and staff.</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Daktronics Commercial Network division provides services similar to Daktronics Sports Marketing to narrowly defined niches within our commercial market. These services entail maximizing revenue generation for customers in connection with the purchase of display systems through advertising and other opportunities.</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Customer Service and Support. </w:t>
      </w:r>
      <w:r>
        <w:rPr>
          <w:rFonts w:ascii="Arial" w:cs="Arial" w:eastAsia="Arial" w:hAnsi="Arial"/>
          <w:sz w:val="16"/>
          <w:szCs w:val="16"/>
          <w:color w:val="auto"/>
        </w:rPr>
        <w:t>Our prompt and reliable customer service distinguishes us from our competitors. This service includes limited warranties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most of our products against failure due to defective parts or workmanship for periods generally ranging from one to five years after first sale or installation, depending on the product or type of customer. We also provide help-desk access, parts repair and replacement and programming support for video, animation and other displays. We staff our help desk with experienced technicians who are available at the desk or on-call 24 hours a day to support events and sites.</w:t>
      </w:r>
    </w:p>
    <w:p>
      <w:pPr>
        <w:spacing w:after="0" w:line="16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repair center is staffed with trained technicians who promptly repair and return components that require service, and we offer a component exchange program for same-day shipment of replacement parts. Our modular approach to the design and production of products enhances our ability to provide effective customer service and support. Customers can obtain periodic training and maintenance seminars throughout the world and at our headquarters and can also contract for on-site training and maintenance for certain types of installations, such as high-profile sports events.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312"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Our display technology has changed significantly since the mid-1990s when incandescent lamps were the primary display element. Presently, LED and liquid crystal display (LCD) technologies are the primary display elements. The invention and availability of the blue and green LED, along with the already available red LED, allowed the introduction of full-color video displays using LEDs as the primary colors forming all other colors in the video display. The decreasing costs of LCD components along with the drive for more numerous smaller displays led to the addition of LCD displays. Finally, driven by customer demand, we have enhanced our video display technology into mobile and modular technologies to complement various applications, which are not fixed and permanent in nature.</w:t>
      </w:r>
    </w:p>
    <w:p>
      <w:pPr>
        <w:spacing w:after="0" w:line="198"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We now offer LED products across our entire product line. The availability of improved, cost-effective red and amber LEDs has made them the preferred display element for large monochrome displays, replacing both incandescent and reflective technologies in most applications. The cost effectiveness, life and performance of LCDs have made them the preferred indoor small display solution. The vast majority of displays we sell today utilize LED technology.</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two principal components of many of our systems are the display and the display controller. The display controller uses computer hardware and software to process the information provided by the operator and other integrated sources and then compiles the information, graphics or animation to be presented on the display. Data can be transferred between the display controller and local or remote displays. Local connections may use copper wire cables, fiber optic cables, infrared links or radio links. Standard, cellular telephone connections and satellite transmissions are used to connect to remote displays. The display controller controls each of the pixels (which are the dots or picture elements that make up the image) on the display to present the message or image.</w:t>
      </w:r>
    </w:p>
    <w:p>
      <w:pPr>
        <w:spacing w:after="0" w:line="170"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Most of our display technologies rely on one or more of our software products to manage and provide content for the display. These software products range from scoring consoles to the Venus® 1500 display control software that allows the creation, display and scheduling of dynamic text and basic graphics content on electronic displays to the Venus® 7000 display control system that controls multi-color displays and video boards, providing the ability to create graphics and</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animation as well as interfacing with third-party software for content. Additionally, our V-Net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control software is used to display targeted messages to specific audiences. Complementary software, such as our DakStats® and interfacing software, is also available and can be fully integrated into the control software.</w:t>
      </w:r>
    </w:p>
    <w:p>
      <w:pPr>
        <w:spacing w:after="0" w:line="212"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Our display systems range from small scoreboards under $1,000 to large complex display systems priced in excess of $8 million. Generally, our product sales are either custom products or standard catalog scoreboards or displays. These standard catalog sales account for approximately 30% of our total annual</w:t>
      </w:r>
    </w:p>
    <w:p>
      <w:pPr>
        <w:sectPr>
          <w:pgSz w:w="11900" w:h="16838" w:orient="portrait"/>
          <w:cols w:equalWidth="0" w:num="1">
            <w:col w:w="11420"/>
          </w:cols>
          <w:pgMar w:left="240" w:top="131" w:right="239" w:bottom="0" w:gutter="0" w:footer="0" w:header="0"/>
        </w:sectPr>
      </w:pPr>
    </w:p>
    <w:bookmarkStart w:id="5" w:name="page6"/>
    <w:bookmarkEnd w:id="5"/>
    <w:p>
      <w:pPr>
        <w:ind w:right="580"/>
        <w:spacing w:after="0" w:line="268" w:lineRule="auto"/>
        <w:rPr>
          <w:sz w:val="20"/>
          <w:szCs w:val="20"/>
          <w:color w:val="auto"/>
        </w:rPr>
      </w:pPr>
      <w:r>
        <w:rPr>
          <w:rFonts w:ascii="Arial" w:cs="Arial" w:eastAsia="Arial" w:hAnsi="Arial"/>
          <w:sz w:val="18"/>
          <w:szCs w:val="18"/>
          <w:color w:val="auto"/>
        </w:rPr>
        <w:t>revenues. Our custom products are customized in terms of size, configuration and installation type but are built utilizing standard physical and technology platforms.</w:t>
      </w:r>
    </w:p>
    <w:p>
      <w:pPr>
        <w:spacing w:after="0" w:line="18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Within each product family, we produce both standard and custom displays that vary in complexity, size and resolution. The physical dimensions of a display depend on the size of the viewing area, the distance from the viewer to the display and the amount and type of information to be displayed. Generally, the light source or pixels are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 and setting.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products are comprised of the following four major product families:</w:t>
      </w:r>
    </w:p>
    <w:p>
      <w:pPr>
        <w:spacing w:after="0" w:line="225" w:lineRule="exact"/>
        <w:rPr>
          <w:sz w:val="20"/>
          <w:szCs w:val="20"/>
          <w:color w:val="auto"/>
        </w:rPr>
      </w:pPr>
    </w:p>
    <w:p>
      <w:pPr>
        <w:ind w:left="720" w:hanging="36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Sport Products, primarily All Sport®, Tuff Sport® and OmniSport® scoreboards, controllers and timing systems;</w:t>
      </w:r>
    </w:p>
    <w:p>
      <w:pPr>
        <w:spacing w:after="0" w:line="15" w:lineRule="exact"/>
        <w:rPr>
          <w:rFonts w:ascii="Arial" w:cs="Arial" w:eastAsia="Arial" w:hAnsi="Arial"/>
          <w:sz w:val="18"/>
          <w:szCs w:val="18"/>
          <w:color w:val="auto"/>
        </w:rPr>
      </w:pPr>
    </w:p>
    <w:p>
      <w:pPr>
        <w:ind w:left="720" w:hanging="36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Video Products, primarily ProStar®, ProTour™ and ProAd® displays, and associated control systems;</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Commercial Products, primarily Galaxy® displays and Venus® 1500 control systems;</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Transportation Products, primarily Vanguard® displays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these product families is discussed below.</w:t>
      </w:r>
    </w:p>
    <w:p>
      <w:pPr>
        <w:spacing w:after="0" w:line="225"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i w:val="1"/>
          <w:iCs w:val="1"/>
          <w:color w:val="auto"/>
        </w:rPr>
        <w:t xml:space="preserve">Sport Products. </w:t>
      </w:r>
      <w:r>
        <w:rPr>
          <w:rFonts w:ascii="Arial" w:cs="Arial" w:eastAsia="Arial" w:hAnsi="Arial"/>
          <w:sz w:val="15"/>
          <w:szCs w:val="15"/>
          <w:color w:val="auto"/>
        </w:rPr>
        <w:t>The Sport Products family includes a full line of indoor and outdoor scoreboards, timing systems, digit displays, sound systems, statistics</w:t>
      </w:r>
      <w:r>
        <w:rPr>
          <w:rFonts w:ascii="Arial" w:cs="Arial" w:eastAsia="Arial" w:hAnsi="Arial"/>
          <w:sz w:val="15"/>
          <w:szCs w:val="15"/>
          <w:i w:val="1"/>
          <w:iCs w:val="1"/>
          <w:color w:val="auto"/>
        </w:rPr>
        <w:t xml:space="preserve"> </w:t>
      </w:r>
      <w:r>
        <w:rPr>
          <w:rFonts w:ascii="Arial" w:cs="Arial" w:eastAsia="Arial" w:hAnsi="Arial"/>
          <w:sz w:val="15"/>
          <w:szCs w:val="15"/>
          <w:color w:val="auto"/>
        </w:rPr>
        <w:t>software and other related products. The indoor products, which are available in LED technologies, range from two-digit shot clocks and small scoreboards to large, center-hung scoreboards incorporating message centers and advertising panels. Outdoor scoreboards, which are available in LED and incandescent technologies, also range from two-digit game timers and small scoreboards to large scoring systems incorporating message centers and advertising panels. The sizes of displays can vary significantly depending on the needs of the customer, taking into account such things as viewing angles and spectator distances.</w:t>
      </w:r>
    </w:p>
    <w:p>
      <w:pPr>
        <w:spacing w:after="0" w:line="15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expect that Sport Products sales in the future will continue to focus on LED technology due to the lower power consumption, longer life and resulting lower maintenance costs as compared to other technologies. Substantially all Sport Products sales are LED technology. Since most of the products within the Sport Products group have significant standardization, we have been able to make progress on our goal to deliver the highest quality products while maintaining consistent and favorable margins.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offer a variety of internally developed controllers complementing our scoreboards and displays, which vary depending on the sport and complexity of the system. These controllers vary in price and complexity from the All Sport® 1600, which is an entry-level controller for scoreboards, to the All Sport® 5000, which is designed for more sophisticated scoring systems allowing for more user-defined options. These controllers can be interfaced with the scoreboards through radio frequencies, fiber optic connections or other means.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also offer timing systems for sports events, primarily aquatics and track competitions. These timing systems include our OmniSport® 2000 timing system. The system has the capability to not only time and rank the competitors but also to interface to event management software created by other third parties to facilitate the administration of the sporting event.</w:t>
      </w:r>
    </w:p>
    <w:p>
      <w:pPr>
        <w:spacing w:after="0" w:line="194"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 key component of an integrated system, we market sports statistics and results software under the DakStats® trademark. The software allows entry and display of sports statistics and other information displays. It is the leading application of its type in professional, collegiate and high school baseball and other sports.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Video Products. </w:t>
      </w:r>
      <w:r>
        <w:rPr>
          <w:rFonts w:ascii="Arial" w:cs="Arial" w:eastAsia="Arial" w:hAnsi="Arial"/>
          <w:sz w:val="16"/>
          <w:szCs w:val="16"/>
          <w:color w:val="auto"/>
        </w:rPr>
        <w:t>The Video Products family consists primarily of displays comprised of a large number of pixels capable of creating various levels of video,</w:t>
      </w:r>
      <w:r>
        <w:rPr>
          <w:rFonts w:ascii="Arial" w:cs="Arial" w:eastAsia="Arial" w:hAnsi="Arial"/>
          <w:sz w:val="16"/>
          <w:szCs w:val="16"/>
          <w:i w:val="1"/>
          <w:iCs w:val="1"/>
          <w:color w:val="auto"/>
        </w:rPr>
        <w:t xml:space="preserve"> </w:t>
      </w:r>
      <w:r>
        <w:rPr>
          <w:rFonts w:ascii="Arial" w:cs="Arial" w:eastAsia="Arial" w:hAnsi="Arial"/>
          <w:sz w:val="16"/>
          <w:szCs w:val="16"/>
          <w:color w:val="auto"/>
        </w:rPr>
        <w:t>graphics and animation and controllers, which manage the operation of the display. Video display products are based on red, green and blue LEDs arranged in various combinations to form pixels or picture elements. The electronic circuitry which controls the pixels allows for variances in the relative brightness of each LED to provide a full color spectrum, thereby displaying video images in striking, vibrant colors.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offer a wide range of video display products for different applications and budgets. Variables in typical video displays include the spacing of the pixels (pixel pitch), the brightness of the displays, the number of discrete colors that the display is able to produce (color resolution), and the viewing angle. In addition, modular design allows the product to be readily configured in custom sizes to meet each customer’s specific requirements, with no maximum to the size of display that can be built. In general, the more pixels and the more color resolution, the better the video image on the display.</w:t>
      </w:r>
    </w:p>
    <w:p>
      <w:pPr>
        <w:spacing w:after="0" w:line="16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ProStar® video display systems offer specifications second to none in the industry. At the high end, the product is capable of producing 4.3 trillion colors and is available with pixel spacing as close as three millimeters. Currently, we offer a wide range of pixel spacing, ranging from 3 millimeter to 89 millimeter. The 3-millimeter application provides the user with the greatest pixel density and shortest viewing distance and the 89-millimeter is the most cost effective for physically large displays with maximum viewing distances. In addition, the uniformity of colors across the display is important to the quality of the video image. Our unique display control circuitry along with proprietary manufacturing and calibration procedures provide uniform colors across the display.</w:t>
      </w:r>
    </w:p>
    <w:p>
      <w:pPr>
        <w:spacing w:after="0" w:line="170" w:lineRule="exact"/>
        <w:rPr>
          <w:sz w:val="20"/>
          <w:szCs w:val="20"/>
          <w:color w:val="auto"/>
        </w:rPr>
      </w:pPr>
    </w:p>
    <w:p>
      <w:pPr>
        <w:ind w:right="20" w:firstLine="348"/>
        <w:spacing w:after="0" w:line="232" w:lineRule="auto"/>
        <w:rPr>
          <w:sz w:val="20"/>
          <w:szCs w:val="20"/>
          <w:color w:val="auto"/>
        </w:rPr>
      </w:pPr>
      <w:r>
        <w:rPr>
          <w:rFonts w:ascii="Arial" w:cs="Arial" w:eastAsia="Arial" w:hAnsi="Arial"/>
          <w:sz w:val="18"/>
          <w:szCs w:val="18"/>
          <w:color w:val="auto"/>
        </w:rPr>
        <w:t>We have adapted our ProStar® technology into our ProAd® digital advertising and information display system, the ProTour® modular display system, the ProRail® display systems and our ProPixel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display systems. ProAd® technology uses similar red, green and blue LED modules configured in different height-to-width ratios to give arena and stadium facilities the ability to install long, narrower bands of displays in various locations in the facility. This application generally serves as a revenue generation source for facilities through advertising as well as a location to display information such as scoring, statistics and video designed to entertain and inform the spectators.</w:t>
      </w:r>
    </w:p>
    <w:p>
      <w:pPr>
        <w:spacing w:after="0" w:line="21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ProTour® display systems are comprised of lightweight individual modules or panels less than a square meter in size that are assembled together to form a display in a customizable height and width. These panels are focused in what we refer to as the mobile and modular application such as touring shows and the events market. ProRail® display systems incorporate our ProAd® technology into a patented cabinet designed to serve as a replacement for the fascia of an upper deck in a stadium or arena, in some cases, improving site lines of the fans. ProPixel® displays, which were recently introduced, serve as an architectural accents and channel lettering.</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Our main controller for these video displays is our Venus® 7000 controller, which is built on the Windows® operating system. This high-end controller provides advanced capability for controlling large video displays. The V-Play® event management software provides facilities with integrated and sophisticated</w:t>
      </w:r>
    </w:p>
    <w:p>
      <w:pPr>
        <w:sectPr>
          <w:pgSz w:w="11900" w:h="16838" w:orient="portrait"/>
          <w:cols w:equalWidth="0" w:num="1">
            <w:col w:w="11400"/>
          </w:cols>
          <w:pgMar w:left="240" w:top="131" w:right="259" w:bottom="0" w:gutter="0" w:footer="0" w:header="0"/>
        </w:sectPr>
      </w:pPr>
    </w:p>
    <w:bookmarkStart w:id="6" w:name="page7"/>
    <w:bookmarkEnd w:id="6"/>
    <w:p>
      <w:pPr>
        <w:jc w:val="both"/>
        <w:spacing w:after="0" w:line="223" w:lineRule="auto"/>
        <w:rPr>
          <w:sz w:val="20"/>
          <w:szCs w:val="20"/>
          <w:color w:val="auto"/>
        </w:rPr>
      </w:pPr>
      <w:r>
        <w:rPr>
          <w:rFonts w:ascii="Arial" w:cs="Arial" w:eastAsia="Arial" w:hAnsi="Arial"/>
          <w:sz w:val="18"/>
          <w:szCs w:val="18"/>
          <w:color w:val="auto"/>
        </w:rPr>
        <w:t>event program management capabilities with integration to video equipment. It provides instant replays, live action and overlays of information, and it allows for the organization and playback of digital video and audio clips. Other video products controllers include the V-Net</w:t>
      </w:r>
      <w:r>
        <w:rPr>
          <w:rFonts w:ascii="Arial" w:cs="Arial" w:eastAsia="Arial" w:hAnsi="Arial"/>
          <w:sz w:val="29"/>
          <w:szCs w:val="29"/>
          <w:color w:val="auto"/>
          <w:vertAlign w:val="superscript"/>
        </w:rPr>
        <w:t>TM</w:t>
      </w:r>
      <w:r>
        <w:rPr>
          <w:rFonts w:ascii="Arial" w:cs="Arial" w:eastAsia="Arial" w:hAnsi="Arial"/>
          <w:sz w:val="18"/>
          <w:szCs w:val="18"/>
          <w:color w:val="auto"/>
        </w:rPr>
        <w:t>, V-Tour® and V-Show® controllers. Each of these controllers is designed with unique features and functionality designed for unique market niches.</w:t>
      </w:r>
    </w:p>
    <w:p>
      <w:pPr>
        <w:spacing w:after="0" w:line="210"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V-Tour® design interfaces between our display systems and other systems, allowing, for example, scoreboard and video systems to receive and display information from computers used for statistics, timing or scoring. These interfaces allow the display controller to send information back to a statistics system or customer computer and can automatically report continually updated sports scores and information from national wire services.</w:t>
      </w:r>
    </w:p>
    <w:p>
      <w:pPr>
        <w:spacing w:after="0" w:line="16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 xml:space="preserve">Commercial Products. </w:t>
      </w:r>
      <w:r>
        <w:rPr>
          <w:rFonts w:ascii="Arial" w:cs="Arial" w:eastAsia="Arial" w:hAnsi="Arial"/>
          <w:sz w:val="18"/>
          <w:szCs w:val="18"/>
          <w:color w:val="auto"/>
        </w:rPr>
        <w:t>The key product line in the Commercial Products family is the Galaxy® product line, which includes various indoor and outdoor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intended primarily as graphics and text-based displays. All of the current product offerings within the Commercial Products group utilize LED technologies.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Galaxy® displays, available in both indoor and outdoor models, have become our leading product line for commercial applications and are expected to be a key product line for growth in the future. Galaxy® displays are either red, amber or full color with pixel spacing ranging from 7.6 millimeter to 89 millimeter, depending on size and viewing distance. They are used primarily as message centers to convey information and advertising to the consumers and the public. This product line has become our fastest growing product line. The modular design of the product allows us to configure a display to readily meet the size requirements of each customer. Within the Galaxy® line, we offer various price points for similar sized displays of the same pixel spacing.</w:t>
      </w:r>
    </w:p>
    <w:p>
      <w:pPr>
        <w:spacing w:after="0" w:line="17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Other product lines within the Business Products group include our DataTrac™, DakTicker® and InfoNet™ displays. The DataTrac™ product lines consist of indoor LED displays comprised of discrete characters. Each character is spaced horizontally and vertically from the adjacent character. This provides the least expensive display per character for display of text messages only. DakTicker® displays are used primarily in financial institutions for ticker displays and other financial information. The InfoNet™ product line includes line-oriented displays for indoor use that are available as single or multi-line units. All DataTrac™, DakTicker® and InfoNet™ products have a controller in the display that is capable of receiving a downloaded display program and then operating independently to display that program until a new program is downloaded to it.</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majority of our Commercial Products group’s products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OEM customers (system integrators) to write their own software using the Venus® 1500 software developer’s kit to communicate to other displays supplied by us. Several system integrators have implemented the Venus® 1500 protocol into their specific applications, resulting in additional display sales.</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Transportation Products. </w:t>
      </w:r>
      <w:r>
        <w:rPr>
          <w:rFonts w:ascii="Arial" w:cs="Arial" w:eastAsia="Arial" w:hAnsi="Arial"/>
          <w:sz w:val="16"/>
          <w:szCs w:val="16"/>
          <w:color w:val="auto"/>
        </w:rPr>
        <w:t>The Transportation Products group includes a full line of electronic displays and controllers marketed under the Vanguard®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line. Vanguard® displays are typically used to help direct traffic and inform motorists. We have also developed a control system for these displays to help manage a network of displays. Both the LED-based displays and the software are NTCIP (National Transportation Communications for ITS Protocol) compliant and meet the various requirements imposed by government and other regulatory bodies.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312"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source a portion of our raw materials from a limited number of suppliers. These include primarily LEDs and are due to the nature of the quality required. The loss of any single supplier, however, would not have a material effect. In addition, to reduce our inventories and enhance product quality, we elect to limit the number of suppliers who are willing to provide components on an “as needed” basis. From time to time, we enter into pricing agreements or purchasing contracts under which we agree to purchase a minimum amount of product in exchange for guaranteed price terms over the course of the contract, which generally do not exceed one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develop patentable technology on a continuing basis. We hold a number of U.S. and foreign patents and have a number of patent applications pending.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patents pertain primarily to our LED display technologies and product features.</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rely on trademarks, in addition to patents, to help establish and preserve limited proprietary protection for our products. Our trademarks are registered in the United States and several other countries. We also have numerous trademark applications pending. These trademarks are used to establish brand recognition and distinction in our various markets.</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Product drawings, software and other works of authorship are also subject to applicable copyright law protections. We provide software to our customers in machine-readable object code to help preserve its confidentiality. We also rely on nondisclosure agreements with our employees. Despite these intellectual property protections, there can be no assurance that a competitor will not copy the functions or features of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31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sales and profitability historically have fluctuated due to the impact of large product orders, such as display systems for facilities where professional and major college sports events take place, and large commercial systems. The seasonality of the sports market has also played a part in our sales and profit fluctuations. As a result, sales and net income in the first and second quarters of a fiscal year tend to be higher than in the third quarter of that fiscal year, followed by higher levels in the fourth quarter, leading into the first quarter of the following year.</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seasonality is caused by sales related to facilities for football and other fall sports in the summer and early fall, followed by sales generally related to facilities for basketball and hockey in the fall, and finally facilities for baseball and other spring and summer sports in the early to late spring. This seasonal effect is generally compounded by large product orders in the sports markets and by the effects of holidays during the third quarter. The effects of seasonality not related to holidays are generally not found in our commercial and transportation markets, although the impact of large orders in those markets can cause significant fluctuations in sales and profits. Approximately 60% of our sales are in the sports markets, 30% percent in the commercial market, and the remainder in transportation.</w:t>
      </w:r>
    </w:p>
    <w:p>
      <w:pPr>
        <w:spacing w:after="0" w:line="198" w:lineRule="exact"/>
        <w:rPr>
          <w:sz w:val="20"/>
          <w:szCs w:val="20"/>
          <w:color w:val="auto"/>
        </w:rPr>
      </w:pPr>
    </w:p>
    <w:p>
      <w:pPr>
        <w:jc w:val="center"/>
        <w:ind w:right="80"/>
        <w:spacing w:after="0" w:line="332" w:lineRule="auto"/>
        <w:rPr>
          <w:sz w:val="20"/>
          <w:szCs w:val="20"/>
          <w:color w:val="auto"/>
        </w:rPr>
      </w:pPr>
      <w:r>
        <w:rPr>
          <w:rFonts w:ascii="Arial" w:cs="Arial" w:eastAsia="Arial" w:hAnsi="Arial"/>
          <w:sz w:val="16"/>
          <w:szCs w:val="16"/>
          <w:color w:val="auto"/>
        </w:rPr>
        <w:t>Gross margins on large orders tend to fluctuate more than those for smaller, standard orders. Large product orders that involve competitive bidding and substantial subcontract work for product installation generally have lower gross margins with greater variability in margins and are subject to greater competitive</w:t>
      </w:r>
    </w:p>
    <w:p>
      <w:pPr>
        <w:sectPr>
          <w:pgSz w:w="11900" w:h="16838" w:orient="portrait"/>
          <w:cols w:equalWidth="0" w:num="1">
            <w:col w:w="11400"/>
          </w:cols>
          <w:pgMar w:left="240" w:top="131" w:right="259" w:bottom="0" w:gutter="0" w:footer="0" w:header="0"/>
        </w:sectPr>
      </w:pPr>
    </w:p>
    <w:bookmarkStart w:id="7" w:name="page8"/>
    <w:bookmarkEnd w:id="7"/>
    <w:p>
      <w:pPr>
        <w:ind w:right="100"/>
        <w:spacing w:after="0" w:line="268" w:lineRule="auto"/>
        <w:rPr>
          <w:sz w:val="20"/>
          <w:szCs w:val="20"/>
          <w:color w:val="auto"/>
        </w:rPr>
      </w:pPr>
      <w:r>
        <w:rPr>
          <w:rFonts w:ascii="Arial" w:cs="Arial" w:eastAsia="Arial" w:hAnsi="Arial"/>
          <w:sz w:val="18"/>
          <w:szCs w:val="18"/>
          <w:color w:val="auto"/>
        </w:rPr>
        <w:t>factors. Although we follow the percentage of completion method of recognizing revenues for these larger orders, we nevertheless have experienced fluctuations in operating results and expect that our future results of operations will be subject to similar fluctuations.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large product orders, the time between order accrual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w w:val="87"/>
              </w:rPr>
              <w:t>Markets</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Types of Customers</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28"/>
        </w:trPr>
        <w:tc>
          <w:tcPr>
            <w:tcW w:w="580" w:type="dxa"/>
            <w:vAlign w:val="bottom"/>
          </w:tcPr>
          <w:p>
            <w:pPr>
              <w:spacing w:after="0"/>
              <w:rPr>
                <w:sz w:val="20"/>
                <w:szCs w:val="20"/>
                <w:color w:val="auto"/>
              </w:rPr>
            </w:pPr>
            <w:r>
              <w:rPr>
                <w:rFonts w:ascii="Arial" w:cs="Arial" w:eastAsia="Arial" w:hAnsi="Arial"/>
                <w:sz w:val="18"/>
                <w:szCs w:val="18"/>
                <w:color w:val="auto"/>
              </w:rPr>
              <w:t>Sports</w:t>
            </w: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8"/>
              </w:rPr>
              <w:t>Elementary and secondary schools, colleges and universities,</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89"/>
              </w:rPr>
              <w:t>recreation centers, professional sports teams and facilities, Olympic</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87"/>
              </w:rPr>
              <w:t>games, national and international sports federations, civic arenas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convention centers and motor racing.</w:t>
            </w:r>
          </w:p>
        </w:tc>
      </w:tr>
      <w:tr>
        <w:trPr>
          <w:trHeight w:val="426"/>
        </w:trPr>
        <w:tc>
          <w:tcPr>
            <w:tcW w:w="18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5"/>
              </w:rPr>
              <w:t>Retailers, hospitality providers, quick serve restaurants, outdoor</w:t>
            </w: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3"/>
              </w:rPr>
              <w:t>advertisers, financial institutions, casinos, pari-mutual racing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other businesses.</w:t>
            </w:r>
          </w:p>
        </w:tc>
      </w:tr>
      <w:tr>
        <w:trPr>
          <w:trHeight w:val="426"/>
        </w:trPr>
        <w:tc>
          <w:tcPr>
            <w:tcW w:w="184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w w:val="90"/>
              </w:rPr>
              <w:t>State and local departments of transportation, airlines, airports and</w:t>
            </w: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40" w:type="dxa"/>
            <w:vAlign w:val="bottom"/>
            <w:gridSpan w:val="3"/>
          </w:tcPr>
          <w:p>
            <w:pPr>
              <w:ind w:left="800"/>
              <w:spacing w:after="0"/>
              <w:rPr>
                <w:sz w:val="20"/>
                <w:szCs w:val="20"/>
                <w:color w:val="auto"/>
              </w:rPr>
            </w:pPr>
            <w:r>
              <w:rPr>
                <w:rFonts w:ascii="Arial" w:cs="Arial" w:eastAsia="Arial" w:hAnsi="Arial"/>
                <w:sz w:val="18"/>
                <w:szCs w:val="18"/>
                <w:color w:val="auto"/>
              </w:rPr>
              <w:t>related industries, parking facilities and transit authorities.</w:t>
            </w:r>
          </w:p>
        </w:tc>
      </w:tr>
    </w:tbl>
    <w:p>
      <w:pPr>
        <w:spacing w:after="0" w:line="21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 large and diverse customer base. As a result, the loss of a major customer would not have an adverse impact on us. No single customer accounted for more than 10% of our revenue in fiscal year 2005.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31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backlog consists of customer sales agreements or purchase orders that we expect to fill within the next 24 months and was approximately $73 million as of April 30, 2005 and $54 million as of May 1, 2004. Because sales agreements and purchase orders are typically subject to cancellation or delay by customers with limited or no penalty, our backlog is not necessarily indicative of future net sales or net income. While orders for many of our products may be shipped within 90 days, other orders may take longer depending on the customer’s project schedule or other factors.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312"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the United States and other countries, various laws and regulations, including zoning ordinances, restrict the installation of outdoor signs and displays, particularly in the commercial market. These regulations may impose greater restrictions on electronic displays due to alleged concerns over aesthetics or driver safety if a “moving” display is located near a road or highway. These factors may prevent or inhibit us from selling products to some prospective customers.</w:t>
      </w:r>
    </w:p>
    <w:p>
      <w:pPr>
        <w:spacing w:after="0" w:line="142"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Some of our products are tested to safety standards developed by Underwriters Laboratories® in the United States, as well as similar standards in other countries. We design and produce our products in accordance with these standards. Our printed circuit board manufacturing operations use certain chemical processes that are subject to various environmental rules and regulations. Our manufacturing operations must also meet various safety related rules and regulations. We believe we are in compliance with all applicable governmental laws and regulations.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99"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from a variety of sources. There are a number of established manufacturers of competing products who may have greater market penetration in certain market niches or greater financial, marketing and other resources. Competitors might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Many of our competitors compete in only one or a few of the market niches we serve. There are generally more competitors in markets that require less complicated display systems, such as the high school scoreboard market and the commercial market, including banks and small retail store displays. As the needs of a customer increase and the display systems become more complex, there are generally fewer competitors. However, due to the high profile nature of larger complex display systems, the competition may be more intense.</w:t>
      </w:r>
    </w:p>
    <w:p>
      <w:pPr>
        <w:spacing w:after="0" w:line="197" w:lineRule="exact"/>
        <w:rPr>
          <w:sz w:val="20"/>
          <w:szCs w:val="20"/>
          <w:color w:val="auto"/>
        </w:rPr>
      </w:pPr>
    </w:p>
    <w:p>
      <w:pPr>
        <w:jc w:val="both"/>
        <w:ind w:right="160" w:firstLine="351"/>
        <w:spacing w:after="0" w:line="298" w:lineRule="auto"/>
        <w:rPr>
          <w:sz w:val="20"/>
          <w:szCs w:val="20"/>
          <w:color w:val="auto"/>
        </w:rPr>
      </w:pPr>
      <w:r>
        <w:rPr>
          <w:rFonts w:ascii="Arial" w:cs="Arial" w:eastAsia="Arial" w:hAnsi="Arial"/>
          <w:sz w:val="16"/>
          <w:szCs w:val="16"/>
          <w:color w:val="auto"/>
        </w:rPr>
        <w:t>During fiscal year 2003 and into 2004, there was a considerable amount of change in competitors in the video display portion of our business. The changes included new competitors and consolidation of competitors. In addition, in fiscal year 2005, we began to experience greater pricing pressures from competitors who seem to be attempting to gather market share at the expense of profits. Although these changes have an impact on the market as a whole, we are confident that we can continue to grow and expand our business because of our experience and approach to the market.</w:t>
      </w:r>
    </w:p>
    <w:p>
      <w:pPr>
        <w:spacing w:after="0" w:line="16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compete based on our broad range of products and features, complementary services, advanced technology, prompt delivery, and reliable and readily available customer service and support. We also strive to provide cost effective products and solutions for our customers. Contrary to our focus on technologically advanced products and customer support, certain companies compete in some markets by providing lower cost display systems, which are of a lesser quality with lower product performance or customer support. If a customer focuses principally on price, we are less likely to obtain the sale. To remain competitive, we must continue to enhance our existing products, introduce new products and product features, and provide customers with cost effective solutions to their display needs.</w:t>
      </w:r>
    </w:p>
    <w:p>
      <w:pPr>
        <w:sectPr>
          <w:pgSz w:w="11900" w:h="16838" w:orient="portrait"/>
          <w:cols w:equalWidth="0" w:num="1">
            <w:col w:w="11400"/>
          </w:cols>
          <w:pgMar w:left="240" w:top="131" w:right="259" w:bottom="53"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Research and Development</w:t>
      </w:r>
    </w:p>
    <w:p>
      <w:pPr>
        <w:spacing w:after="0" w:line="29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believe our engineering capability and experience are unparalleled among our competitors and our product development capability will continue to be a very important factor in our market position.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expenses for fiscal years 2005, 2004 and 2003 were approximately $10,499,000, $8,126,000, and $6,918,000, respectively.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29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believe that we do not have any environmental issues which would materially affect capital expenditures, earnings or our competitive position in the marketplace.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9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April 30, 2005, we employed 1,120 full-time employees and 510 part-time and temporary employees. Of these employees, approximately 670 were in manufacturing, 546 in sales, marketing and customer service, 340 in engineering, and 115 in administration. None of our employees are represented by a collective bargaining agreement. We believe employee relations are good.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 of the Consolidated Financial Statements for financial data pertaining to our geographic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99"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Our website is at http://www.daktronics.com. We make available free of charge, on or through our website, our annual, quarterly and current reports and any amendments to those reports as soon as reasonably practicable after electronically filing such reports with the Securities and Exchange Commission. The reports are also available through a link to the Commission’s website at http://www.sec.gov. Information contained on our website or linked through it is not part of this report.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information regarding our officers and directors as of June 20, 2005: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jc w:val="center"/>
              <w:ind w:left="992"/>
              <w:spacing w:after="0"/>
              <w:rPr>
                <w:sz w:val="20"/>
                <w:szCs w:val="20"/>
                <w:color w:val="auto"/>
              </w:rPr>
            </w:pPr>
            <w:r>
              <w:rPr>
                <w:rFonts w:ascii="Arial" w:cs="Arial" w:eastAsia="Arial" w:hAnsi="Arial"/>
                <w:sz w:val="18"/>
                <w:szCs w:val="18"/>
                <w:b w:val="1"/>
                <w:bCs w:val="1"/>
                <w:color w:val="auto"/>
                <w:w w:val="97"/>
              </w:rPr>
              <w:t>AGE</w:t>
            </w:r>
          </w:p>
        </w:tc>
        <w:tc>
          <w:tcPr>
            <w:tcW w:w="4200" w:type="dxa"/>
            <w:vAlign w:val="bottom"/>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Aelred J.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71</w:t>
            </w:r>
          </w:p>
        </w:tc>
        <w:tc>
          <w:tcPr>
            <w:tcW w:w="4200" w:type="dxa"/>
            <w:vAlign w:val="bottom"/>
          </w:tcPr>
          <w:p>
            <w:pPr>
              <w:ind w:left="240"/>
              <w:spacing w:after="0"/>
              <w:rPr>
                <w:sz w:val="20"/>
                <w:szCs w:val="20"/>
                <w:color w:val="auto"/>
              </w:rPr>
            </w:pPr>
            <w:r>
              <w:rPr>
                <w:rFonts w:ascii="Arial" w:cs="Arial" w:eastAsia="Arial" w:hAnsi="Arial"/>
                <w:sz w:val="18"/>
                <w:szCs w:val="18"/>
                <w:color w:val="auto"/>
              </w:rPr>
              <w:t>Chairman of the Board</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James B. Morgan</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58</w:t>
            </w:r>
          </w:p>
        </w:tc>
        <w:tc>
          <w:tcPr>
            <w:tcW w:w="4200" w:type="dxa"/>
            <w:vAlign w:val="bottom"/>
          </w:tcPr>
          <w:p>
            <w:pPr>
              <w:ind w:left="24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Frank K.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67</w:t>
            </w:r>
          </w:p>
        </w:tc>
        <w:tc>
          <w:tcPr>
            <w:tcW w:w="4200" w:type="dxa"/>
            <w:vAlign w:val="bottom"/>
          </w:tcPr>
          <w:p>
            <w:pPr>
              <w:ind w:left="240"/>
              <w:spacing w:after="0"/>
              <w:rPr>
                <w:sz w:val="20"/>
                <w:szCs w:val="20"/>
                <w:color w:val="auto"/>
              </w:rPr>
            </w:pPr>
            <w:r>
              <w:rPr>
                <w:rFonts w:ascii="Arial" w:cs="Arial" w:eastAsia="Arial" w:hAnsi="Arial"/>
                <w:sz w:val="18"/>
                <w:szCs w:val="18"/>
                <w:color w:val="auto"/>
              </w:rPr>
              <w:t>Vice President, Sales and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William R. Retterath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44</w:t>
            </w:r>
          </w:p>
        </w:tc>
        <w:tc>
          <w:tcPr>
            <w:tcW w:w="4200" w:type="dxa"/>
            <w:vAlign w:val="bottom"/>
          </w:tcPr>
          <w:p>
            <w:pPr>
              <w:ind w:left="24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Carla S. Gatzke</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44</w:t>
            </w:r>
          </w:p>
        </w:tc>
        <w:tc>
          <w:tcPr>
            <w:tcW w:w="4200" w:type="dxa"/>
            <w:vAlign w:val="bottom"/>
          </w:tcPr>
          <w:p>
            <w:pPr>
              <w:ind w:left="240"/>
              <w:spacing w:after="0"/>
              <w:rPr>
                <w:sz w:val="20"/>
                <w:szCs w:val="20"/>
                <w:color w:val="auto"/>
              </w:rPr>
            </w:pPr>
            <w:r>
              <w:rPr>
                <w:rFonts w:ascii="Arial" w:cs="Arial" w:eastAsia="Arial" w:hAnsi="Arial"/>
                <w:sz w:val="18"/>
                <w:szCs w:val="18"/>
                <w:color w:val="auto"/>
              </w:rPr>
              <w:t>Personnel Manager and Corporate Secretary</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Seth T. Hansen</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42</w:t>
            </w:r>
          </w:p>
        </w:tc>
        <w:tc>
          <w:tcPr>
            <w:tcW w:w="4200" w:type="dxa"/>
            <w:vAlign w:val="bottom"/>
          </w:tcPr>
          <w:p>
            <w:pPr>
              <w:ind w:left="240"/>
              <w:spacing w:after="0"/>
              <w:rPr>
                <w:sz w:val="20"/>
                <w:szCs w:val="20"/>
                <w:color w:val="auto"/>
              </w:rPr>
            </w:pPr>
            <w:r>
              <w:rPr>
                <w:rFonts w:ascii="Arial" w:cs="Arial" w:eastAsia="Arial" w:hAnsi="Arial"/>
                <w:sz w:val="18"/>
                <w:szCs w:val="18"/>
                <w:color w:val="auto"/>
              </w:rPr>
              <w:t>Vice President, Sports Systems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Reece A.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40</w:t>
            </w:r>
          </w:p>
        </w:tc>
        <w:tc>
          <w:tcPr>
            <w:tcW w:w="4200" w:type="dxa"/>
            <w:vAlign w:val="bottom"/>
          </w:tcPr>
          <w:p>
            <w:pPr>
              <w:ind w:left="240"/>
              <w:spacing w:after="0"/>
              <w:rPr>
                <w:sz w:val="20"/>
                <w:szCs w:val="20"/>
                <w:color w:val="auto"/>
              </w:rPr>
            </w:pPr>
            <w:r>
              <w:rPr>
                <w:rFonts w:ascii="Arial" w:cs="Arial" w:eastAsia="Arial" w:hAnsi="Arial"/>
                <w:sz w:val="18"/>
                <w:szCs w:val="18"/>
                <w:color w:val="auto"/>
              </w:rPr>
              <w:t>Vice President, Video Systems</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Bradley T. Wiemann</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42</w:t>
            </w:r>
          </w:p>
        </w:tc>
        <w:tc>
          <w:tcPr>
            <w:tcW w:w="4200" w:type="dxa"/>
            <w:vAlign w:val="bottom"/>
          </w:tcPr>
          <w:p>
            <w:pPr>
              <w:ind w:left="240"/>
              <w:spacing w:after="0"/>
              <w:rPr>
                <w:sz w:val="20"/>
                <w:szCs w:val="20"/>
                <w:color w:val="auto"/>
              </w:rPr>
            </w:pPr>
            <w:r>
              <w:rPr>
                <w:rFonts w:ascii="Arial" w:cs="Arial" w:eastAsia="Arial" w:hAnsi="Arial"/>
                <w:sz w:val="18"/>
                <w:szCs w:val="18"/>
                <w:color w:val="auto"/>
                <w:w w:val="88"/>
              </w:rPr>
              <w:t>Vice President, Commercial and Transportation Markets</w:t>
            </w:r>
          </w:p>
        </w:tc>
      </w:tr>
    </w:tbl>
    <w:p>
      <w:pPr>
        <w:spacing w:after="0" w:line="210" w:lineRule="exact"/>
        <w:rPr>
          <w:sz w:val="20"/>
          <w:szCs w:val="20"/>
          <w:color w:val="auto"/>
        </w:rPr>
      </w:pPr>
    </w:p>
    <w:p>
      <w:pPr>
        <w:ind w:right="240" w:firstLine="395"/>
        <w:spacing w:after="0" w:line="256" w:lineRule="auto"/>
        <w:rPr>
          <w:sz w:val="20"/>
          <w:szCs w:val="20"/>
          <w:color w:val="auto"/>
        </w:rPr>
      </w:pPr>
      <w:r>
        <w:rPr>
          <w:rFonts w:ascii="Arial" w:cs="Arial" w:eastAsia="Arial" w:hAnsi="Arial"/>
          <w:sz w:val="18"/>
          <w:szCs w:val="18"/>
          <w:b w:val="1"/>
          <w:bCs w:val="1"/>
          <w:i w:val="1"/>
          <w:iCs w:val="1"/>
          <w:color w:val="auto"/>
        </w:rPr>
        <w:t>Aelred J. Kurtenbach, Ph.D</w:t>
      </w:r>
      <w:r>
        <w:rPr>
          <w:rFonts w:ascii="Arial" w:cs="Arial" w:eastAsia="Arial" w:hAnsi="Arial"/>
          <w:sz w:val="18"/>
          <w:szCs w:val="18"/>
          <w:color w:val="auto"/>
        </w:rPr>
        <w:t>. is a co-founder of the Company and has served as a Director and Chairman of the Board since its incorporation. 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the Company from 1969 until 1999, Chief Executive Officer from 1999 until 2001, and Treasurer from 1972 until 1993. Dr. Kurtenbach holds B.S., M.S. and Ph.D. degrees in Electrical Engineering from the South Dakota School of Mines and Technology, the University of Nebraska and Purdue University, respectively.</w:t>
      </w:r>
    </w:p>
    <w:p>
      <w:pPr>
        <w:spacing w:after="0" w:line="197" w:lineRule="exact"/>
        <w:rPr>
          <w:sz w:val="20"/>
          <w:szCs w:val="20"/>
          <w:color w:val="auto"/>
        </w:rPr>
      </w:pPr>
    </w:p>
    <w:p>
      <w:pPr>
        <w:ind w:right="260" w:firstLine="395"/>
        <w:spacing w:after="0" w:line="298" w:lineRule="auto"/>
        <w:rPr>
          <w:sz w:val="20"/>
          <w:szCs w:val="20"/>
          <w:color w:val="auto"/>
        </w:rPr>
      </w:pPr>
      <w:r>
        <w:rPr>
          <w:rFonts w:ascii="Arial" w:cs="Arial" w:eastAsia="Arial" w:hAnsi="Arial"/>
          <w:sz w:val="16"/>
          <w:szCs w:val="16"/>
          <w:b w:val="1"/>
          <w:bCs w:val="1"/>
          <w:i w:val="1"/>
          <w:iCs w:val="1"/>
          <w:color w:val="auto"/>
        </w:rPr>
        <w:t xml:space="preserve">James B. Morgan </w:t>
      </w:r>
      <w:r>
        <w:rPr>
          <w:rFonts w:ascii="Arial" w:cs="Arial" w:eastAsia="Arial" w:hAnsi="Arial"/>
          <w:sz w:val="16"/>
          <w:szCs w:val="16"/>
          <w:color w:val="auto"/>
        </w:rPr>
        <w:t>joined the Company in 1969 as a part-time engineer while earning his M.S. degree in Electrical Engineering from South Dakota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University. Mr. Morgan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167" w:lineRule="exact"/>
        <w:rPr>
          <w:sz w:val="20"/>
          <w:szCs w:val="20"/>
          <w:color w:val="auto"/>
        </w:rPr>
      </w:pPr>
    </w:p>
    <w:p>
      <w:pPr>
        <w:jc w:val="both"/>
        <w:ind w:right="60" w:firstLine="395"/>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of the Company, which was expanded to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products in 1981. He served as Sales Manager for the Company from 1982 through 1993, as a Director since 1984 and as Vice President, Sales since 1993. Mr. Kurtenbach has an M.S. degree from South Dakota State University. Aelred Kurtenbach and Frank Kurtenbach are brothers.</w:t>
      </w:r>
    </w:p>
    <w:p>
      <w:pPr>
        <w:spacing w:after="0" w:line="161" w:lineRule="exact"/>
        <w:rPr>
          <w:sz w:val="20"/>
          <w:szCs w:val="20"/>
          <w:color w:val="auto"/>
        </w:rPr>
      </w:pPr>
    </w:p>
    <w:p>
      <w:pPr>
        <w:ind w:right="100" w:firstLine="395"/>
        <w:spacing w:after="0" w:line="298" w:lineRule="auto"/>
        <w:rPr>
          <w:sz w:val="20"/>
          <w:szCs w:val="20"/>
          <w:color w:val="auto"/>
        </w:rPr>
      </w:pPr>
      <w:r>
        <w:rPr>
          <w:rFonts w:ascii="Arial" w:cs="Arial" w:eastAsia="Arial" w:hAnsi="Arial"/>
          <w:sz w:val="16"/>
          <w:szCs w:val="16"/>
          <w:b w:val="1"/>
          <w:bCs w:val="1"/>
          <w:i w:val="1"/>
          <w:iCs w:val="1"/>
          <w:color w:val="auto"/>
        </w:rPr>
        <w:t xml:space="preserve">William R. Retterath, CPA </w:t>
      </w:r>
      <w:r>
        <w:rPr>
          <w:rFonts w:ascii="Arial" w:cs="Arial" w:eastAsia="Arial" w:hAnsi="Arial"/>
          <w:sz w:val="16"/>
          <w:szCs w:val="16"/>
          <w:color w:val="auto"/>
        </w:rPr>
        <w:t>joined the Company in 2001 as its Chief Financial Officer and Treasurer. During 2001, before joining the Company,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Retterath served as the Chief Financial Officer of MQSoftware, Inc., and from 1999 through 2000, he was a Vice President of Finance for Computer Associates, Inc. through its acquisition of Sterling Software Inc. Prior to that time, Mr. Retterath served as the Chief Financial Officer for various public and private companies and worked for a number of years with Deloitte &amp; Touche. Mr. Retterath holds a B.S. in Accounting from the University of Minnesota.</w:t>
      </w:r>
    </w:p>
    <w:p>
      <w:pPr>
        <w:spacing w:after="0" w:line="16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Carla S. Gatzke </w:t>
      </w:r>
      <w:r>
        <w:rPr>
          <w:rFonts w:ascii="Arial" w:cs="Arial" w:eastAsia="Arial" w:hAnsi="Arial"/>
          <w:sz w:val="16"/>
          <w:szCs w:val="16"/>
          <w:color w:val="auto"/>
        </w:rPr>
        <w:t>joined the Company in 1981 while earning her bachelor’s degree in electrical engineering from South Dakota State University.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graduation, she worked full-time for the Company as a Systems Sales Engineer. After a leave of absence to complete a Master’s in Business Administration at Drake University, she served as manager of Star Circuits, Inc., our circuit board subsidiary. In 1992, she moved to Administration and currently manages our Personnel and Enterprise Information Systems departments. Ms. Gatzke is the daughter of Aelred Kurtenbach.</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Reece A. Kurtenbach </w:t>
      </w:r>
      <w:r>
        <w:rPr>
          <w:rFonts w:ascii="Arial" w:cs="Arial" w:eastAsia="Arial" w:hAnsi="Arial"/>
          <w:sz w:val="16"/>
          <w:szCs w:val="16"/>
          <w:color w:val="auto"/>
        </w:rPr>
        <w:t>joined the Company in 1991 as an applications engineer on large display projects. In 1994, he became the manager of what is today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video products engineering group and in 2004 was appointed Vice President, Video Systems. Mr. Kurtenbach received a B.S. degree from South Dakota State University in electrical engineering, with minors in math and computer science. Mr. Kurtenbach is the son of Aelred Kurtenbach.</w:t>
      </w:r>
    </w:p>
    <w:p>
      <w:pPr>
        <w:sectPr>
          <w:pgSz w:w="11900" w:h="16838" w:orient="portrait"/>
          <w:cols w:equalWidth="0" w:num="1">
            <w:col w:w="11380"/>
          </w:cols>
          <w:pgMar w:left="240" w:top="125" w:right="279" w:bottom="151" w:gutter="0" w:footer="0" w:header="0"/>
        </w:sectPr>
      </w:pPr>
    </w:p>
    <w:bookmarkStart w:id="9" w:name="page10"/>
    <w:bookmarkEnd w:id="9"/>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an engineer focusing in our commercial and transportation products after spending a number of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Rockwell International, where he was involved in flight control systems. In 2004, he was appointed Vice President, Commercial and Transportation Markets of the Company,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Seth T. Hansen, PE </w:t>
      </w:r>
      <w:r>
        <w:rPr>
          <w:rFonts w:ascii="Arial" w:cs="Arial" w:eastAsia="Arial" w:hAnsi="Arial"/>
          <w:sz w:val="18"/>
          <w:szCs w:val="18"/>
          <w:color w:val="auto"/>
        </w:rPr>
        <w:t>joined the Company in 1985 as a design engineer. In 2004, he was appointed Vice President, Sports Systems, where he oversees project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activities and sales administration. Mr. Hansen has an M.S. degree in electrical engineering and a B.S. degree in electrical engineering from South Dakota State University.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1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currently own and occupy a total of approximately 376,000 square feet of space located on a Company-owned 45-acre site in Brookings, South Dakota. Star Circuits, Inc. is located at a separate site in Brookings and occupies approximately 20,000 square feet in a facility owned by that subsidiary. Daktronics Canada, Inc. occupies approximately 21,000 square feet in a sales and manufacturing facility in Montreal, Quebec under a lease agreement. We lease an additional 59,000 square feet related to our sound system business in Topeka, Kansas. The majority of our sales and service offices located throughout the United States and Europe are small offices, generally consisting of less than 5,000 square feet leased under operating leases.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1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involved in a variety of legal actions relating to various legal matters that arise in the normal course of business. While we are unable to predict the ultimate outcome of these legal actions, it is the opinion of management that the disposition of these matters will not have a material adverse effect on our consolidated financial statements taken as a whole.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stockholders through a solicitation of proxies or otherwise during the fourth quarter of fiscal 2005.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STOCKHOLDERS MATTERS AND ISSUER PURCHASES OF EQUITY SECURITIES</w:t>
      </w:r>
    </w:p>
    <w:p>
      <w:pPr>
        <w:spacing w:after="0" w:line="247"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Our common stock currently is quoted on the NASDAQ National Market under the symbol “DAKT”. As of June 3, 2005, we had 505 shareholders of record. Following are the high and low sales prices for our common stock for each quarter within the last two fiscal years:</w:t>
      </w:r>
    </w:p>
    <w:p>
      <w:pPr>
        <w:spacing w:after="0" w:line="270"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rPr>
              <w:t>Fiscal Year 2005</w:t>
            </w:r>
          </w:p>
        </w:tc>
        <w:tc>
          <w:tcPr>
            <w:tcW w:w="180" w:type="dxa"/>
            <w:vAlign w:val="bottom"/>
          </w:tcPr>
          <w:p>
            <w:pPr>
              <w:spacing w:after="0"/>
              <w:rPr>
                <w:sz w:val="15"/>
                <w:szCs w:val="15"/>
                <w:color w:val="auto"/>
              </w:rPr>
            </w:pP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Fiscal Year 2004</w:t>
            </w:r>
          </w:p>
        </w:tc>
        <w:tc>
          <w:tcPr>
            <w:tcW w:w="160" w:type="dxa"/>
            <w:vAlign w:val="bottom"/>
          </w:tcPr>
          <w:p>
            <w:pPr>
              <w:spacing w:after="0"/>
              <w:rPr>
                <w:sz w:val="15"/>
                <w:szCs w:val="15"/>
                <w:color w:val="auto"/>
              </w:rPr>
            </w:pPr>
          </w:p>
        </w:tc>
      </w:tr>
      <w:tr>
        <w:trPr>
          <w:trHeight w:val="95"/>
        </w:trPr>
        <w:tc>
          <w:tcPr>
            <w:tcW w:w="38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412"/>
        </w:trPr>
        <w:tc>
          <w:tcPr>
            <w:tcW w:w="38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Low</w:t>
            </w:r>
          </w:p>
        </w:tc>
        <w:tc>
          <w:tcPr>
            <w:tcW w:w="160" w:type="dxa"/>
            <w:vAlign w:val="bottom"/>
          </w:tcPr>
          <w:p>
            <w:pPr>
              <w:spacing w:after="0"/>
              <w:rPr>
                <w:sz w:val="24"/>
                <w:szCs w:val="24"/>
                <w:color w:val="auto"/>
              </w:rPr>
            </w:pPr>
          </w:p>
        </w:tc>
      </w:tr>
      <w:tr>
        <w:trPr>
          <w:trHeight w:val="95"/>
        </w:trPr>
        <w:tc>
          <w:tcPr>
            <w:tcW w:w="38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115"/>
        </w:trPr>
        <w:tc>
          <w:tcPr>
            <w:tcW w:w="3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760" w:type="dxa"/>
            <w:vAlign w:val="bottom"/>
            <w:gridSpan w:val="2"/>
          </w:tcPr>
          <w:p>
            <w:pPr>
              <w:spacing w:after="0"/>
              <w:rPr>
                <w:sz w:val="10"/>
                <w:szCs w:val="10"/>
                <w:color w:val="auto"/>
              </w:rPr>
            </w:pPr>
          </w:p>
        </w:tc>
        <w:tc>
          <w:tcPr>
            <w:tcW w:w="7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r>
      <w:tr>
        <w:trPr>
          <w:trHeight w:val="297"/>
        </w:trPr>
        <w:tc>
          <w:tcPr>
            <w:tcW w:w="388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$ 25.99</w:t>
            </w:r>
          </w:p>
        </w:tc>
        <w:tc>
          <w:tcPr>
            <w:tcW w:w="72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3"/>
              </w:rPr>
              <w:t>$ 20.44</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$ 19.38</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$ 14.20</w:t>
            </w:r>
          </w:p>
        </w:tc>
        <w:tc>
          <w:tcPr>
            <w:tcW w:w="160" w:type="dxa"/>
            <w:vAlign w:val="bottom"/>
            <w:shd w:val="clear" w:color="auto" w:fill="EAF9E8"/>
          </w:tcPr>
          <w:p>
            <w:pPr>
              <w:spacing w:after="0"/>
              <w:rPr>
                <w:sz w:val="24"/>
                <w:szCs w:val="24"/>
                <w:color w:val="auto"/>
              </w:rPr>
            </w:pPr>
          </w:p>
        </w:tc>
      </w:tr>
      <w:tr>
        <w:trPr>
          <w:trHeight w:val="297"/>
        </w:trPr>
        <w:tc>
          <w:tcPr>
            <w:tcW w:w="3880" w:type="dxa"/>
            <w:vAlign w:val="bottom"/>
          </w:tcPr>
          <w:p>
            <w:pPr>
              <w:spacing w:after="0" w:line="29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$ 26.49</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3"/>
              </w:rPr>
              <w:t>$ 21.55</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$ 17.90</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$ 14.31</w:t>
            </w:r>
          </w:p>
        </w:tc>
        <w:tc>
          <w:tcPr>
            <w:tcW w:w="160" w:type="dxa"/>
            <w:vAlign w:val="bottom"/>
          </w:tcPr>
          <w:p>
            <w:pPr>
              <w:spacing w:after="0"/>
              <w:rPr>
                <w:sz w:val="24"/>
                <w:szCs w:val="24"/>
                <w:color w:val="auto"/>
              </w:rPr>
            </w:pPr>
          </w:p>
        </w:tc>
      </w:tr>
      <w:tr>
        <w:trPr>
          <w:trHeight w:val="297"/>
        </w:trPr>
        <w:tc>
          <w:tcPr>
            <w:tcW w:w="388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$ 29.94</w:t>
            </w:r>
          </w:p>
        </w:tc>
        <w:tc>
          <w:tcPr>
            <w:tcW w:w="72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3"/>
              </w:rPr>
              <w:t>$ 22.46</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$ 27.75</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$ 14.62</w:t>
            </w:r>
          </w:p>
        </w:tc>
        <w:tc>
          <w:tcPr>
            <w:tcW w:w="160" w:type="dxa"/>
            <w:vAlign w:val="bottom"/>
            <w:shd w:val="clear" w:color="auto" w:fill="EAF9E8"/>
          </w:tcPr>
          <w:p>
            <w:pPr>
              <w:spacing w:after="0"/>
              <w:rPr>
                <w:sz w:val="24"/>
                <w:szCs w:val="24"/>
                <w:color w:val="auto"/>
              </w:rPr>
            </w:pP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$ 25.70</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3"/>
              </w:rPr>
              <w:t>$ 19.62</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$ 27.50</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$ 21.12</w:t>
            </w:r>
          </w:p>
        </w:tc>
        <w:tc>
          <w:tcPr>
            <w:tcW w:w="160" w:type="dxa"/>
            <w:vAlign w:val="bottom"/>
          </w:tcPr>
          <w:p>
            <w:pPr>
              <w:spacing w:after="0"/>
              <w:rPr>
                <w:sz w:val="24"/>
                <w:szCs w:val="24"/>
                <w:color w:val="auto"/>
              </w:rPr>
            </w:pPr>
          </w:p>
        </w:tc>
      </w:tr>
    </w:tbl>
    <w:p>
      <w:pPr>
        <w:spacing w:after="0" w:line="9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On May 26, 2005, our Board of Directors declared an annual dividend payment of $.10 per share on our common stock for the year ending April 30, 2005. Before this declaration, we had never paid cash dividends on our stock. Although we expect to continue to pay annual dividends for the foreseeable future, all subsequent dividends will be reviewed annually and determined and declared by the Board in its discretion. In addition, our credit facility imposes limitations on our ability to pay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table below provides selected historical financial data, which should be read in conjunction with the financial statements and the notes to the financial statements and “Management’s Discussion and Analysis of Financial Condition and Results of Operations,” which are included elsewhere in this report. The statement of operations data for the fiscal years ended April 30, 2005, May 1, 2004 and May 3, 2003, and the balance sheet data at April 30, 2005 and May 1, 2004, are derived from, and are qualified by reference to, the audited financial statements included elsewhere in this report. The statement of income data for the years ended April 2002 and April 2001 and the balance sheet data at April 2003, 2002 and 2001 are derived from audited financial statements not included in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0" w:type="dxa"/>
            <w:vAlign w:val="bottom"/>
            <w:vMerge w:val="restart"/>
          </w:tcPr>
          <w:p>
            <w:pPr>
              <w:spacing w:after="0"/>
              <w:rPr>
                <w:sz w:val="20"/>
                <w:szCs w:val="20"/>
                <w:color w:val="auto"/>
              </w:rPr>
            </w:pPr>
            <w:r>
              <w:rPr>
                <w:rFonts w:ascii="Arial" w:cs="Arial" w:eastAsia="Arial" w:hAnsi="Arial"/>
                <w:sz w:val="18"/>
                <w:szCs w:val="18"/>
                <w:color w:val="auto"/>
              </w:rPr>
              <w:t>Income Statement Data:</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$ 230,346</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$ 209,907</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$ 177,764</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$ 148,773</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$152,331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19,436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27,530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19,825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9,103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14,451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15,660</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17,727</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12,458</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4,892</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8,685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Weighted Average Diluted Shares</w:t>
            </w: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Outstanding*</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20,137</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19,936</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19,515</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19,230</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18,874</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1" w:right="299" w:bottom="36"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Balance Sheet Data:</w:t>
            </w:r>
          </w:p>
        </w:tc>
        <w:tc>
          <w:tcPr>
            <w:tcW w:w="1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5"/>
        </w:trPr>
        <w:tc>
          <w:tcPr>
            <w:tcW w:w="266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$ 62,287</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$ 51,681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$ 39,700</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$ 28,353</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$ 26,967</w:t>
            </w:r>
          </w:p>
        </w:tc>
      </w:tr>
      <w:tr>
        <w:trPr>
          <w:trHeight w:val="285"/>
        </w:trPr>
        <w:tc>
          <w:tcPr>
            <w:tcW w:w="2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151,462</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126,236</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102,527</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87,346</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90,214</w:t>
            </w:r>
          </w:p>
        </w:tc>
      </w:tr>
      <w:tr>
        <w:trPr>
          <w:trHeight w:val="283"/>
        </w:trPr>
        <w:tc>
          <w:tcPr>
            <w:tcW w:w="266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5,556</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4,675</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8,083</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11,567</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11,925</w:t>
            </w:r>
          </w:p>
        </w:tc>
      </w:tr>
      <w:tr>
        <w:trPr>
          <w:trHeight w:val="285"/>
        </w:trPr>
        <w:tc>
          <w:tcPr>
            <w:tcW w:w="2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Shareholders' Equity</w:t>
            </w:r>
          </w:p>
        </w:tc>
        <w:tc>
          <w:tcPr>
            <w:tcW w:w="17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103,910</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86,264</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65,303</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51,501</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45,823</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33"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have been adjusted for the two-for-one stock split approved on May 24, 2001.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99" w:lineRule="exact"/>
        <w:rPr>
          <w:sz w:val="20"/>
          <w:szCs w:val="20"/>
          <w:color w:val="auto"/>
        </w:rPr>
      </w:pPr>
    </w:p>
    <w:p>
      <w:pPr>
        <w:ind w:right="480" w:firstLine="348"/>
        <w:spacing w:after="0" w:line="370" w:lineRule="auto"/>
        <w:rPr>
          <w:sz w:val="20"/>
          <w:szCs w:val="20"/>
          <w:color w:val="auto"/>
        </w:rPr>
      </w:pPr>
      <w:r>
        <w:rPr>
          <w:rFonts w:ascii="Arial" w:cs="Arial" w:eastAsia="Arial" w:hAnsi="Arial"/>
          <w:sz w:val="15"/>
          <w:szCs w:val="15"/>
          <w:color w:val="auto"/>
        </w:rPr>
        <w:t>We design, manufacture and sell a wide range of display systems to customers in a variety of markets throughout the world. We focus our sales and marketing efforts on geographical regions, markets and products. The primary categories of markets include sports, commercial and transportation markets.</w:t>
      </w:r>
    </w:p>
    <w:p>
      <w:pPr>
        <w:spacing w:after="0" w:line="11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sports facilities and colleges and universities, as well as the seasonality of the sports market. Net sales also have fluctuated due to other seasonality factors, including the timing of the various sports seasons and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17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operate on a 52 to 53 week fiscal year, with fiscal years ending on the Saturday closest to April 30 of each year. Fiscal year 2003 contained 53 weeks, and the first quarter of fiscal year 2003 contained 14 weeks as compared to the more typical 52-week year and 13-week quarter.</w:t>
      </w:r>
    </w:p>
    <w:p>
      <w:pPr>
        <w:spacing w:after="0" w:line="13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our financial statements, which are included elsewhere in this report.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99"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estimable. Generally, contracts entered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any such changes in estimates are known.</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April 30, 2005, we had an allowance for doubtful accounts balance of approximately $1.0 million.</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April 30, 2005, we had a total of approximately $5.0 million reserved for warranty costs.</w:t>
      </w:r>
    </w:p>
    <w:p>
      <w:pPr>
        <w:spacing w:after="0" w:line="197"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 extended warranty and product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As of April 30, 2005, we had $2.9 million of deferred revenue related to extended warranty and product maintenance.</w:t>
      </w:r>
    </w:p>
    <w:p>
      <w:pPr>
        <w:spacing w:after="0" w:line="170" w:lineRule="exact"/>
        <w:rPr>
          <w:sz w:val="20"/>
          <w:szCs w:val="20"/>
          <w:color w:val="auto"/>
        </w:rPr>
      </w:pPr>
    </w:p>
    <w:p>
      <w:pPr>
        <w:jc w:val="center"/>
        <w:ind w:right="80"/>
        <w:spacing w:after="0" w:line="370"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Inventories are stated at the lower of cost or market. Market refers to the current replacement cost, except that market may not exceed the net</w:t>
      </w:r>
      <w:r>
        <w:rPr>
          <w:rFonts w:ascii="Arial" w:cs="Arial" w:eastAsia="Arial" w:hAnsi="Arial"/>
          <w:sz w:val="15"/>
          <w:szCs w:val="15"/>
          <w:i w:val="1"/>
          <w:iCs w:val="1"/>
          <w:color w:val="auto"/>
        </w:rPr>
        <w:t xml:space="preserve"> </w:t>
      </w:r>
      <w:r>
        <w:rPr>
          <w:rFonts w:ascii="Arial" w:cs="Arial" w:eastAsia="Arial" w:hAnsi="Arial"/>
          <w:sz w:val="15"/>
          <w:szCs w:val="15"/>
          <w:color w:val="auto"/>
        </w:rPr>
        <w:t>realizable value (that is, estimated selling price in the ordinary course of business less reasonable predictable costs of completion and disposal); and market is not</w:t>
      </w:r>
    </w:p>
    <w:p>
      <w:pPr>
        <w:sectPr>
          <w:pgSz w:w="11900" w:h="16838" w:orient="portrait"/>
          <w:cols w:equalWidth="0" w:num="1">
            <w:col w:w="11420"/>
          </w:cols>
          <w:pgMar w:left="240" w:top="131" w:right="239" w:bottom="0" w:gutter="0" w:footer="0" w:header="0"/>
        </w:sectPr>
      </w:pPr>
    </w:p>
    <w:bookmarkStart w:id="11" w:name="page12"/>
    <w:bookmarkEnd w:id="11"/>
    <w:p>
      <w:pPr>
        <w:spacing w:after="0" w:line="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less than the net realizable value reduced by an allowance for normal profit margins. In valuing inventory, we estimate market value where it is believed to be the lower of cost or market, and any necessary charges are charged to costs of goods sold in the period in which it occurs.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30, 2005, May 1, 2004 and May 3, 2003:</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5860" w:type="dxa"/>
            <w:vAlign w:val="bottom"/>
          </w:tcPr>
          <w:p>
            <w:pPr>
              <w:spacing w:after="0"/>
              <w:rPr>
                <w:sz w:val="24"/>
                <w:szCs w:val="24"/>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0"/>
              </w:rPr>
              <w:t>April 30,</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May 1,</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May 3,</w:t>
            </w:r>
          </w:p>
        </w:tc>
      </w:tr>
      <w:tr>
        <w:trPr>
          <w:trHeight w:val="174"/>
        </w:trPr>
        <w:tc>
          <w:tcPr>
            <w:tcW w:w="5860" w:type="dxa"/>
            <w:vAlign w:val="bottom"/>
          </w:tcPr>
          <w:p>
            <w:pPr>
              <w:spacing w:after="0"/>
              <w:rPr>
                <w:sz w:val="15"/>
                <w:szCs w:val="15"/>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58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EAF9E8"/>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2"/>
                <w:szCs w:val="22"/>
                <w:color w:val="auto"/>
              </w:rPr>
            </w:pPr>
          </w:p>
        </w:tc>
      </w:tr>
      <w:tr>
        <w:trPr>
          <w:trHeight w:val="258"/>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(0.2)</w:t>
            </w:r>
          </w:p>
        </w:tc>
        <w:tc>
          <w:tcPr>
            <w:tcW w:w="7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(0.5)</w:t>
            </w: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8.5%</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w:t>
            </w:r>
          </w:p>
        </w:tc>
      </w:tr>
      <w:tr>
        <w:trPr>
          <w:trHeight w:val="108"/>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Net sales increased 9.7% to $230.3 million for fiscal year 2005 as compared to $209.9 million for fiscal year 2004. Net sales increased in our sports and commercial markets and declined slightly in our transportation market. Net sales increased on a domestic basis and declined internationally. As a percent of overall net sales, standard product sales were approximately 30% of total net sales. We began to see much greater competition in the video products area of our business in the fourth quarter of fiscal year 2005 as compared to prior periods. We believe that this competitive level will continue into fiscal year 2006, but that in the long term, the competitive environment will revert back to levels more consistent with prior years. We have begun to see the effect this competition has had on weakening certain competitors, and we are optimistic that we can improve our performance during fiscal year 2006. We also intend to maintain our market share during this period of more intense competition and to continue our history of growing market share. We believe that as a result of our diversification, mix of products and services and various other factors, we will be able to continue to grow sales in excess of 15%, annually over the long term.</w:t>
      </w:r>
    </w:p>
    <w:p>
      <w:pPr>
        <w:spacing w:after="0" w:line="178" w:lineRule="exact"/>
        <w:rPr>
          <w:sz w:val="20"/>
          <w:szCs w:val="20"/>
          <w:color w:val="auto"/>
        </w:rPr>
      </w:pPr>
    </w:p>
    <w:p>
      <w:pPr>
        <w:ind w:right="40" w:firstLine="348"/>
        <w:spacing w:after="0" w:line="307" w:lineRule="auto"/>
        <w:rPr>
          <w:sz w:val="20"/>
          <w:szCs w:val="20"/>
          <w:color w:val="auto"/>
        </w:rPr>
      </w:pPr>
      <w:r>
        <w:rPr>
          <w:rFonts w:ascii="Arial" w:cs="Arial" w:eastAsia="Arial" w:hAnsi="Arial"/>
          <w:sz w:val="15"/>
          <w:szCs w:val="15"/>
          <w:color w:val="auto"/>
        </w:rPr>
        <w:t>The increase in net sales in the sports market resulted from an increase in sales to mid-sized and small facilities which was offset by a decline in professional sports facilities. In addition, net sales increased on a domestic basis in the sports market but declined on an international basis. The sports market is subject to volatility based on the timing of large orders, especially orders for professional facilities, which causes net sales as a whole to fluctuate year to year. The mid-sized and smaller facilities experience more consistency in growth rates due to the greater number of facilities. As a whole, the number of new construction and major renovations for professional facilities in fiscal year 2005 was down as compared to 2004, but is expected to increase slightly in fiscal year 2006. In addition, we had expected a greater rate of growth on transactions supported by our sports marketing division, which grew at a lower rate then expected. These two factors, plus the general risk of timing of orders led to the overall lower than expected growth rate. The growth in the mid-sized and smaller facilities is the result of factors similar to prior years, including the expanding market, with smaller facilities spending more on larger, more complicated display systems, our product and services offering, which remains the most integrated and comprehensive offering in the industry, and our network of sales and service offices, which are important to support our customers. We believe that the effects of the economy have a lesser impact on the sports market as compared to our other markets because our products are generally revenue-generation tools (through advertising) for facilities and the sports business in general is a recession-resistant business.</w:t>
      </w:r>
    </w:p>
    <w:p>
      <w:pPr>
        <w:spacing w:after="0" w:line="16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Orders (as opposed to net sales) in the sports market performed much better in fiscal year 2005 as compared to 2004. This improved performance is due to the same reasons indicated for the increase in net sales in the sports market. The growth in orders was in the same niches as net sales. On an international basis, orders declined in fiscal year 2005 from fiscal year 2004 which we attribute to its inherent volatility.</w:t>
      </w:r>
    </w:p>
    <w:p>
      <w:pPr>
        <w:spacing w:after="0" w:line="16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increase in net sales in the commercial market for fiscal year 2005 as compared to fiscal year 2004 exceeded 45% on a worldwide basis, with much of the increase coming from growth domestically. The commercial market grew on an international basis as well, with net sales up over 25% in fiscal year 2005 as compared to 2004. The growth includes better performance in custom contracts and standard products. This improved performance continued due to the benefit of an expanding line of products, a growing distribution network and growth in product acceptance, as commercial establishments better understand the advantages of electronic displays as an advertising media. These positive factors are partially offset by the constraints that exist in the marketplace related to obtaining permits to install outdoor electronic displays. In addition, we are seeing more interest in the commercial market for custom video systems, as prices on video displays have been declining and have become more affordable, expanding the market for their use. Growth in the commercial market depends on the state of the economy, which was not affected in fiscal year 2005 as compared to 2004. The increase in orders for the year in this market was due to the same factors affecting net sales.</w:t>
      </w:r>
    </w:p>
    <w:p>
      <w:pPr>
        <w:spacing w:after="0" w:line="17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believe that the commercial market will continue to see growth in the future. We also believe that sales in the commercial market are expected to continue expanding at rates faster than in other markets. Finally, we believe that national account business could lead to faster growth rates depending on our success in booking orders in this niche.</w:t>
      </w:r>
    </w:p>
    <w:p>
      <w:pPr>
        <w:sectPr>
          <w:pgSz w:w="11900" w:h="16843" w:orient="portrait"/>
          <w:cols w:equalWidth="0" w:num="1">
            <w:col w:w="11420"/>
          </w:cols>
          <w:pgMar w:left="240" w:top="131" w:right="239" w:bottom="0" w:gutter="0" w:footer="0" w:header="0"/>
        </w:sectPr>
      </w:pPr>
    </w:p>
    <w:bookmarkStart w:id="12" w:name="page13"/>
    <w:bookmarkEnd w:id="12"/>
    <w:p>
      <w:pPr>
        <w:ind w:right="60" w:firstLine="348"/>
        <w:spacing w:after="0" w:line="232" w:lineRule="auto"/>
        <w:rPr>
          <w:sz w:val="20"/>
          <w:szCs w:val="20"/>
          <w:color w:val="auto"/>
        </w:rPr>
      </w:pPr>
      <w:r>
        <w:rPr>
          <w:rFonts w:ascii="Arial" w:cs="Arial" w:eastAsia="Arial" w:hAnsi="Arial"/>
          <w:sz w:val="18"/>
          <w:szCs w:val="18"/>
          <w:color w:val="auto"/>
        </w:rPr>
        <w:t>The 6% decrease in net sales in the transportation market in fiscal year 2005 as compared to fiscal year 2004 is due primarily to a decline in business in the aviation niche of this market, which we attribute to the state of the airline industry. Net sales of our standard Vanguard</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product line increased in fiscal year 2005 as compared to fiscal year 2004. The increase in our core transportation segment, primarily Vanguard displays, was due to growing product acceptance and importance in managing traffic and informing motorists. In addition, orders, excluding the aviation niche, were up almost 10% in fiscal year 2005 as compared to fiscal year 2004.</w:t>
      </w:r>
    </w:p>
    <w:p>
      <w:pPr>
        <w:spacing w:after="0" w:line="214" w:lineRule="exact"/>
        <w:rPr>
          <w:sz w:val="20"/>
          <w:szCs w:val="20"/>
          <w:color w:val="auto"/>
        </w:rPr>
      </w:pPr>
    </w:p>
    <w:p>
      <w:pPr>
        <w:ind w:right="480" w:firstLine="341"/>
        <w:spacing w:after="0" w:line="332" w:lineRule="auto"/>
        <w:rPr>
          <w:sz w:val="20"/>
          <w:szCs w:val="20"/>
          <w:color w:val="auto"/>
        </w:rPr>
      </w:pPr>
      <w:r>
        <w:rPr>
          <w:rFonts w:ascii="Arial" w:cs="Arial" w:eastAsia="Arial" w:hAnsi="Arial"/>
          <w:sz w:val="16"/>
          <w:szCs w:val="16"/>
          <w:color w:val="auto"/>
        </w:rPr>
        <w:t>As a result of current legislation in Congress related to federal spending on transportation, we are optimistic that the government will fund increases in spending within the intelligent transportation segment of the transportation market, which would benefit us by providing funds to purchase our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Net sales increased 18.1% to $209.9 million for fiscal year 2004 as compared to $177.8 million for fiscal year 2003. Net sales in all three of our markets increased in fiscal year 2004 over fiscal year 2003. The increase in sports markets was across all components, from smaller institutions, such as high schools and recreation centers, to professional sports facilities. The most significant area of growth was in the professional sports facilities as a result of a number of large contracts signed during fiscal year 2004 and in the prior fiscal year. We believe that sales in the sports market increased in fiscal year 2004 due primarily to an expanding market as our products have become more affordable; the number of and quality of additional services we offered to customers, such as sports marketing services; and our overall product offerings, which we believe are the most complete and integrated systems in the marketplace. In addition, we benefited from our network of sales and service offices located throughout the United States and Canada and, beginning in fiscal year 2004, in Europe, giving us the ability to serve our customers more effectively. Finally, during the second half of fiscal year 2003, there were significant changes in the mix of competitors seeking business in the United States sports market, while at the same time, we aggressively pursued business outside of North America.</w:t>
      </w:r>
    </w:p>
    <w:p>
      <w:pPr>
        <w:spacing w:after="0" w:line="17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Orders in the sports markets were also up during fiscal year 2004 as compared to fiscal year 2003 in all areas. Most of the increase in order bookings was concentrated in the professional sports facilities and the smaller sports facilities for substantially similar reasons as described above.</w:t>
      </w:r>
    </w:p>
    <w:p>
      <w:pPr>
        <w:spacing w:after="0" w:line="139"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increase in net sales for the commercial market was the result of the factors indicated for growth in fiscal year 2005. In addition, we focused on sales to national accounts, primarily retail organizations and billboard companies, with greater success beginning in fiscal year 2004. During the year, sales to this area of the market increased significantly due to increased sales to a limited number of national accounts.</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increase in sales in the transportation market was due to a number of factors, including the overall product offerings and our efforts in previous years to grow and develop our relationships with customers, including departments of transportation and transportation system integrators, resulting in repeat sales.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backlog at the end of fiscal year 2005 was approximately $73 million as compared to approximately $54 million at the end of fiscal year 2004. The growth in the backlog as a percent of fiscal year 2004 backlog was the highest in the commercial market due to increased volume and the effects of a few larger orders booked in the fourth quarter of fiscal year 2005. Backlog also increased over fiscal year 2004 in the sports and transportation markets. Overall, the increase was the result of the record quarter we experienced in order bookings as compared to previous quarters. Backlog varies significantly quarter to quarter due to the effects of large orders, and significant variations can be expected as explained previously herein. In addition, our backlog is not necessarily indicative of future sales or net income, also as explained previously.</w:t>
      </w:r>
    </w:p>
    <w:p>
      <w:pPr>
        <w:spacing w:after="0" w:line="17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occasionally sell products in exchange for advertising revenues from the scoreboard or display. These revenues represented less than 10% of net sales for each of fiscal years 2005, 2004 and 2003. The gross profit margin on these net sales has historically been comparable to or higher than the gross profit margin on other net sales of similar sized installations.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Gross profit increased 1.0% from $72.5 million in fiscal year 2004 to $73.2 million in fiscal year 2005. As a percent of net sales, gross profit decreased from 34.5% in fiscal year 2004 to 31.8% in fiscal year 2005. The increase in gross margin dollars was due to the higher level of net sales discussed above, offset by a decline in the gross profit percentage. The decrease in the percentage was due to a number of factors, including a much more competitive environment, especially in the second half of fiscal year 2005 as compared to fiscal year 2004; much less contribution derived from lower raw materials costs, as we did not experience the level of price declines in fiscal year 2005 as compared to fiscal year 2004; higher freight costs, lower absorption of overhead costs, as we planned for greater sales which did not occur due to order delays; the decline in on-site favorable variances; and various other factors.</w:t>
      </w:r>
    </w:p>
    <w:p>
      <w:pPr>
        <w:spacing w:after="0" w:line="17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continue to strive towards higher gross margins as a percent of net sales, although depending on the competitive environment, the actual mix and level of future sales and other factors as described elsewhere, margin percentages may not increase and could decrease from the level of fiscal year 2005.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Gross profit increased by 22.6% from $59.1 million in fiscal year 2003 to $72.5 million in fiscal year 2004. As a percent of net sales, gross profit increased from 33.3% in fiscal year 2003 to 34.5% in fiscal year 2004. The increase in gross margin dollars was due to the higher level of net sales discussed above and an improvement in the gross profit as a percent of net sales. The increase in the gross profit margins as a percent of net sales was due to a number of factors, including lower raw materials costs; the benefits of signing orders in advance of raw material price declines that were not foreseen at the time of booking the orders; improvements in on-site project costs as compared to estimates; improvements in the expected margin at contract signing; improved overhead absorption in manufacturing; and an improved mix between higher margin standard products and large contracts. These improvements were offset by higher freight costs due to the growth in standard product orders and inventory losses due to more conservative inventory management and obsolescence.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which are comprised of selling, general and administrative and product design and development costs, increased by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19.7% from $44.9 million in fiscal year 2004 to approximately $53.8 million in fiscal year 2005. The changes in the various components of operating expenses are explained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180" w:firstLine="351"/>
        <w:spacing w:after="0" w:line="323" w:lineRule="auto"/>
        <w:rPr>
          <w:sz w:val="20"/>
          <w:szCs w:val="20"/>
          <w:color w:val="auto"/>
        </w:rPr>
      </w:pPr>
      <w:r>
        <w:rPr>
          <w:rFonts w:ascii="Arial" w:cs="Arial" w:eastAsia="Arial" w:hAnsi="Arial"/>
          <w:sz w:val="16"/>
          <w:szCs w:val="16"/>
          <w:color w:val="auto"/>
        </w:rPr>
        <w:t>For fiscal year 2004, operating expenses increased by approximately 14.3% from $39.3 million in fiscal year 2003 to approximately $44.9 million in fiscal year 2004. For fiscal year 2003, all components of operating expenses were affected as a result of the year containing 53 weeks as opposed to the 52 weeks</w:t>
      </w:r>
    </w:p>
    <w:p>
      <w:pPr>
        <w:sectPr>
          <w:pgSz w:w="11900" w:h="16838" w:orient="portrait"/>
          <w:cols w:equalWidth="0" w:num="1">
            <w:col w:w="11420"/>
          </w:cols>
          <w:pgMar w:left="240" w:top="131" w:right="239" w:bottom="0" w:gutter="0" w:footer="0" w:header="0"/>
        </w:sectPr>
      </w:pPr>
    </w:p>
    <w:bookmarkStart w:id="13" w:name="page14"/>
    <w:bookmarkEnd w:id="13"/>
    <w:p>
      <w:pPr>
        <w:ind w:right="180"/>
        <w:spacing w:after="0" w:line="268" w:lineRule="auto"/>
        <w:rPr>
          <w:sz w:val="20"/>
          <w:szCs w:val="20"/>
          <w:color w:val="auto"/>
        </w:rPr>
      </w:pPr>
      <w:r>
        <w:rPr>
          <w:rFonts w:ascii="Arial" w:cs="Arial" w:eastAsia="Arial" w:hAnsi="Arial"/>
          <w:sz w:val="18"/>
          <w:szCs w:val="18"/>
          <w:color w:val="auto"/>
        </w:rPr>
        <w:t>included in fiscal year 2004. In addition, during the fiscal year ended May 1, 2004, we incurred higher profit sharing plan contributions than in fiscal year 2003, which affected all areas.</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consist </w:t>
      </w:r>
      <w:r>
        <w:rPr>
          <w:rFonts w:ascii="Arial" w:cs="Arial" w:eastAsia="Arial" w:hAnsi="Arial"/>
          <w:sz w:val="16"/>
          <w:szCs w:val="16"/>
          <w:color w:val="auto"/>
        </w:rPr>
        <w:t>primarily of salaries, other employee-related costs, travel and entertainment expenses, facilities-related costs for sales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and expenditures for marketing efforts, including the costs of collateral materials, conventions and trade shows, product demos and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Selling expenses increased 20.3% to $32.8 million for fiscal year 2005 as compared to $27.3 million in fiscal year 2004. As a percentage of net sales, selling expenses were 14.3% and 13.0% of net sales in fiscal years 2005 and 2004, respectively. The increase in selling expense, both in terms of dollars and as a percent of net sales, resulted from higher levels of personnel costs, travel and entertainment expenses, depreciation, commissions on sales, and other costs associated with a higher number of employees. The increase in the number of employees was planned and corresponded to the growth in order bookings during the fiscal year, which was up over 15% in fiscal year 2005 as compared to fiscal year 2004. The planned increase in the number of employees was also due to hiring additional personnel to support various investments made into growing areas, such as sports marketing, narrowcasting, international operations, the increased number of domestic sales and service offices, and the two smaller acquisitions during fiscal year 2005. The increase in travel and entertainment expense is due to having more employees in fiscal year 2005, in addition to some one-time marketing events we sponsored and the increased investment in the international market. Higher depreciation costs are primarily due to the increased investment in demonstration products. Higher commissions resulted from the higher level of sales. These increases were offset by lower employee benefit costs. We expect that although we will continue to invest in organic growth because we believe the risk to be less than that incurred with acquisitions, selling expense is expected to decline in the first quarter of fiscal year 2006 as compared to the fourth quarter of fiscal year 2005. This expectation could change based on how much investment ultimately is required in current initiatives underway, including our development of a presence in China and various other locations ProTour™ video displays associated with narrowcasting and other items.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firstLine="351"/>
        <w:spacing w:after="0" w:line="292" w:lineRule="auto"/>
        <w:rPr>
          <w:sz w:val="20"/>
          <w:szCs w:val="20"/>
          <w:color w:val="auto"/>
        </w:rPr>
      </w:pPr>
      <w:r>
        <w:rPr>
          <w:rFonts w:ascii="Arial" w:cs="Arial" w:eastAsia="Arial" w:hAnsi="Arial"/>
          <w:sz w:val="16"/>
          <w:szCs w:val="16"/>
          <w:color w:val="auto"/>
        </w:rPr>
        <w:t>Selling expenses increased 9.4% to $27.3 million for fiscal year 2004 compared to $25.0 million in fiscal year 2003. As a percentage of net sales, selling expenses were 13.0% and 14.0% of net sales in fiscal years 2004 and 2003, respectively. The increase in selling expense dollars resulted from higher levels of personnel and related infrastructure, higher travel and entertainment costs related to international business and regional support initiatives, greater depreciation costs related to demonstration equipment and higher marketing and sales literature costs focused primarily on the larger sports venues as that market became more competitive. These increases were offset by lower bad debt expense and lower write-downs of demonstration equipment, as explained below.</w:t>
      </w:r>
    </w:p>
    <w:p>
      <w:pPr>
        <w:spacing w:after="0" w:line="17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consist primarily of salaries, other employee-related costs, professional fees, shareholder relations costs, facilities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related costs for administrative departments, training costs, amortization of intangibles, and the costs of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General and administrative costs increased approximately 9.7% to $10.4 million in fiscal year 2005 compared to $9.5 million for fiscal year 2004. As a percent of net sales, general and administrative expenses were 4.5% for both fiscal years 2005 and 2004. The increase was due to higher costs of personnel and related infrastructure to support our growth; higher professional fees in large part due to the costs of the research and development tax analysis discussed below; higher training costs, as we placed more emphasis on training, especially new employees; higher information systems costs and the costs related to the implementation of Section 404 of the Sarbanes-Oxley Act of 2002. We expect that for fiscal year 2006, general and administrative expenses will decline as a percent of sales but will increase in total dollars. This could change based on the level of investment required for continued compliance with Section 404 of the Sarbanes-Oxley Act of 2002 and the extent of costs associated with international expansion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General and administrative costs increased approximately 28.1% to $9.5 million in fiscal year 2004 compared to $7.4 million for fiscal year 2003. As a percent of sales, general and administrative expenses were 4.5% and 4.2% of net sales for fiscal year 2004 and 2003, respectively. The increase was due to higher costs of personnel and related infrastructure to support our growth; higher professional fees associated with international expansion and sales, patent and other intellectual property matters; implementation of portions of the Sarbanes-Oxley Act of 2002; higher employee relations costs; higher costs of information systems infrastructure; more charitable contributions, and increased insurance rates related to growth. These costs were partially offset by a decline in shareholder relations costs.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Product design and development expenses </w:t>
      </w:r>
      <w:r>
        <w:rPr>
          <w:rFonts w:ascii="Arial" w:cs="Arial" w:eastAsia="Arial" w:hAnsi="Arial"/>
          <w:sz w:val="15"/>
          <w:szCs w:val="15"/>
          <w:color w:val="auto"/>
        </w:rPr>
        <w:t>consist primarily of salaries, other employee-related costs, and facilities and equipment-related costs and supplies.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20" w:firstLine="351"/>
        <w:spacing w:after="0" w:line="281" w:lineRule="auto"/>
        <w:rPr>
          <w:sz w:val="20"/>
          <w:szCs w:val="20"/>
          <w:color w:val="auto"/>
        </w:rPr>
      </w:pPr>
      <w:r>
        <w:rPr>
          <w:rFonts w:ascii="Arial" w:cs="Arial" w:eastAsia="Arial" w:hAnsi="Arial"/>
          <w:sz w:val="16"/>
          <w:szCs w:val="16"/>
          <w:color w:val="auto"/>
        </w:rPr>
        <w:t>Product development expenses increased approximately 29.2% to $10.5 million in fiscal year 2005 compared to $8.1 million in fiscal year 2004. As a percent of sales, product development expenses were 4.6% and 3.9% of net sales for fiscal years 2005 and 2004, respectively. Product development activities increased in all four of our product families during fiscal 2005. The most significant investment we made during fiscal year 2005 was the development of our new</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ProTour</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product line as described elsewhere in this report. The development costs were greater than we expected and are the primary factor in causing product development expenses to exceed our target of 4% of net sales. This development included two product releases and tooling and related components that were</w:t>
      </w:r>
    </w:p>
    <w:p>
      <w:pPr>
        <w:spacing w:after="0" w:line="2" w:lineRule="exact"/>
        <w:rPr>
          <w:sz w:val="20"/>
          <w:szCs w:val="20"/>
          <w:color w:val="auto"/>
        </w:rPr>
      </w:pPr>
    </w:p>
    <w:p>
      <w:pPr>
        <w:ind w:right="480"/>
        <w:spacing w:after="0" w:line="233" w:lineRule="auto"/>
        <w:rPr>
          <w:sz w:val="20"/>
          <w:szCs w:val="20"/>
          <w:color w:val="auto"/>
        </w:rPr>
      </w:pPr>
      <w:r>
        <w:rPr>
          <w:rFonts w:ascii="Arial" w:cs="Arial" w:eastAsia="Arial" w:hAnsi="Arial"/>
          <w:sz w:val="18"/>
          <w:szCs w:val="18"/>
          <w:color w:val="auto"/>
        </w:rPr>
        <w:t>duplicative costs as we improved our design. During fiscal year 2005, we introduced a number of other new products, in addition to our ProTour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line, including enhanced and new controllers, improvements in our sports software and standard displays across all product development groups, and our newest generation of our ProStar</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technology.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60" w:firstLine="351"/>
        <w:spacing w:after="0" w:line="300" w:lineRule="auto"/>
        <w:rPr>
          <w:sz w:val="20"/>
          <w:szCs w:val="20"/>
          <w:color w:val="auto"/>
        </w:rPr>
      </w:pPr>
      <w:r>
        <w:rPr>
          <w:rFonts w:ascii="Arial" w:cs="Arial" w:eastAsia="Arial" w:hAnsi="Arial"/>
          <w:sz w:val="15"/>
          <w:szCs w:val="15"/>
          <w:color w:val="auto"/>
        </w:rPr>
        <w:t>Product development expenses increased approximately 17.5% to $8.1 million in fiscal year 2004 compared to $6.9 million in fiscal year 2003. As a percent of sales, product development expenses were 3.9% of net sales for both fiscal years 2004 and 2003. Product development activities increased in all four of our product families during fiscal 2004 and generally focused in the same areas as in fiscal year 2003 as we enhanced and expanded our product offerings. The transportation products area contained the greatest percentage growth increase, followed by business products. During fiscal year 2004, we introduced a number</w:t>
      </w:r>
    </w:p>
    <w:p>
      <w:pPr>
        <w:spacing w:after="0" w:line="2" w:lineRule="exact"/>
        <w:rPr>
          <w:sz w:val="20"/>
          <w:szCs w:val="20"/>
          <w:color w:val="auto"/>
        </w:rPr>
      </w:pPr>
    </w:p>
    <w:p>
      <w:pPr>
        <w:ind w:right="320"/>
        <w:spacing w:after="0" w:line="209" w:lineRule="auto"/>
        <w:rPr>
          <w:sz w:val="20"/>
          <w:szCs w:val="20"/>
          <w:color w:val="auto"/>
        </w:rPr>
      </w:pPr>
      <w:r>
        <w:rPr>
          <w:rFonts w:ascii="Arial" w:cs="Arial" w:eastAsia="Arial" w:hAnsi="Arial"/>
          <w:sz w:val="18"/>
          <w:szCs w:val="18"/>
          <w:color w:val="auto"/>
        </w:rPr>
        <w:t>of new products including the Galaxy® 3200 series displays, the V-Net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narrowcasting solution, and the three millimeter ProStar® series, which resulted in increased product development expenditures. We also improved its controllers, displays and software solutions.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We occasionally sell products on an installment basis, under lease arrangements or in exchange for the rights to sell and retain advertising revenues from displays, which result in long-term receivables. We also invest excess cash in marketable securities and temporary cash investments that generate interest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income increased 43.3% to $1.5 million for fiscal year 2005 as compared to $1.0 million for fiscal year 2004. Interest income was approximately</w:t>
      </w:r>
    </w:p>
    <w:p>
      <w:pPr>
        <w:sectPr>
          <w:pgSz w:w="11900" w:h="16838" w:orient="portrait"/>
          <w:cols w:equalWidth="0" w:num="1">
            <w:col w:w="11420"/>
          </w:cols>
          <w:pgMar w:left="240" w:top="131" w:right="239" w:bottom="0" w:gutter="0" w:footer="0" w:header="0"/>
        </w:sectPr>
      </w:pPr>
    </w:p>
    <w:bookmarkStart w:id="14" w:name="page15"/>
    <w:bookmarkEnd w:id="14"/>
    <w:p>
      <w:pPr>
        <w:ind w:right="760"/>
        <w:spacing w:after="0" w:line="268" w:lineRule="auto"/>
        <w:rPr>
          <w:sz w:val="20"/>
          <w:szCs w:val="20"/>
          <w:color w:val="auto"/>
        </w:rPr>
      </w:pPr>
      <w:r>
        <w:rPr>
          <w:rFonts w:ascii="Arial" w:cs="Arial" w:eastAsia="Arial" w:hAnsi="Arial"/>
          <w:sz w:val="18"/>
          <w:szCs w:val="18"/>
          <w:color w:val="auto"/>
        </w:rPr>
        <w:t>0.7% and 0.5% of net sales for fiscal years 2005 and 2004, respectively. The increase was attributable to the growth of temporary cash investments and marketable securities as a result of the increased cash flow during the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80" w:firstLine="351"/>
        <w:spacing w:after="0" w:line="331" w:lineRule="auto"/>
        <w:rPr>
          <w:sz w:val="20"/>
          <w:szCs w:val="20"/>
          <w:color w:val="auto"/>
        </w:rPr>
      </w:pPr>
      <w:r>
        <w:rPr>
          <w:rFonts w:ascii="Arial" w:cs="Arial" w:eastAsia="Arial" w:hAnsi="Arial"/>
          <w:sz w:val="15"/>
          <w:szCs w:val="15"/>
          <w:color w:val="auto"/>
        </w:rPr>
        <w:t>Interest income increased 46.1% to $1.0 million for fiscal year 2004 as compared to $0.7 million for fiscal year 2003. Interest income was approximately 0.5% and 0.4% of net sales for fiscal years 2004 and 2003, respectively. The increase was attributable to the growth in long-term receivables related to financing customer transactions and the growth of temporary cash investments and marketable securities created as a result of the increased cash flow during the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is comprised primarily of interest cost on our notes payable and other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680" w:firstLine="351"/>
        <w:spacing w:after="0" w:line="261" w:lineRule="auto"/>
        <w:rPr>
          <w:sz w:val="20"/>
          <w:szCs w:val="20"/>
          <w:color w:val="auto"/>
        </w:rPr>
      </w:pPr>
      <w:r>
        <w:rPr>
          <w:rFonts w:ascii="Arial" w:cs="Arial" w:eastAsia="Arial" w:hAnsi="Arial"/>
          <w:sz w:val="18"/>
          <w:szCs w:val="18"/>
          <w:color w:val="auto"/>
        </w:rPr>
        <w:t>Interest expense decreased 55.9% to $0.2 million as compared to $0.5 million in fiscal year 2004. The decline was the result of lower levels of debt outstanding during the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140" w:firstLine="351"/>
        <w:spacing w:after="0" w:line="261" w:lineRule="auto"/>
        <w:rPr>
          <w:sz w:val="20"/>
          <w:szCs w:val="20"/>
          <w:color w:val="auto"/>
        </w:rPr>
      </w:pPr>
      <w:r>
        <w:rPr>
          <w:rFonts w:ascii="Arial" w:cs="Arial" w:eastAsia="Arial" w:hAnsi="Arial"/>
          <w:sz w:val="18"/>
          <w:szCs w:val="18"/>
          <w:color w:val="auto"/>
        </w:rPr>
        <w:t>Interest expense decreased 46.7% to $0.5 million as compared to $0.9 million in fiscal year 2003. The decline was the result of lower overall levels of debt outstanding under term loans during fiscal year 2004.</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Income taxes decreased 47.0% to $5.8 million in fiscal year 2005 as compared to $10.9 million in fiscal year 2004. This decrease was principally due to lower pre-tax income and the benefits associated with research and development tax credits. During fiscal year 2005, we reviewed our prior years’ claims for research and development tax credits and concluded that additional research and development expenses qualified for the credit. As a result, we amended our returns for fiscal years 2001 though 2004, realizing additional research and development tax credits in excess of $2 million. Included in general and administrative costs were professional fees of approximately $0.5 million associated with this effort. The effective rate of 27.0% for fiscal year 2005 compares to 38.1% in fiscal year 2004. The change in the effective rate is primarily due to the benefit of this credit related to prior years. We expect that the effective rate will increase in fiscal year 2006 to a range of 37% to 38%, depending on the effects of recent repeal of the extraterritorial tax deduction, discussed below, and the effect of state income taxes, which vary from year to year based on the location of larger projects.</w:t>
      </w:r>
    </w:p>
    <w:p>
      <w:pPr>
        <w:spacing w:after="0" w:line="17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Over the course of the last three years, the World Trade Organization (“WTO”) has ruled that the provisions contained in the FSC Repeal and Extraterritorial Income Exclusion Act of 2000 (“ETI”) are prohibited export subsidies under the rules of the WTO. Federal legislation was recently signed into law that repealed ETI in the future in favor of a deduction relating to income attributable to domestic production activities. We have not yet fully evaluated the provisions of this new legislation; however, the ETI is being phased out over time beginning in calendar year 2005, when the ETI benefits get reduced to 80%. The new provisions will allow a deduction that could reduce taxable income by 9.0%, or 9.0% of qualified production activities income, whichever is less. The full benefit of this provision will not be achieved until 2010. The effects on future years are being evaluated.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2004 as compared to Fiscal Year 2003</w:t>
      </w:r>
    </w:p>
    <w:p>
      <w:pPr>
        <w:spacing w:after="0" w:line="1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Income taxes increased 34.5% to $10.9 million in fiscal year 2004 as compared to $8.1 million in fiscal year 2003. This increase was principally due to the higher net income on a pre-tax basis. The effective rate of 38.1% for fiscal year 2004 compares to 39.4% in fiscal year 2003. The change in the effective rate is primarily due to the level of international sales, which generate a tax deduction, as well as lower anticipated state income taxes due to the mix of business by state.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Working capital was $62.3 million at April 30, 2005 as compared to $51.7 million at May 1, 2004.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Cash provided by operations for fiscal year 2005 was $22.4 million. Net income of $15.7 million plus depreciation and amortization of approximately $7.4 million and increases in accounts payable, accrued expenses and customer deposits and decreases in accounts receivable were offset by increases in long-term receivables, inventories and income taxes receivable.</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7"/>
          <w:szCs w:val="17"/>
          <w:color w:val="auto"/>
        </w:rPr>
        <w:t>Cash used by investing activities consisted of $13.5 million used to purchase property and equipment. During fiscal year 2005, we invested approximately $1.8 million in equipment to be used as demonstration equipment, primarily related to new product introductions, including our new ProTour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video display and related components, updated versions of our ProStar® video display, and trailer-mounted versions of our standard Galaxy product line; approximately $3.4 million in new facilities, including $1.4 million expansion of our manufacturing facilities in Brookings, South Dakota and $1.6 million in office space and production facilities in Clearwater, Florida; approximately $2.7 million in manufacturing equipment, consisting of tooling for new product lines, electronic assembly equipment and various other items; approximately $2.1 million on information systems hardware and software; approximately $0.8 million in office furnishings and equipment; and approximately $2.7 million in various other items. These purchases were made to support our continued growth and to replace obsolete equipment. Finally, during fiscal year 2005, we invested approximately $4.1 million in marketable securities, primarily long-term, tax-exempt, auction-rate securities.</w:t>
      </w:r>
    </w:p>
    <w:p>
      <w:pPr>
        <w:spacing w:after="0" w:line="198" w:lineRule="exact"/>
        <w:rPr>
          <w:sz w:val="20"/>
          <w:szCs w:val="20"/>
          <w:color w:val="auto"/>
        </w:rPr>
      </w:pPr>
    </w:p>
    <w:p>
      <w:pPr>
        <w:jc w:val="center"/>
        <w:ind w:right="120"/>
        <w:spacing w:after="0" w:line="332" w:lineRule="auto"/>
        <w:rPr>
          <w:sz w:val="20"/>
          <w:szCs w:val="20"/>
          <w:color w:val="auto"/>
        </w:rPr>
      </w:pPr>
      <w:r>
        <w:rPr>
          <w:rFonts w:ascii="Arial" w:cs="Arial" w:eastAsia="Arial" w:hAnsi="Arial"/>
          <w:sz w:val="16"/>
          <w:szCs w:val="16"/>
          <w:color w:val="auto"/>
        </w:rPr>
        <w:t>During the third quarter of fiscal year 2005, we made two acquisitions costing us approximately $1.0 million in cash for the operating assets of Dodge Electronics, Inc. and 100% of the outstanding stock of European Timing Systems, Ltd. Included in the acquisitions was approximately $1.1 million of goodwill.</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used by financing activities included approximately $1.4 million, net, used to pay down our long-term debt and $0.2 million in payments on our notes payable offset by approximately $0.8 million in proceeds from the exercise of stock options.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Included in receivables as of April 30, 2005 was approximately $0.8 million of retainage on long-term contracts, all of which is expected to be collected in one year.</w:t>
      </w:r>
    </w:p>
    <w:p>
      <w:pPr>
        <w:sectPr>
          <w:pgSz w:w="11900" w:h="16838" w:orient="portrait"/>
          <w:cols w:equalWidth="0" w:num="1">
            <w:col w:w="11380"/>
          </w:cols>
          <w:pgMar w:left="240" w:top="131" w:right="279" w:bottom="68" w:gutter="0" w:footer="0" w:header="0"/>
        </w:sectPr>
      </w:pPr>
    </w:p>
    <w:bookmarkStart w:id="15" w:name="page16"/>
    <w:bookmarkEnd w:id="15"/>
    <w:p>
      <w:pPr>
        <w:spacing w:after="0" w:line="9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have used and expect to continue to use cash reserves and, to a lesser extent, as necessary, bank borrowings to meet our short-term working capital requirements. On large product orders, the time between order acceptance and project completion may extend up to and exceed 18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development expenses for fiscal years 2005, 2004 and 2003 were $10.5 million, $8.1 million, and $6.9 million, respectively. We intend to continue to incur these expenditures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We have a credit agreement with a bank which provides for a $20 million line of credit and which includes up to $5.0 million for standby letters of credit. The line of credit is due on October 1, 2005. The interest rate on the line of credit is equal to LIBOR plus 1.55% (2.65% at April 30, 2005). As of April 30, 2005, no advances under the line of credit were outstanding. The credit agreement is unsecured and requires us to comply with certain covenants, including the maintenance of tangible net worth of at least $40 million, a minimum liquidity ratio, a limit on dividends and distributions, and a minimum adjusted fixed charge coverage ratio. Daktronics Canada, Inc. has a credit agreement with a bank which provides for a $0.2 million line of credit. The line of credit is due on July 31, 2005. The interest rate on the line of credit is equal to 1.0% above the prime rate of interest (4.25% at April 30, 2005). As of April 30, 2005, $0.1 million had been drawn under the line. The line of credit is secured primarily by accounts receivables, inventory and other assets of the subsidiary.</w:t>
      </w:r>
    </w:p>
    <w:p>
      <w:pPr>
        <w:spacing w:after="0" w:line="172"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are sometimes required to obtain performance bonds for display installations. We currently have a bonding line available through a surety company that provides for an aggregate of $100 million in bonded work outstanding. At April 30, 2005, we had $15.2 million of bonded work outstanding against this line.</w:t>
      </w:r>
    </w:p>
    <w:p>
      <w:pPr>
        <w:spacing w:after="0" w:line="13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believe that if our growth extends beyond current expectations or if we make any strategic investments, we may need to increase the amount of our credit facility.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enter into various debt, lease, purchase and marketing obigations that require payments in future periods. Debt obligations represent primarily bank loans. Lease obligations relate primarily of leased office space. Marketing obligations relate to payment due in future periods for payments due for those sales where we sold and installed our equipment in exhange for future advertising revenue. When certain advertising revenues are met, the excess cash is owed back to the customer. Contractual cash obligations represent future payments for inventory and advertising rights purchase commitments.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2005, our debt, lease and purchase obligations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3"/>
              </w:rPr>
              <w:t>Less than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After 5</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year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4-5 Years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110"/>
        </w:trPr>
        <w:tc>
          <w:tcPr>
            <w:tcW w:w="2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Long term debt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1,080</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860" w:type="dxa"/>
            <w:vAlign w:val="bottom"/>
          </w:tcPr>
          <w:p>
            <w:pPr>
              <w:ind w:left="60"/>
              <w:spacing w:after="0"/>
              <w:rPr>
                <w:sz w:val="20"/>
                <w:szCs w:val="20"/>
                <w:color w:val="auto"/>
              </w:rPr>
            </w:pPr>
            <w:r>
              <w:rPr>
                <w:rFonts w:ascii="Arial" w:cs="Arial" w:eastAsia="Arial" w:hAnsi="Arial"/>
                <w:sz w:val="18"/>
                <w:szCs w:val="18"/>
                <w:color w:val="auto"/>
              </w:rPr>
              <w:t>Long term marketing obligations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86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60"/>
              <w:spacing w:after="0"/>
              <w:rPr>
                <w:sz w:val="20"/>
                <w:szCs w:val="20"/>
                <w:color w:val="auto"/>
              </w:rPr>
            </w:pPr>
            <w:r>
              <w:rPr>
                <w:rFonts w:ascii="Arial" w:cs="Arial" w:eastAsia="Arial" w:hAnsi="Arial"/>
                <w:sz w:val="18"/>
                <w:szCs w:val="18"/>
                <w:color w:val="auto"/>
                <w:w w:val="99"/>
              </w:rPr>
              <w:t>Unconditional purchase obligations</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60" w:type="dxa"/>
            <w:vAlign w:val="bottom"/>
          </w:tcPr>
          <w:p>
            <w:pPr>
              <w:ind w:left="140"/>
              <w:spacing w:after="0"/>
              <w:rPr>
                <w:sz w:val="20"/>
                <w:szCs w:val="20"/>
                <w:color w:val="auto"/>
              </w:rPr>
            </w:pPr>
            <w:r>
              <w:rPr>
                <w:rFonts w:ascii="Arial" w:cs="Arial" w:eastAsia="Arial" w:hAnsi="Arial"/>
                <w:sz w:val="18"/>
                <w:szCs w:val="18"/>
                <w:color w:val="auto"/>
              </w:rPr>
              <w:t>Contractual cash obligations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860" w:type="dxa"/>
            <w:vAlign w:val="bottom"/>
            <w:vMerge w:val="restart"/>
          </w:tcPr>
          <w:p>
            <w:pPr>
              <w:spacing w:after="0"/>
              <w:rPr>
                <w:sz w:val="20"/>
                <w:szCs w:val="20"/>
                <w:color w:val="auto"/>
              </w:rPr>
            </w:pPr>
            <w:r>
              <w:rPr>
                <w:rFonts w:ascii="Arial" w:cs="Arial" w:eastAsia="Arial" w:hAnsi="Arial"/>
                <w:sz w:val="18"/>
                <w:szCs w:val="18"/>
                <w:color w:val="auto"/>
              </w:rPr>
              <w:t>Other commercial commitments</w:t>
            </w: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60"/>
              <w:spacing w:after="0"/>
              <w:rPr>
                <w:sz w:val="20"/>
                <w:szCs w:val="20"/>
                <w:color w:val="auto"/>
              </w:rPr>
            </w:pPr>
            <w:r>
              <w:rPr>
                <w:rFonts w:ascii="Arial" w:cs="Arial" w:eastAsia="Arial" w:hAnsi="Arial"/>
                <w:sz w:val="18"/>
                <w:szCs w:val="18"/>
                <w:color w:val="auto"/>
              </w:rPr>
              <w:t>Lines of credit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860" w:type="dxa"/>
            <w:vAlign w:val="bottom"/>
          </w:tcPr>
          <w:p>
            <w:pPr>
              <w:ind w:left="60"/>
              <w:spacing w:after="0"/>
              <w:rPr>
                <w:sz w:val="20"/>
                <w:szCs w:val="20"/>
                <w:color w:val="auto"/>
              </w:rPr>
            </w:pPr>
            <w:r>
              <w:rPr>
                <w:rFonts w:ascii="Arial" w:cs="Arial" w:eastAsia="Arial" w:hAnsi="Arial"/>
                <w:sz w:val="18"/>
                <w:szCs w:val="18"/>
                <w:color w:val="auto"/>
              </w:rPr>
              <w:t>Standby letters of credit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60"/>
              <w:spacing w:after="0"/>
              <w:rPr>
                <w:sz w:val="20"/>
                <w:szCs w:val="20"/>
                <w:color w:val="auto"/>
              </w:rPr>
            </w:pPr>
            <w:r>
              <w:rPr>
                <w:rFonts w:ascii="Arial" w:cs="Arial" w:eastAsia="Arial" w:hAnsi="Arial"/>
                <w:sz w:val="18"/>
                <w:szCs w:val="18"/>
                <w:color w:val="auto"/>
              </w:rPr>
              <w:t>Guarantees</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60" w:type="dxa"/>
            <w:vAlign w:val="bottom"/>
          </w:tcPr>
          <w:p>
            <w:pPr>
              <w:spacing w:after="0"/>
              <w:rPr>
                <w:sz w:val="20"/>
                <w:szCs w:val="20"/>
                <w:color w:val="auto"/>
              </w:rPr>
            </w:pPr>
            <w:r>
              <w:rPr>
                <w:rFonts w:ascii="Arial" w:cs="Arial" w:eastAsia="Arial" w:hAnsi="Arial"/>
                <w:sz w:val="18"/>
                <w:szCs w:val="18"/>
                <w:color w:val="auto"/>
              </w:rPr>
              <w:t>Total commercial commitments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 and Uncertainties</w:t>
      </w:r>
    </w:p>
    <w:p>
      <w:pPr>
        <w:spacing w:after="0" w:line="312"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94"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i w:val="1"/>
          <w:iCs w:val="1"/>
          <w:color w:val="auto"/>
        </w:rPr>
        <w:t xml:space="preserve">Competition could result in lower sales and decreased margins. </w:t>
      </w:r>
      <w:r>
        <w:rPr>
          <w:rFonts w:ascii="Arial" w:cs="Arial" w:eastAsia="Arial" w:hAnsi="Arial"/>
          <w:sz w:val="15"/>
          <w:szCs w:val="15"/>
          <w:color w:val="auto"/>
        </w:rPr>
        <w:t>We operate in highly competitive markets that, in certain portions of the business, are highly</w:t>
      </w:r>
      <w:r>
        <w:rPr>
          <w:rFonts w:ascii="Arial" w:cs="Arial" w:eastAsia="Arial" w:hAnsi="Arial"/>
          <w:sz w:val="15"/>
          <w:szCs w:val="15"/>
          <w:i w:val="1"/>
          <w:iCs w:val="1"/>
          <w:color w:val="auto"/>
        </w:rPr>
        <w:t xml:space="preserve"> </w:t>
      </w:r>
      <w:r>
        <w:rPr>
          <w:rFonts w:ascii="Arial" w:cs="Arial" w:eastAsia="Arial" w:hAnsi="Arial"/>
          <w:sz w:val="15"/>
          <w:szCs w:val="15"/>
          <w:color w:val="auto"/>
        </w:rPr>
        <w:t>fragmented. In addition, because a customer’s budget for the purchase of an electronic display is often part of that customer’s advertising budget, our products</w:t>
      </w:r>
    </w:p>
    <w:p>
      <w:pPr>
        <w:sectPr>
          <w:pgSz w:w="11900" w:h="16935" w:orient="portrait"/>
          <w:cols w:equalWidth="0" w:num="1">
            <w:col w:w="11400"/>
          </w:cols>
          <w:pgMar w:left="240" w:top="131" w:right="259" w:bottom="0" w:gutter="0" w:footer="0" w:header="0"/>
        </w:sectPr>
      </w:pPr>
    </w:p>
    <w:bookmarkStart w:id="16" w:name="page17"/>
    <w:bookmarkEnd w:id="16"/>
    <w:p>
      <w:pPr>
        <w:ind w:right="120"/>
        <w:spacing w:after="0" w:line="254" w:lineRule="auto"/>
        <w:rPr>
          <w:sz w:val="20"/>
          <w:szCs w:val="20"/>
          <w:color w:val="auto"/>
        </w:rPr>
      </w:pPr>
      <w:r>
        <w:rPr>
          <w:rFonts w:ascii="Arial" w:cs="Arial" w:eastAsia="Arial" w:hAnsi="Arial"/>
          <w:sz w:val="18"/>
          <w:szCs w:val="18"/>
          <w:color w:val="auto"/>
        </w:rPr>
        <w:t>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products competitively. Our competitors may develop cheaper, more efficient products or may be willing to charge lower prices for strategic marketing or to increase market share. Some competitors have more capital and resources than we do and may be better able to take advantage of acquisition opportunities or adapt more quickly to changes in customer requirements.</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Our business may suffer if we are not successful in our efforts to keep up with a rapidly changing product market. </w:t>
      </w:r>
      <w:r>
        <w:rPr>
          <w:rFonts w:ascii="Arial" w:cs="Arial" w:eastAsia="Arial" w:hAnsi="Arial"/>
          <w:sz w:val="18"/>
          <w:szCs w:val="18"/>
          <w:color w:val="auto"/>
        </w:rPr>
        <w:t>The electronic display industry is</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characterized by ongoing product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innovations and developments.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If our actual costs exceed original estimates on these contracts, our profits will be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contracts we enter into are on a fixed-price basis.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profits.</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our control. Orders normally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provisions which permit the recovery of costs expended and a portion of the anticipated profit in the event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pacing w:after="0" w:line="174"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i w:val="1"/>
          <w:iCs w:val="1"/>
          <w:color w:val="auto"/>
        </w:rPr>
        <w:t xml:space="preserve">Our ability to conduct business outside the United States may be adversely affected by factors outside of our control and, as such, net sales and profits from international sales could be adversely impacted. </w:t>
      </w:r>
      <w:r>
        <w:rPr>
          <w:rFonts w:ascii="Arial" w:cs="Arial" w:eastAsia="Arial" w:hAnsi="Arial"/>
          <w:sz w:val="15"/>
          <w:szCs w:val="15"/>
          <w:color w:val="auto"/>
        </w:rPr>
        <w:t>For fiscal year 2005, revenue outside the United States represented approximately 11% of our consolidated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 In fiscal 2004, approximately 13% of our consolidated net sales were derived from sales outside the United States. Our operations and earnings throughout the world have been, and may in the future be,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5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Our financial performance may vary significantly from quarter to quarter, making it difficult to estimate future revenue. </w:t>
      </w:r>
      <w:r>
        <w:rPr>
          <w:rFonts w:ascii="Arial" w:cs="Arial" w:eastAsia="Arial" w:hAnsi="Arial"/>
          <w:sz w:val="16"/>
          <w:szCs w:val="16"/>
          <w:color w:val="auto"/>
        </w:rPr>
        <w:t>Our quarterly revenues and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have varied in the past and are likely to vary in the future. Contracts we enter into generally stipulate customer-specific delivery terms and may have contract cycles of a year or more, which subjects them to many factors beyond our control. Furthermore, because a significant portion of our operating costs are fixed, an unanticipated delay or cancellation of orders in backlog may have a significant negative impact on our quarterly operating results. Therefore, quarterly operating results may be subject to significant variations, and operating performance in one quarter may not be indicative of future performance.</w:t>
      </w:r>
    </w:p>
    <w:p>
      <w:pPr>
        <w:spacing w:after="0" w:line="170"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Our products are covered by warranties. </w:t>
      </w:r>
      <w:r>
        <w:rPr>
          <w:rFonts w:ascii="Arial" w:cs="Arial" w:eastAsia="Arial" w:hAnsi="Arial"/>
          <w:sz w:val="16"/>
          <w:szCs w:val="16"/>
          <w:color w:val="auto"/>
        </w:rPr>
        <w:t>Unanticipated warranty costs for defective products could adversely affect our financial condition and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reputation</w:t>
      </w:r>
      <w:r>
        <w:rPr>
          <w:rFonts w:ascii="Arial" w:cs="Arial" w:eastAsia="Arial" w:hAnsi="Arial"/>
          <w:sz w:val="16"/>
          <w:szCs w:val="16"/>
          <w:i w:val="1"/>
          <w:iCs w:val="1"/>
          <w:color w:val="auto"/>
        </w:rPr>
        <w:t>.</w:t>
      </w:r>
      <w:r>
        <w:rPr>
          <w:rFonts w:ascii="Arial" w:cs="Arial" w:eastAsia="Arial" w:hAnsi="Arial"/>
          <w:sz w:val="16"/>
          <w:szCs w:val="16"/>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operations.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17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Product liability claims not covered by insurance could adversely affect our financial condition and results of operations. </w:t>
      </w:r>
      <w:r>
        <w:rPr>
          <w:rFonts w:ascii="Arial" w:cs="Arial" w:eastAsia="Arial" w:hAnsi="Arial"/>
          <w:sz w:val="18"/>
          <w:szCs w:val="18"/>
          <w:color w:val="auto"/>
        </w:rPr>
        <w:t>We may be subject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involving claims of personal injury or property damage. 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color w:val="auto"/>
        </w:rPr>
        <w:t xml:space="preserve">Large contracts represent a significant portion of our accounts receivable and costs and estimated earnings in excess of billings. </w:t>
      </w:r>
      <w:r>
        <w:rPr>
          <w:rFonts w:ascii="Arial" w:cs="Arial" w:eastAsia="Arial" w:hAnsi="Arial"/>
          <w:sz w:val="18"/>
          <w:szCs w:val="18"/>
          <w:color w:val="auto"/>
        </w:rPr>
        <w:t>We closely monitor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worthiness of our customers and have not, to date, experienced significant credit losses. Significant portions 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The terms and conditions of our credit facility impose restrictions on our operations, and we may not be able to raise additional capital, if needed. </w:t>
      </w:r>
      <w:r>
        <w:rPr>
          <w:rFonts w:ascii="Arial" w:cs="Arial" w:eastAsia="Arial" w:hAnsi="Arial"/>
          <w:sz w:val="16"/>
          <w:szCs w:val="16"/>
          <w:color w:val="auto"/>
        </w:rPr>
        <w:t>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our $20 million revolving credit facility impose restrictions that limit, among other things, our ability to incur debt, merge, sell assets, make distributions and create or incur liens. The availability of the credit facility is also subject to certain covenants as explained earlier in Item 7 — “Management’s Discussion and Analysis of Financial Condition and Results of Operations”. Our ability to comply with the covenants may be affected by events beyond our control, and we cannot assure that we will achieve operating results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As of April 30, 2005, we were in compliance with all financial and other covenants of its credit facility.</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Our ability to satisfy any debt obligations will depend upon our future operating performance, which will be affected by prevailing economic, financial and business conditions and other factors, some of which are beyond our control. </w:t>
      </w:r>
      <w:r>
        <w:rPr>
          <w:rFonts w:ascii="Arial" w:cs="Arial" w:eastAsia="Arial" w:hAnsi="Arial"/>
          <w:sz w:val="18"/>
          <w:szCs w:val="18"/>
          <w:color w:val="auto"/>
        </w:rPr>
        <w:t>It is anticipated that borrowings from the existing credit facility and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operating activities should provide sufficient funds to finance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ectPr>
          <w:pgSz w:w="11900" w:h="16838" w:orient="portrait"/>
          <w:cols w:equalWidth="0" w:num="1">
            <w:col w:w="11420"/>
          </w:cols>
          <w:pgMar w:left="240" w:top="131" w:right="239" w:bottom="0" w:gutter="0" w:footer="0" w:header="0"/>
        </w:sectPr>
      </w:pPr>
    </w:p>
    <w:bookmarkStart w:id="17" w:name="page18"/>
    <w:bookmarkEnd w:id="17"/>
    <w:p>
      <w:pPr>
        <w:ind w:firstLine="351"/>
        <w:spacing w:after="0" w:line="255"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 disrupt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197"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i w:val="1"/>
          <w:iCs w:val="1"/>
          <w:color w:val="auto"/>
        </w:rPr>
        <w:t xml:space="preserve">Our common stock has at times been thinly traded, which may result in low liquidity and price volatility. </w:t>
      </w:r>
      <w:r>
        <w:rPr>
          <w:rFonts w:ascii="Arial" w:cs="Arial" w:eastAsia="Arial" w:hAnsi="Arial"/>
          <w:sz w:val="16"/>
          <w:szCs w:val="16"/>
          <w:color w:val="auto"/>
        </w:rPr>
        <w:t>The daily trading volume of our common stock has</w:t>
      </w:r>
      <w:r>
        <w:rPr>
          <w:rFonts w:ascii="Arial" w:cs="Arial" w:eastAsia="Arial" w:hAnsi="Arial"/>
          <w:sz w:val="16"/>
          <w:szCs w:val="16"/>
          <w:i w:val="1"/>
          <w:iCs w:val="1"/>
          <w:color w:val="auto"/>
        </w:rPr>
        <w:t xml:space="preserve"> </w:t>
      </w:r>
      <w:r>
        <w:rPr>
          <w:rFonts w:ascii="Arial" w:cs="Arial" w:eastAsia="Arial" w:hAnsi="Arial"/>
          <w:sz w:val="16"/>
          <w:szCs w:val="16"/>
          <w:color w:val="auto"/>
        </w:rPr>
        <w:t>at times been relatively low. If this were to occur in the future, the liquidity and appreciation of our common stock may not meet shareholders’ expectations, and the prices at which it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We may fail to continue to attract, develop and retain key management and other key employees, including technical engineering talent, which could negatively impact our operating results. </w:t>
      </w:r>
      <w:r>
        <w:rPr>
          <w:rFonts w:ascii="Arial" w:cs="Arial" w:eastAsia="Arial" w:hAnsi="Arial"/>
          <w:sz w:val="16"/>
          <w:szCs w:val="16"/>
          <w:color w:val="auto"/>
        </w:rPr>
        <w:t>We depend on the performance of our senior management team and other key employees, including engineering talent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design. The loss of certain members of our senior management, including our Chairman or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Chairman of the Board, the Chief Executive Officer and the Vice President — Sales.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Provisions in our charter documents and under South Dakota law might deter acquisition bids for us. </w:t>
      </w:r>
      <w:r>
        <w:rPr>
          <w:rFonts w:ascii="Arial" w:cs="Arial" w:eastAsia="Arial" w:hAnsi="Arial"/>
          <w:sz w:val="16"/>
          <w:szCs w:val="16"/>
          <w:color w:val="auto"/>
        </w:rPr>
        <w:t>There are provisions in our charter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under South Dakota law that could make it more difficult for a third party to acquire us, even if doing so would benefit the stockholders. Our articles of incorporation provide for a classified board consisting of three classes of directors. A classified board generally makes it more difficult to replace directors and to acquire our company. In addition, we are governed by the provisions of the current South Dakota Business Corporation Act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We may be unable to protect our intellectual property rights. </w:t>
      </w:r>
      <w:r>
        <w:rPr>
          <w:rFonts w:ascii="Arial" w:cs="Arial" w:eastAsia="Arial" w:hAnsi="Arial"/>
          <w:sz w:val="16"/>
          <w:szCs w:val="16"/>
          <w:color w:val="auto"/>
        </w:rPr>
        <w:t>We rely on a variety of intellectual property rights that we use in our products and services.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able to successfully preserve these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w:t>
      </w:r>
    </w:p>
    <w:p>
      <w:pPr>
        <w:spacing w:after="0" w:line="17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i w:val="1"/>
          <w:iCs w:val="1"/>
          <w:color w:val="auto"/>
        </w:rPr>
        <w:t xml:space="preserve">We maintain inventory that is subject to obsolescence and write downs to the extent it is replaced through product enhancements or advances in technology. </w:t>
      </w:r>
      <w:r>
        <w:rPr>
          <w:rFonts w:ascii="Arial" w:cs="Arial" w:eastAsia="Arial" w:hAnsi="Arial"/>
          <w:sz w:val="16"/>
          <w:szCs w:val="16"/>
          <w:color w:val="auto"/>
        </w:rPr>
        <w:t>As a result of our products being subject to continuous enhancements and design changes, inventory held by us is subject to the risk of obsolescence and excess levels that may not be saleable. Losses incurred as a result could have a material impact on our future profits.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November 2004, the Financial Accounting Standards Board (“FASB”) issued Statement of Financial Accounting Standard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as amended by the Securities and Exchange Commission on April 14, 2005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is no longer an alternative. SFAS No. 123R must be adopted no later than the first annual period beginning after June 15, 2005. Early adoption will be permitted in periods in which financial statements have not yet been issued.</w:t>
      </w:r>
    </w:p>
    <w:p>
      <w:pPr>
        <w:spacing w:after="0" w:line="174"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1 to our consolidated financial statements. SFAS No. 123R also requires the benefits of tax deductions in excess of recognized compensation cost to be reported as a financing cash flow rather than as an operating cash flow as required under current rules. This requirement will reduce our net operating cash flows and increase our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Through April 30, 2005, most of our net sales were denominated in United States dollars, and our exposure to foreign currency exchange rate changes has not been significant. Net sales originating outside the United States for fiscal year 2005 were approximately 11% of total net sales, of which a portion was denominated in Canadian dollars, euros, or Great Britain Pounds. It is expected that in fiscal 2006, net sales to international markets may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w:t>
      </w:r>
    </w:p>
    <w:p>
      <w:pPr>
        <w:sectPr>
          <w:pgSz w:w="11900" w:h="16838" w:orient="portrait"/>
          <w:cols w:equalWidth="0" w:num="1">
            <w:col w:w="11420"/>
          </w:cols>
          <w:pgMar w:left="240" w:top="131" w:right="239" w:bottom="0" w:gutter="0" w:footer="0" w:header="0"/>
        </w:sectPr>
      </w:pPr>
    </w:p>
    <w:bookmarkStart w:id="18" w:name="page19"/>
    <w:bookmarkEnd w:id="18"/>
    <w:p>
      <w:pPr>
        <w:ind w:right="80"/>
        <w:spacing w:after="0" w:line="256" w:lineRule="auto"/>
        <w:rPr>
          <w:sz w:val="20"/>
          <w:szCs w:val="20"/>
          <w:color w:val="auto"/>
        </w:rPr>
      </w:pPr>
      <w:r>
        <w:rPr>
          <w:rFonts w:ascii="Arial" w:cs="Arial" w:eastAsia="Arial" w:hAnsi="Arial"/>
          <w:sz w:val="18"/>
          <w:szCs w:val="18"/>
          <w:color w:val="auto"/>
        </w:rPr>
        <w:t>in international markets.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312"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 We maintain a blend of both fixed and floating rate debt instruments. As of April 30, 2005, our outstanding debt approximated $1.1 million, substantially all of which was in fixed rate obligations. Each 100 basis point increase or decrease in interest rates would have an insignificant annual effect on variable rate debt interest based on the balances of such debt as of April 30, 2005. For fixed rate debt, interest rate changes affects our fair market value but do not impact earnings or cash flows.</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 orders with customers. The aggregate amounts due from customers include an imputed interest element. The majority of these financings carry fixed rates of interest. As of April 30, 2005, our outstanding long-term receivables were approximately $15.1 million. Each 25 basis point increase in interest rates would have an associated annual opportunity cost of less than $0.1 million.</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Weighted average variable interest rates are based on implied forward rates in the yield curve at the reporting date.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1"/>
        </w:trPr>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Fiscal Year Ending</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There-</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440" w:type="dxa"/>
            <w:vAlign w:val="bottom"/>
          </w:tcPr>
          <w:p>
            <w:pPr>
              <w:jc w:val="right"/>
              <w:ind w:right="16"/>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95"/>
        </w:trPr>
        <w:tc>
          <w:tcPr>
            <w:tcW w:w="45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4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7"/>
        </w:trPr>
        <w:tc>
          <w:tcPr>
            <w:tcW w:w="45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Long-term receivables,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160"/>
              <w:spacing w:after="0"/>
              <w:rPr>
                <w:sz w:val="20"/>
                <w:szCs w:val="20"/>
                <w:color w:val="auto"/>
              </w:rPr>
            </w:pPr>
            <w:r>
              <w:rPr>
                <w:rFonts w:ascii="Arial" w:cs="Arial" w:eastAsia="Arial" w:hAnsi="Arial"/>
                <w:sz w:val="18"/>
                <w:szCs w:val="18"/>
                <w:color w:val="auto"/>
              </w:rPr>
              <w:t>including current portion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5,196</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2,386</w:t>
            </w: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2,201</w:t>
            </w:r>
          </w:p>
        </w:tc>
        <w:tc>
          <w:tcPr>
            <w:tcW w:w="120" w:type="dxa"/>
            <w:vAlign w:val="bottom"/>
            <w:shd w:val="clear" w:color="auto" w:fill="EAF9E8"/>
          </w:tcPr>
          <w:p>
            <w:pPr>
              <w:spacing w:after="0"/>
              <w:rPr>
                <w:sz w:val="22"/>
                <w:szCs w:val="22"/>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1,714</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84"/>
        </w:trPr>
        <w:tc>
          <w:tcPr>
            <w:tcW w:w="4560" w:type="dxa"/>
            <w:vAlign w:val="bottom"/>
          </w:tcPr>
          <w:p>
            <w:pPr>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56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EAF9E8"/>
          </w:tcPr>
          <w:p>
            <w:pPr>
              <w:spacing w:after="0"/>
              <w:rPr>
                <w:sz w:val="22"/>
                <w:szCs w:val="22"/>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560" w:type="dxa"/>
            <w:vAlign w:val="bottom"/>
          </w:tcPr>
          <w:p>
            <w:pPr>
              <w:spacing w:after="0"/>
              <w:rPr>
                <w:sz w:val="20"/>
                <w:szCs w:val="20"/>
                <w:color w:val="auto"/>
              </w:rPr>
            </w:pPr>
            <w:r>
              <w:rPr>
                <w:rFonts w:ascii="Arial" w:cs="Arial" w:eastAsia="Arial" w:hAnsi="Arial"/>
                <w:sz w:val="18"/>
                <w:szCs w:val="18"/>
                <w:color w:val="auto"/>
              </w:rPr>
              <w:t>Long-term marketing obligations,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160"/>
              <w:spacing w:after="0"/>
              <w:rPr>
                <w:sz w:val="20"/>
                <w:szCs w:val="20"/>
                <w:color w:val="auto"/>
              </w:rPr>
            </w:pPr>
            <w:r>
              <w:rPr>
                <w:rFonts w:ascii="Arial" w:cs="Arial" w:eastAsia="Arial" w:hAnsi="Arial"/>
                <w:sz w:val="18"/>
                <w:szCs w:val="18"/>
                <w:color w:val="auto"/>
              </w:rPr>
              <w:t>including current portion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EAF9E8"/>
          </w:tcPr>
          <w:p>
            <w:pPr>
              <w:spacing w:after="0"/>
              <w:rPr>
                <w:sz w:val="22"/>
                <w:szCs w:val="22"/>
                <w:color w:val="auto"/>
              </w:rPr>
            </w:pP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56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Substantially all of our cash balances are denominated in United States dollars. Cash balances in foreign currencies are operating balances maintained in accounts of our foreign subsidiaries. These balances are immaterial to us as a whole.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audited the accompanying consolidated balance sheets of Daktronics, Inc. and subsidiaries as of April 30, 2005 and May 1, 2004, and the related consolidated statements of income, shareholders’ equity and cash flows for each of the three years in the period ended April 30, 2005.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Daktronics, Inc. and subsidiaries as of April 30, 2005, and May 1, 2004, and the consolidated results of their operations and their cash flows for each of the three years in the period ended April 30, 2005, in conformity with U.S. generally accepted accounting principals.</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effectiveness of Daktronics, Inc.‘s internal control over financial reporting as of April 30, 2005, based on criteria established in internal control-integrated framework issued by the Committee of Sponsoring Organizations of the Trading Commission and our report dated July 1, 2005 expressed an unqualified opinion thereon.</w:t>
      </w:r>
    </w:p>
    <w:p>
      <w:pPr>
        <w:sectPr>
          <w:pgSz w:w="11900" w:h="16838" w:orient="portrait"/>
          <w:cols w:equalWidth="0" w:num="1">
            <w:col w:w="11420"/>
          </w:cols>
          <w:pgMar w:left="240" w:top="131" w:right="239" w:bottom="0" w:gutter="0" w:footer="0" w:header="0"/>
        </w:sectPr>
      </w:pPr>
    </w:p>
    <w:bookmarkStart w:id="19" w:name="page20"/>
    <w:bookmarkEnd w:id="19"/>
    <w:p>
      <w:pPr>
        <w:ind w:left="4900"/>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DAKTRONICS, INC. AND SUBSIDIARIES</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0219"/>
          </w:cols>
          <w:pgMar w:left="240" w:top="131" w:right="1440" w:bottom="357" w:gutter="0" w:footer="0" w:header="0"/>
        </w:sect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r>
      <w:tr>
        <w:trPr>
          <w:trHeight w:val="174"/>
        </w:trPr>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r>
      <w:tr>
        <w:trPr>
          <w:trHeight w:val="95"/>
        </w:trPr>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bl>
    <w:p>
      <w:pPr>
        <w:spacing w:after="0" w:line="382" w:lineRule="exact"/>
        <w:rPr>
          <w:sz w:val="20"/>
          <w:szCs w:val="20"/>
          <w:color w:val="auto"/>
        </w:rPr>
      </w:pPr>
    </w:p>
    <w:p>
      <w:pPr>
        <w:sectPr>
          <w:pgSz w:w="11900" w:h="16838" w:orient="portrait"/>
          <w:cols w:equalWidth="0" w:num="2">
            <w:col w:w="5580" w:space="720"/>
            <w:col w:w="3919"/>
          </w:cols>
          <w:pgMar w:left="240" w:top="131" w:right="1440" w:bottom="357"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15,961</w:t>
            </w:r>
          </w:p>
        </w:tc>
        <w:tc>
          <w:tcPr>
            <w:tcW w:w="16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8,105</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4,001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doubtful accounts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23,762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24,612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15,301</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12,862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5,076</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4,375</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taxes receivable</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Rental equipment available for sale</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2,733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1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104,283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86,978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31,053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25,096</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spacing w:after="0"/>
              <w:rPr>
                <w:sz w:val="20"/>
                <w:szCs w:val="20"/>
                <w:color w:val="auto"/>
              </w:rPr>
            </w:pPr>
            <w:r>
              <w:rPr>
                <w:rFonts w:ascii="Arial" w:cs="Arial" w:eastAsia="Arial" w:hAnsi="Arial"/>
                <w:sz w:val="18"/>
                <w:szCs w:val="18"/>
                <w:color w:val="auto"/>
              </w:rPr>
              <w:t>Advertising rights, net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Long-term receivables, less current maturities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10,267</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Intangible and other assets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782</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6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1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Notes payable, bank</w:t>
            </w:r>
          </w:p>
        </w:tc>
        <w:tc>
          <w:tcPr>
            <w:tcW w:w="3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12,586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10,973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9,911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10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00" w:type="dxa"/>
            <w:vAlign w:val="bottom"/>
          </w:tcPr>
          <w:p>
            <w:pPr>
              <w:ind w:left="160"/>
              <w:spacing w:after="0"/>
              <w:rPr>
                <w:sz w:val="20"/>
                <w:szCs w:val="20"/>
                <w:color w:val="auto"/>
              </w:rPr>
            </w:pPr>
            <w:r>
              <w:rPr>
                <w:rFonts w:ascii="Arial" w:cs="Arial" w:eastAsia="Arial" w:hAnsi="Arial"/>
                <w:sz w:val="18"/>
                <w:szCs w:val="18"/>
                <w:color w:val="auto"/>
              </w:rPr>
              <w:t>Current maturities of long-term marketing obligations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5,463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6,761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maintenance revenue</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10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41,996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20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3,433</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2,043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0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6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160"/>
              <w:spacing w:after="0"/>
              <w:rPr>
                <w:sz w:val="20"/>
                <w:szCs w:val="20"/>
                <w:color w:val="auto"/>
              </w:rPr>
            </w:pPr>
            <w:r>
              <w:rPr>
                <w:rFonts w:ascii="Arial" w:cs="Arial" w:eastAsia="Arial" w:hAnsi="Arial"/>
                <w:sz w:val="18"/>
                <w:szCs w:val="18"/>
                <w:color w:val="auto"/>
                <w:w w:val="96"/>
              </w:rPr>
              <w:t>Common stock, no par value; authorized 60,000,000 shares; 19,165,369 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320"/>
              <w:spacing w:after="0"/>
              <w:rPr>
                <w:sz w:val="20"/>
                <w:szCs w:val="20"/>
                <w:color w:val="auto"/>
              </w:rPr>
            </w:pPr>
            <w:r>
              <w:rPr>
                <w:rFonts w:ascii="Arial" w:cs="Arial" w:eastAsia="Arial" w:hAnsi="Arial"/>
                <w:sz w:val="18"/>
                <w:szCs w:val="18"/>
                <w:color w:val="auto"/>
                <w:w w:val="98"/>
              </w:rPr>
              <w:t>18,886,492 shares issued at April 30, 2005 and May 1, 2004, respectively</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83,337</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67,677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Treasury stock, at cost, 19,680 shares</w:t>
            </w: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EAF9E8"/>
          </w:tcPr>
          <w:p>
            <w:pPr>
              <w:spacing w:after="0"/>
              <w:rPr>
                <w:sz w:val="21"/>
                <w:szCs w:val="21"/>
                <w:color w:val="auto"/>
              </w:rPr>
            </w:pPr>
          </w:p>
        </w:tc>
        <w:tc>
          <w:tcPr>
            <w:tcW w:w="8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1"/>
        </w:trPr>
        <w:tc>
          <w:tcPr>
            <w:tcW w:w="61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0"/>
        </w:trPr>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103,910</w:t>
            </w: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86,264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61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100" w:type="dxa"/>
            <w:vAlign w:val="bottom"/>
          </w:tcPr>
          <w:p>
            <w:pPr>
              <w:spacing w:after="0"/>
              <w:rPr>
                <w:sz w:val="24"/>
                <w:szCs w:val="24"/>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-4943475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-4943475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-4943475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-4943475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-4943475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-4943475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131" w:right="1440" w:bottom="357" w:gutter="0" w:footer="0" w:header="0"/>
          <w:type w:val="continuous"/>
        </w:sectPr>
      </w:pPr>
    </w:p>
    <w:bookmarkStart w:id="20" w:name="page21"/>
    <w:bookmarkEnd w:id="20"/>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60" w:type="dxa"/>
            <w:vAlign w:val="bottom"/>
            <w:gridSpan w:val="23"/>
          </w:tcPr>
          <w:p>
            <w:pPr>
              <w:jc w:val="center"/>
              <w:ind w:right="376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60" w:type="dxa"/>
            <w:vAlign w:val="bottom"/>
            <w:gridSpan w:val="23"/>
          </w:tcPr>
          <w:p>
            <w:pPr>
              <w:jc w:val="center"/>
              <w:ind w:right="3760"/>
              <w:spacing w:after="0"/>
              <w:rPr>
                <w:sz w:val="20"/>
                <w:szCs w:val="20"/>
                <w:color w:val="auto"/>
              </w:rPr>
            </w:pPr>
            <w:r>
              <w:rPr>
                <w:rFonts w:ascii="Arial" w:cs="Arial" w:eastAsia="Arial" w:hAnsi="Arial"/>
                <w:sz w:val="18"/>
                <w:szCs w:val="18"/>
                <w:color w:val="auto"/>
                <w:w w:val="93"/>
              </w:rPr>
              <w:t>CONSOLIDATED STATEMENTS OF INCOME</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80" w:type="dxa"/>
            <w:vAlign w:val="bottom"/>
            <w:gridSpan w:val="16"/>
          </w:tcPr>
          <w:p>
            <w:pPr>
              <w:jc w:val="center"/>
              <w:ind w:right="180"/>
              <w:spacing w:after="0"/>
              <w:rPr>
                <w:sz w:val="20"/>
                <w:szCs w:val="20"/>
                <w:color w:val="auto"/>
              </w:rPr>
            </w:pPr>
            <w:r>
              <w:rPr>
                <w:rFonts w:ascii="Arial" w:cs="Arial" w:eastAsia="Arial" w:hAnsi="Arial"/>
                <w:sz w:val="18"/>
                <w:szCs w:val="18"/>
                <w:color w:val="auto"/>
                <w:w w:val="85"/>
              </w:rPr>
              <w:t>(in thousands, except per share data)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Years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5"/>
          </w:tcPr>
          <w:p>
            <w:pPr>
              <w:ind w:left="100"/>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May 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4"/>
          </w:tcPr>
          <w:p>
            <w:pPr>
              <w:ind w:left="2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w w:val="84"/>
              </w:rPr>
              <w:t>$ 230,346</w:t>
            </w:r>
          </w:p>
        </w:tc>
        <w:tc>
          <w:tcPr>
            <w:tcW w:w="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8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w w:val="94"/>
              </w:rPr>
              <w:t>$ 209,907</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177,764</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9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157,137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137,436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118,633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960" w:type="dxa"/>
            <w:vAlign w:val="bottom"/>
            <w:gridSpan w:val="2"/>
            <w:shd w:val="clear" w:color="auto" w:fill="EAF9E8"/>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73,209</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72,471</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59,131</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tcPr>
          <w:p>
            <w:pPr>
              <w:ind w:left="160"/>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32,840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27,305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24,966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10,434</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9,510</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7,422</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60" w:type="dxa"/>
            <w:vAlign w:val="bottom"/>
            <w:gridSpan w:val="2"/>
          </w:tcPr>
          <w:p>
            <w:pPr>
              <w:ind w:left="160"/>
              <w:spacing w:after="0"/>
              <w:rPr>
                <w:sz w:val="20"/>
                <w:szCs w:val="20"/>
                <w:color w:val="auto"/>
              </w:rPr>
            </w:pPr>
            <w:r>
              <w:rPr>
                <w:rFonts w:ascii="Arial" w:cs="Arial" w:eastAsia="Arial" w:hAnsi="Arial"/>
                <w:sz w:val="18"/>
                <w:szCs w:val="18"/>
                <w:color w:val="auto"/>
              </w:rPr>
              <w:t>Product design and development</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10,499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8,126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53,773</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44,941</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39,306</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19,436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19,825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29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1,453</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768</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586</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2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w w:val="95"/>
              </w:rPr>
              <w:t>Income before income taxes and minority interest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4420" w:type="dxa"/>
            <w:vAlign w:val="bottom"/>
            <w:gridSpan w:val="6"/>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21,446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28,652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20,596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5,786</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10,907</w:t>
            </w: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8,107</w:t>
            </w:r>
          </w:p>
        </w:tc>
        <w:tc>
          <w:tcPr>
            <w:tcW w:w="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w w:val="97"/>
              </w:rPr>
              <w:t>Income before minority interest</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15,660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12,489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96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3"/>
              </w:rPr>
              <w:t>Minority interest in income of subsidiary</w:t>
            </w: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2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15,660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17,727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12,458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1"/>
        </w:trPr>
        <w:tc>
          <w:tcPr>
            <w:tcW w:w="2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9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20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0.95</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0.68</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296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640" w:type="dxa"/>
            <w:vAlign w:val="bottom"/>
            <w:gridSpan w:val="4"/>
            <w:vMerge w:val="restart"/>
          </w:tcPr>
          <w:p>
            <w:pPr>
              <w:spacing w:after="0"/>
              <w:rPr>
                <w:sz w:val="20"/>
                <w:szCs w:val="20"/>
                <w:color w:val="auto"/>
              </w:rPr>
            </w:pPr>
            <w:r>
              <w:rPr>
                <w:rFonts w:ascii="Arial" w:cs="Arial" w:eastAsia="Arial" w:hAnsi="Arial"/>
                <w:sz w:val="18"/>
                <w:szCs w:val="18"/>
                <w:color w:val="auto"/>
                <w:w w:val="96"/>
              </w:rPr>
              <w:t>See notes to consolidated financial statements.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6"/>
        </w:trPr>
        <w:tc>
          <w:tcPr>
            <w:tcW w:w="36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gridSpan w:val="2"/>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gridSpan w:val="3"/>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gridSpan w:val="7"/>
          </w:tcPr>
          <w:p>
            <w:pPr>
              <w:spacing w:after="0"/>
              <w:rPr>
                <w:sz w:val="24"/>
                <w:szCs w:val="24"/>
                <w:color w:val="auto"/>
              </w:rPr>
            </w:pPr>
          </w:p>
        </w:tc>
        <w:tc>
          <w:tcPr>
            <w:tcW w:w="120" w:type="dxa"/>
            <w:vAlign w:val="bottom"/>
            <w:tcBorders>
              <w:bottom w:val="single" w:sz="8" w:color="808080"/>
            </w:tcBorders>
            <w:gridSpan w:val="2"/>
          </w:tcPr>
          <w:p>
            <w:pPr>
              <w:spacing w:after="0"/>
              <w:rPr>
                <w:sz w:val="24"/>
                <w:szCs w:val="24"/>
                <w:color w:val="auto"/>
              </w:rPr>
            </w:pPr>
          </w:p>
        </w:tc>
        <w:tc>
          <w:tcPr>
            <w:tcW w:w="740" w:type="dxa"/>
            <w:vAlign w:val="bottom"/>
            <w:tcBorders>
              <w:bottom w:val="single" w:sz="8" w:color="808080"/>
            </w:tcBorders>
            <w:gridSpan w:val="3"/>
          </w:tcPr>
          <w:p>
            <w:pPr>
              <w:spacing w:after="0"/>
              <w:rPr>
                <w:sz w:val="24"/>
                <w:szCs w:val="24"/>
                <w:color w:val="auto"/>
              </w:rPr>
            </w:pPr>
          </w:p>
        </w:tc>
        <w:tc>
          <w:tcPr>
            <w:tcW w:w="3440" w:type="dxa"/>
            <w:vAlign w:val="bottom"/>
            <w:tcBorders>
              <w:bottom w:val="single" w:sz="8" w:color="808080"/>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60" w:type="dxa"/>
            <w:vAlign w:val="bottom"/>
            <w:gridSpan w:val="23"/>
          </w:tcPr>
          <w:p>
            <w:pPr>
              <w:jc w:val="center"/>
              <w:ind w:right="376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20" w:type="dxa"/>
            <w:vAlign w:val="bottom"/>
            <w:gridSpan w:val="25"/>
          </w:tcPr>
          <w:p>
            <w:pPr>
              <w:jc w:val="center"/>
              <w:ind w:right="3080"/>
              <w:spacing w:after="0"/>
              <w:rPr>
                <w:sz w:val="20"/>
                <w:szCs w:val="20"/>
                <w:color w:val="auto"/>
              </w:rPr>
            </w:pPr>
            <w:r>
              <w:rPr>
                <w:rFonts w:ascii="Arial" w:cs="Arial" w:eastAsia="Arial" w:hAnsi="Arial"/>
                <w:sz w:val="18"/>
                <w:szCs w:val="18"/>
                <w:color w:val="auto"/>
                <w:w w:val="93"/>
              </w:rPr>
              <w:t>CONSOLIDATED STATEMENTS OF SHAREHOLDERS' EQUITY</w:t>
            </w: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8"/>
          </w:tcPr>
          <w:p>
            <w:pPr>
              <w:jc w:val="center"/>
              <w:ind w:left="566"/>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66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800" w:type="dxa"/>
            <w:vAlign w:val="bottom"/>
            <w:gridSpan w:val="11"/>
          </w:tcPr>
          <w:p>
            <w:pPr>
              <w:ind w:left="20"/>
              <w:spacing w:after="0" w:line="149" w:lineRule="exact"/>
              <w:rPr>
                <w:sz w:val="20"/>
                <w:szCs w:val="20"/>
                <w:color w:val="auto"/>
              </w:rPr>
            </w:pPr>
            <w:r>
              <w:rPr>
                <w:rFonts w:ascii="Arial" w:cs="Arial" w:eastAsia="Arial" w:hAnsi="Arial"/>
                <w:sz w:val="14"/>
                <w:szCs w:val="14"/>
                <w:b w:val="1"/>
                <w:bCs w:val="1"/>
                <w:color w:val="auto"/>
              </w:rPr>
              <w:t>Treasury   Comprehensive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79"/>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9"/>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60" w:type="dxa"/>
            <w:vAlign w:val="bottom"/>
            <w:gridSpan w:val="2"/>
          </w:tcPr>
          <w:p>
            <w:pPr>
              <w:spacing w:after="0"/>
              <w:rPr>
                <w:sz w:val="10"/>
                <w:szCs w:val="10"/>
                <w:color w:val="auto"/>
              </w:rPr>
            </w:pPr>
          </w:p>
        </w:tc>
        <w:tc>
          <w:tcPr>
            <w:tcW w:w="68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84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spacing w:after="0"/>
              <w:rPr>
                <w:sz w:val="10"/>
                <w:szCs w:val="10"/>
                <w:color w:val="auto"/>
              </w:rPr>
            </w:pPr>
          </w:p>
        </w:tc>
        <w:tc>
          <w:tcPr>
            <w:tcW w:w="140" w:type="dxa"/>
            <w:vAlign w:val="bottom"/>
            <w:gridSpan w:val="2"/>
          </w:tcPr>
          <w:p>
            <w:pPr>
              <w:spacing w:after="0"/>
              <w:rPr>
                <w:sz w:val="10"/>
                <w:szCs w:val="10"/>
                <w:color w:val="auto"/>
              </w:rPr>
            </w:pPr>
          </w:p>
        </w:tc>
        <w:tc>
          <w:tcPr>
            <w:tcW w:w="6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Arial" w:cs="Arial" w:eastAsia="Arial" w:hAnsi="Arial"/>
                <w:sz w:val="18"/>
                <w:szCs w:val="18"/>
                <w:b w:val="1"/>
                <w:bCs w:val="1"/>
                <w:color w:val="auto"/>
              </w:rPr>
              <w:t>Balance, April 27, 2002</w:t>
            </w:r>
          </w:p>
        </w:tc>
        <w:tc>
          <w:tcPr>
            <w:tcW w:w="16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505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$ 37,492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51,501</w:t>
            </w: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12,458</w:t>
            </w:r>
          </w:p>
        </w:tc>
        <w:tc>
          <w:tcPr>
            <w:tcW w:w="14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6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96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9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3"/>
                <w:szCs w:val="23"/>
                <w:color w:val="auto"/>
              </w:rPr>
            </w:pPr>
          </w:p>
        </w:tc>
        <w:tc>
          <w:tcPr>
            <w:tcW w:w="5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66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68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5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2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2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8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6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12,440</w:t>
            </w:r>
          </w:p>
        </w:tc>
        <w:tc>
          <w:tcPr>
            <w:tcW w:w="140" w:type="dxa"/>
            <w:vAlign w:val="bottom"/>
            <w:shd w:val="clear" w:color="auto" w:fill="EAF9E8"/>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-4145280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-4145280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-4145280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-4145280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-4145280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-4145280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-4145280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-4145280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-4145280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-3141980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-3141980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-3141980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-3141980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-3141980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-3141980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-3141980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-3141980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-3141980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-2327275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-2327275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800" w:type="dxa"/>
            <w:vAlign w:val="bottom"/>
          </w:tcPr>
          <w:p>
            <w:pPr>
              <w:ind w:left="160"/>
              <w:spacing w:after="0"/>
              <w:rPr>
                <w:sz w:val="20"/>
                <w:szCs w:val="20"/>
                <w:color w:val="auto"/>
              </w:rPr>
            </w:pPr>
            <w:r>
              <w:rPr>
                <w:rFonts w:ascii="Arial" w:cs="Arial" w:eastAsia="Arial" w:hAnsi="Arial"/>
                <w:sz w:val="18"/>
                <w:szCs w:val="18"/>
                <w:color w:val="auto"/>
                <w:w w:val="96"/>
              </w:rPr>
              <w:t>Tax benefits related to exercise of</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4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7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4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800" w:type="dxa"/>
            <w:vAlign w:val="bottom"/>
          </w:tcPr>
          <w:p>
            <w:pPr>
              <w:ind w:left="320"/>
              <w:spacing w:after="0"/>
              <w:rPr>
                <w:sz w:val="20"/>
                <w:szCs w:val="20"/>
                <w:color w:val="auto"/>
              </w:rPr>
            </w:pPr>
            <w:r>
              <w:rPr>
                <w:rFonts w:ascii="Arial" w:cs="Arial" w:eastAsia="Arial" w:hAnsi="Arial"/>
                <w:sz w:val="18"/>
                <w:szCs w:val="18"/>
                <w:color w:val="auto"/>
              </w:rPr>
              <w:t>warrants</w:t>
            </w: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718</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rPr>
              <w:t>Contributions to the employee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savings plan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403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Balance, May 3, 2003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746</w:t>
            </w:r>
          </w:p>
        </w:tc>
        <w:tc>
          <w:tcPr>
            <w:tcW w:w="800" w:type="dxa"/>
            <w:vAlign w:val="bottom"/>
            <w:gridSpan w:val="3"/>
            <w:vMerge w:val="restart"/>
          </w:tcPr>
          <w:p>
            <w:pPr>
              <w:jc w:val="right"/>
              <w:spacing w:after="0"/>
              <w:rPr>
                <w:sz w:val="20"/>
                <w:szCs w:val="20"/>
                <w:color w:val="auto"/>
              </w:rPr>
            </w:pPr>
            <w:r>
              <w:rPr>
                <w:rFonts w:ascii="Arial" w:cs="Arial" w:eastAsia="Arial" w:hAnsi="Arial"/>
                <w:sz w:val="18"/>
                <w:szCs w:val="18"/>
                <w:color w:val="auto"/>
              </w:rPr>
              <w:t>49,950</w:t>
            </w:r>
          </w:p>
        </w:tc>
        <w:tc>
          <w:tcPr>
            <w:tcW w:w="8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(38)</w:t>
            </w: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65,303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00" w:type="dxa"/>
            <w:vAlign w:val="bottom"/>
            <w:vMerge w:val="continue"/>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14,654</w:t>
            </w:r>
          </w:p>
        </w:tc>
        <w:tc>
          <w:tcPr>
            <w:tcW w:w="820" w:type="dxa"/>
            <w:vAlign w:val="bottom"/>
            <w:gridSpan w:val="2"/>
            <w:vMerge w:val="continue"/>
          </w:tcPr>
          <w:p>
            <w:pPr>
              <w:spacing w:after="0"/>
              <w:rPr>
                <w:sz w:val="24"/>
                <w:szCs w:val="24"/>
                <w:color w:val="auto"/>
              </w:rPr>
            </w:pPr>
          </w:p>
        </w:tc>
        <w:tc>
          <w:tcPr>
            <w:tcW w:w="800" w:type="dxa"/>
            <w:vAlign w:val="bottom"/>
            <w:gridSpan w:val="3"/>
            <w:vMerge w:val="continue"/>
          </w:tcPr>
          <w:p>
            <w:pPr>
              <w:spacing w:after="0"/>
              <w:rPr>
                <w:sz w:val="24"/>
                <w:szCs w:val="24"/>
                <w:color w:val="auto"/>
              </w:rPr>
            </w:pPr>
          </w:p>
        </w:tc>
        <w:tc>
          <w:tcPr>
            <w:tcW w:w="8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17,727</w:t>
            </w:r>
          </w:p>
        </w:tc>
        <w:tc>
          <w:tcPr>
            <w:tcW w:w="7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17,727</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80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(46)</w:t>
            </w: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(46)</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17,681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w w:val="96"/>
              </w:rPr>
              <w:t>Tax benefits related to exercise of</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1,528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7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8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8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655</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2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655</w:t>
            </w:r>
          </w:p>
        </w:tc>
        <w:tc>
          <w:tcPr>
            <w:tcW w:w="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rPr>
              <w:t>Contributions to the employee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savings plan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344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160"/>
              <w:spacing w:after="0"/>
              <w:rPr>
                <w:sz w:val="20"/>
                <w:szCs w:val="20"/>
                <w:color w:val="auto"/>
              </w:rPr>
            </w:pPr>
            <w:r>
              <w:rPr>
                <w:rFonts w:ascii="Arial" w:cs="Arial" w:eastAsia="Arial" w:hAnsi="Arial"/>
                <w:sz w:val="18"/>
                <w:szCs w:val="18"/>
                <w:color w:val="auto"/>
                <w:w w:val="99"/>
              </w:rPr>
              <w:t>Issuances under employee stock</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purchase plan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160"/>
              <w:spacing w:after="0"/>
              <w:rPr>
                <w:sz w:val="20"/>
                <w:szCs w:val="20"/>
                <w:color w:val="auto"/>
              </w:rPr>
            </w:pPr>
            <w:r>
              <w:rPr>
                <w:rFonts w:ascii="Arial" w:cs="Arial" w:eastAsia="Arial" w:hAnsi="Arial"/>
                <w:sz w:val="18"/>
                <w:szCs w:val="18"/>
                <w:color w:val="auto"/>
              </w:rPr>
              <w:t>Issuance of common stock in</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320"/>
              <w:spacing w:after="0"/>
              <w:rPr>
                <w:sz w:val="20"/>
                <w:szCs w:val="20"/>
                <w:color w:val="auto"/>
              </w:rPr>
            </w:pPr>
            <w:r>
              <w:rPr>
                <w:rFonts w:ascii="Arial" w:cs="Arial" w:eastAsia="Arial" w:hAnsi="Arial"/>
                <w:sz w:val="18"/>
                <w:szCs w:val="18"/>
                <w:color w:val="auto"/>
              </w:rPr>
              <w:t>connection with purchase of</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minority interest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462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Balance, May 1, 2004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2,274</w:t>
            </w:r>
          </w:p>
        </w:tc>
        <w:tc>
          <w:tcPr>
            <w:tcW w:w="800" w:type="dxa"/>
            <w:vAlign w:val="bottom"/>
            <w:gridSpan w:val="3"/>
            <w:vMerge w:val="restart"/>
          </w:tcPr>
          <w:p>
            <w:pPr>
              <w:jc w:val="right"/>
              <w:spacing w:after="0"/>
              <w:rPr>
                <w:sz w:val="20"/>
                <w:szCs w:val="20"/>
                <w:color w:val="auto"/>
              </w:rPr>
            </w:pPr>
            <w:r>
              <w:rPr>
                <w:rFonts w:ascii="Arial" w:cs="Arial" w:eastAsia="Arial" w:hAnsi="Arial"/>
                <w:sz w:val="18"/>
                <w:szCs w:val="18"/>
                <w:color w:val="auto"/>
              </w:rPr>
              <w:t>67,677</w:t>
            </w:r>
          </w:p>
        </w:tc>
        <w:tc>
          <w:tcPr>
            <w:tcW w:w="8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(84)</w:t>
            </w: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86,264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800" w:type="dxa"/>
            <w:vAlign w:val="bottom"/>
            <w:vMerge w:val="continue"/>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16,406</w:t>
            </w:r>
          </w:p>
        </w:tc>
        <w:tc>
          <w:tcPr>
            <w:tcW w:w="820" w:type="dxa"/>
            <w:vAlign w:val="bottom"/>
            <w:gridSpan w:val="2"/>
            <w:vMerge w:val="continue"/>
          </w:tcPr>
          <w:p>
            <w:pPr>
              <w:spacing w:after="0"/>
              <w:rPr>
                <w:sz w:val="24"/>
                <w:szCs w:val="24"/>
                <w:color w:val="auto"/>
              </w:rPr>
            </w:pPr>
          </w:p>
        </w:tc>
        <w:tc>
          <w:tcPr>
            <w:tcW w:w="800" w:type="dxa"/>
            <w:vAlign w:val="bottom"/>
            <w:gridSpan w:val="3"/>
            <w:vMerge w:val="continue"/>
          </w:tcPr>
          <w:p>
            <w:pPr>
              <w:spacing w:after="0"/>
              <w:rPr>
                <w:sz w:val="24"/>
                <w:szCs w:val="24"/>
                <w:color w:val="auto"/>
              </w:rPr>
            </w:pPr>
          </w:p>
        </w:tc>
        <w:tc>
          <w:tcPr>
            <w:tcW w:w="8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vMerge w:val="continue"/>
          </w:tcPr>
          <w:p>
            <w:pPr>
              <w:spacing w:after="0"/>
              <w:rPr>
                <w:sz w:val="24"/>
                <w:szCs w:val="24"/>
                <w:color w:val="auto"/>
              </w:rPr>
            </w:pPr>
          </w:p>
        </w:tc>
        <w:tc>
          <w:tcPr>
            <w:tcW w:w="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15,660</w:t>
            </w:r>
          </w:p>
        </w:tc>
        <w:tc>
          <w:tcPr>
            <w:tcW w:w="7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15,660</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160"/>
              <w:spacing w:after="0"/>
              <w:rPr>
                <w:sz w:val="20"/>
                <w:szCs w:val="20"/>
                <w:color w:val="auto"/>
              </w:rPr>
            </w:pPr>
            <w:r>
              <w:rPr>
                <w:rFonts w:ascii="Arial" w:cs="Arial" w:eastAsia="Arial" w:hAnsi="Arial"/>
                <w:sz w:val="18"/>
                <w:szCs w:val="18"/>
                <w:color w:val="auto"/>
              </w:rPr>
              <w:t>Net gains (losses) on derivative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instruments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15,903</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w w:val="96"/>
              </w:rPr>
              <w:t>Tax benefits related to exercise of</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Exercise of stock options</w:t>
            </w: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835</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835</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00" w:type="dxa"/>
            <w:vAlign w:val="bottom"/>
          </w:tcPr>
          <w:p>
            <w:pPr>
              <w:ind w:left="160"/>
              <w:spacing w:after="0"/>
              <w:rPr>
                <w:sz w:val="20"/>
                <w:szCs w:val="20"/>
                <w:color w:val="auto"/>
              </w:rPr>
            </w:pPr>
            <w:r>
              <w:rPr>
                <w:rFonts w:ascii="Arial" w:cs="Arial" w:eastAsia="Arial" w:hAnsi="Arial"/>
                <w:sz w:val="18"/>
                <w:szCs w:val="18"/>
                <w:color w:val="auto"/>
              </w:rPr>
              <w:t>Contributions to the employee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rPr>
              <w:t>savings plan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8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April 30, 2005</w:t>
            </w:r>
          </w:p>
        </w:tc>
        <w:tc>
          <w:tcPr>
            <w:tcW w:w="8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$ 17,739</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$ 2,684</w:t>
            </w:r>
          </w:p>
        </w:tc>
        <w:tc>
          <w:tcPr>
            <w:tcW w:w="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$ 83,337</w:t>
            </w:r>
          </w:p>
        </w:tc>
        <w:tc>
          <w:tcPr>
            <w:tcW w:w="1100" w:type="dxa"/>
            <w:vAlign w:val="bottom"/>
            <w:gridSpan w:val="7"/>
            <w:shd w:val="clear" w:color="auto" w:fill="EAF9E8"/>
          </w:tcPr>
          <w:p>
            <w:pPr>
              <w:jc w:val="right"/>
              <w:spacing w:after="0"/>
              <w:rPr>
                <w:sz w:val="20"/>
                <w:szCs w:val="20"/>
                <w:color w:val="auto"/>
              </w:rPr>
            </w:pPr>
            <w:r>
              <w:rPr>
                <w:rFonts w:ascii="Arial" w:cs="Arial" w:eastAsia="Arial" w:hAnsi="Arial"/>
                <w:sz w:val="18"/>
                <w:szCs w:val="18"/>
                <w:color w:val="auto"/>
              </w:rPr>
              <w:t>$   (9)   $</w:t>
            </w:r>
          </w:p>
        </w:tc>
        <w:tc>
          <w:tcPr>
            <w:tcW w:w="7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EAF9E8"/>
          </w:tcPr>
          <w:p>
            <w:pPr>
              <w:spacing w:after="0"/>
              <w:rPr>
                <w:sz w:val="22"/>
                <w:szCs w:val="22"/>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w w:val="93"/>
              </w:rPr>
              <w:t>$103,910</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940" w:type="dxa"/>
            <w:vAlign w:val="bottom"/>
            <w:gridSpan w:val="2"/>
          </w:tcPr>
          <w:p>
            <w:pPr>
              <w:spacing w:after="0"/>
              <w:rPr>
                <w:sz w:val="11"/>
                <w:szCs w:val="11"/>
                <w:color w:val="auto"/>
              </w:rPr>
            </w:pPr>
          </w:p>
        </w:tc>
        <w:tc>
          <w:tcPr>
            <w:tcW w:w="700" w:type="dxa"/>
            <w:vAlign w:val="bottom"/>
            <w:tcBorders>
              <w:bottom w:val="single" w:sz="8" w:color="808080"/>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6"/>
        </w:trPr>
        <w:tc>
          <w:tcPr>
            <w:tcW w:w="3640" w:type="dxa"/>
            <w:vAlign w:val="bottom"/>
            <w:gridSpan w:val="5"/>
          </w:tcPr>
          <w:p>
            <w:pPr>
              <w:spacing w:after="0"/>
              <w:rPr>
                <w:sz w:val="20"/>
                <w:szCs w:val="20"/>
                <w:color w:val="auto"/>
              </w:rPr>
            </w:pPr>
            <w:r>
              <w:rPr>
                <w:rFonts w:ascii="Arial" w:cs="Arial" w:eastAsia="Arial" w:hAnsi="Arial"/>
                <w:sz w:val="18"/>
                <w:szCs w:val="18"/>
                <w:color w:val="auto"/>
                <w:w w:val="96"/>
              </w:rPr>
              <w:t>See notes to consolidated financial statements.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gridSpan w:val="4"/>
          </w:tcPr>
          <w:p>
            <w:pPr>
              <w:spacing w:after="0"/>
              <w:rPr>
                <w:sz w:val="24"/>
                <w:szCs w:val="24"/>
                <w:color w:val="auto"/>
              </w:rPr>
            </w:pPr>
          </w:p>
        </w:tc>
        <w:tc>
          <w:tcPr>
            <w:tcW w:w="280" w:type="dxa"/>
            <w:vAlign w:val="bottom"/>
            <w:tcBorders>
              <w:bottom w:val="single" w:sz="8" w:color="808080"/>
            </w:tcBorders>
            <w:gridSpan w:val="2"/>
          </w:tcPr>
          <w:p>
            <w:pPr>
              <w:spacing w:after="0"/>
              <w:rPr>
                <w:sz w:val="24"/>
                <w:szCs w:val="24"/>
                <w:color w:val="auto"/>
              </w:rPr>
            </w:pPr>
          </w:p>
        </w:tc>
        <w:tc>
          <w:tcPr>
            <w:tcW w:w="680" w:type="dxa"/>
            <w:vAlign w:val="bottom"/>
            <w:tcBorders>
              <w:bottom w:val="single" w:sz="8" w:color="808080"/>
            </w:tcBorders>
            <w:gridSpan w:val="4"/>
          </w:tcPr>
          <w:p>
            <w:pPr>
              <w:spacing w:after="0"/>
              <w:rPr>
                <w:sz w:val="24"/>
                <w:szCs w:val="24"/>
                <w:color w:val="auto"/>
              </w:rPr>
            </w:pPr>
          </w:p>
        </w:tc>
        <w:tc>
          <w:tcPr>
            <w:tcW w:w="180" w:type="dxa"/>
            <w:vAlign w:val="bottom"/>
            <w:tcBorders>
              <w:bottom w:val="single" w:sz="8" w:color="808080"/>
            </w:tcBorders>
            <w:gridSpan w:val="2"/>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gridSpan w:val="3"/>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gridSpan w:val="3"/>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20"/>
          </w:tcPr>
          <w:p>
            <w:pPr>
              <w:jc w:val="center"/>
              <w:ind w:right="460"/>
              <w:spacing w:after="0"/>
              <w:rPr>
                <w:sz w:val="20"/>
                <w:szCs w:val="20"/>
                <w:color w:val="auto"/>
              </w:rPr>
            </w:pPr>
            <w:r>
              <w:rPr>
                <w:rFonts w:ascii="Arial" w:cs="Arial" w:eastAsia="Arial" w:hAnsi="Arial"/>
                <w:sz w:val="18"/>
                <w:szCs w:val="18"/>
                <w:b w:val="1"/>
                <w:bCs w:val="1"/>
                <w:color w:val="auto"/>
                <w:w w:val="97"/>
              </w:rPr>
              <w:t>DAKTRONICS, INC. AND SUBSIDIARIES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20"/>
          </w:tcPr>
          <w:p>
            <w:pPr>
              <w:jc w:val="center"/>
              <w:ind w:right="460"/>
              <w:spacing w:after="0"/>
              <w:rPr>
                <w:sz w:val="20"/>
                <w:szCs w:val="20"/>
                <w:color w:val="auto"/>
              </w:rPr>
            </w:pPr>
            <w:r>
              <w:rPr>
                <w:rFonts w:ascii="Arial" w:cs="Arial" w:eastAsia="Arial" w:hAnsi="Arial"/>
                <w:sz w:val="18"/>
                <w:szCs w:val="18"/>
                <w:color w:val="auto"/>
                <w:w w:val="92"/>
              </w:rPr>
              <w:t>CONSOLIDATED STATEMENTS OF CASH FLOWS</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8"/>
          </w:tcPr>
          <w:p>
            <w:pPr>
              <w:jc w:val="center"/>
              <w:ind w:left="412"/>
              <w:spacing w:after="0"/>
              <w:rPr>
                <w:sz w:val="20"/>
                <w:szCs w:val="20"/>
                <w:color w:val="auto"/>
              </w:rPr>
            </w:pPr>
            <w:r>
              <w:rPr>
                <w:rFonts w:ascii="Arial" w:cs="Arial" w:eastAsia="Arial" w:hAnsi="Arial"/>
                <w:sz w:val="18"/>
                <w:szCs w:val="18"/>
                <w:color w:val="auto"/>
                <w:w w:val="87"/>
              </w:rPr>
              <w:t>(in thousands)</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Years Ended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808080"/>
            </w:tcBorders>
            <w:gridSpan w:val="4"/>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gridSpan w:val="3"/>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24"/>
                <w:szCs w:val="2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May 1,</w:t>
            </w:r>
          </w:p>
        </w:tc>
        <w:tc>
          <w:tcPr>
            <w:tcW w:w="20" w:type="dxa"/>
            <w:vAlign w:val="bottom"/>
          </w:tcPr>
          <w:p>
            <w:pPr>
              <w:spacing w:after="0"/>
              <w:rPr>
                <w:sz w:val="24"/>
                <w:szCs w:val="24"/>
                <w:color w:val="auto"/>
              </w:rPr>
            </w:pPr>
          </w:p>
        </w:tc>
        <w:tc>
          <w:tcPr>
            <w:tcW w:w="8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May 3,</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0" w:type="dxa"/>
            <w:vAlign w:val="bottom"/>
            <w:vMerge w:val="restart"/>
          </w:tcPr>
          <w:p>
            <w:pPr>
              <w:spacing w:after="0"/>
              <w:rPr>
                <w:sz w:val="20"/>
                <w:szCs w:val="20"/>
                <w:color w:val="auto"/>
              </w:rPr>
            </w:pPr>
            <w:r>
              <w:rPr>
                <w:rFonts w:ascii="Arial" w:cs="Arial" w:eastAsia="Arial" w:hAnsi="Arial"/>
                <w:sz w:val="18"/>
                <w:szCs w:val="18"/>
                <w:color w:val="auto"/>
                <w:w w:val="96"/>
              </w:rPr>
              <w:t>Cash flows from operating activities:</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80" w:type="dxa"/>
            <w:vAlign w:val="bottom"/>
            <w:shd w:val="clear" w:color="auto" w:fill="EAF9E8"/>
          </w:tcPr>
          <w:p>
            <w:pPr>
              <w:spacing w:after="0"/>
              <w:rPr>
                <w:sz w:val="22"/>
                <w:szCs w:val="22"/>
                <w:color w:val="auto"/>
              </w:rPr>
            </w:pPr>
          </w:p>
        </w:tc>
        <w:tc>
          <w:tcPr>
            <w:tcW w:w="960" w:type="dxa"/>
            <w:vAlign w:val="bottom"/>
            <w:gridSpan w:val="6"/>
            <w:shd w:val="clear" w:color="auto" w:fill="EAF9E8"/>
          </w:tcPr>
          <w:p>
            <w:pPr>
              <w:jc w:val="right"/>
              <w:ind w:right="20"/>
              <w:spacing w:after="0"/>
              <w:rPr>
                <w:sz w:val="20"/>
                <w:szCs w:val="20"/>
                <w:color w:val="auto"/>
              </w:rPr>
            </w:pPr>
            <w:r>
              <w:rPr>
                <w:rFonts w:ascii="Arial" w:cs="Arial" w:eastAsia="Arial" w:hAnsi="Arial"/>
                <w:sz w:val="18"/>
                <w:szCs w:val="18"/>
                <w:color w:val="auto"/>
              </w:rPr>
              <w:t>$ 15,660</w:t>
            </w: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6"/>
              </w:rPr>
              <w:t>$ 17,727</w:t>
            </w:r>
          </w:p>
        </w:tc>
        <w:tc>
          <w:tcPr>
            <w:tcW w:w="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1"/>
              </w:rPr>
              <w:t>$ 12,458</w:t>
            </w:r>
          </w:p>
        </w:tc>
        <w:tc>
          <w:tcPr>
            <w:tcW w:w="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640" w:type="dxa"/>
            <w:vAlign w:val="bottom"/>
            <w:gridSpan w:val="5"/>
          </w:tcPr>
          <w:p>
            <w:pPr>
              <w:ind w:left="160"/>
              <w:spacing w:after="0"/>
              <w:rPr>
                <w:sz w:val="20"/>
                <w:szCs w:val="20"/>
                <w:color w:val="auto"/>
              </w:rPr>
            </w:pPr>
            <w:r>
              <w:rPr>
                <w:rFonts w:ascii="Arial" w:cs="Arial" w:eastAsia="Arial" w:hAnsi="Arial"/>
                <w:sz w:val="18"/>
                <w:szCs w:val="18"/>
                <w:color w:val="auto"/>
                <w:w w:val="90"/>
              </w:rPr>
              <w:t>Adjustments to reconcile net income to net cash</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320"/>
              <w:spacing w:after="0"/>
              <w:rPr>
                <w:sz w:val="20"/>
                <w:szCs w:val="20"/>
                <w:color w:val="auto"/>
              </w:rPr>
            </w:pPr>
            <w:r>
              <w:rPr>
                <w:rFonts w:ascii="Arial" w:cs="Arial" w:eastAsia="Arial" w:hAnsi="Arial"/>
                <w:sz w:val="18"/>
                <w:szCs w:val="18"/>
                <w:color w:val="auto"/>
                <w:w w:val="97"/>
              </w:rPr>
              <w:t>provided by operating activities: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7,387</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6,264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5,685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0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gridSpan w:val="6"/>
          </w:tcPr>
          <w:p>
            <w:pPr>
              <w:jc w:val="right"/>
              <w:ind w:right="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40" w:type="dxa"/>
            <w:vAlign w:val="bottom"/>
            <w:gridSpan w:val="5"/>
            <w:shd w:val="clear" w:color="auto" w:fill="EAF9E8"/>
          </w:tcPr>
          <w:p>
            <w:pPr>
              <w:ind w:left="320"/>
              <w:spacing w:after="0"/>
              <w:rPr>
                <w:sz w:val="20"/>
                <w:szCs w:val="20"/>
                <w:color w:val="auto"/>
              </w:rPr>
            </w:pPr>
            <w:r>
              <w:rPr>
                <w:rFonts w:ascii="Arial" w:cs="Arial" w:eastAsia="Arial" w:hAnsi="Arial"/>
                <w:sz w:val="18"/>
                <w:szCs w:val="18"/>
                <w:color w:val="auto"/>
                <w:w w:val="90"/>
              </w:rPr>
              <w:t>(Gain) loss on sale of property and equipment</w:t>
            </w: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100" w:type="dxa"/>
            <w:vAlign w:val="bottom"/>
            <w:gridSpan w:val="7"/>
            <w:shd w:val="clear" w:color="auto" w:fill="EAF9E8"/>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21"/>
                <w:szCs w:val="21"/>
                <w:color w:val="auto"/>
              </w:rPr>
              <w:t>)</w:t>
            </w:r>
          </w:p>
        </w:tc>
        <w:tc>
          <w:tcPr>
            <w:tcW w:w="880" w:type="dxa"/>
            <w:vAlign w:val="bottom"/>
            <w:gridSpan w:val="4"/>
            <w:shd w:val="clear" w:color="auto" w:fill="EAF9E8"/>
          </w:tcPr>
          <w:p>
            <w:pPr>
              <w:jc w:val="right"/>
              <w:ind w:right="120"/>
              <w:spacing w:after="0"/>
              <w:rPr>
                <w:sz w:val="20"/>
                <w:szCs w:val="20"/>
                <w:color w:val="auto"/>
              </w:rPr>
            </w:pPr>
            <w:r>
              <w:rPr>
                <w:rFonts w:ascii="Arial" w:cs="Arial" w:eastAsia="Arial" w:hAnsi="Arial"/>
                <w:sz w:val="18"/>
                <w:szCs w:val="18"/>
                <w:color w:val="auto"/>
              </w:rPr>
              <w:t>(301</w:t>
            </w:r>
            <w:r>
              <w:rPr>
                <w:rFonts w:ascii="Arial" w:cs="Arial" w:eastAsia="Arial" w:hAnsi="Arial"/>
                <w:sz w:val="21"/>
                <w:szCs w:val="21"/>
                <w:color w:val="auto"/>
              </w:rPr>
              <w:t>)</w:t>
            </w: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40" w:type="dxa"/>
            <w:vAlign w:val="bottom"/>
            <w:gridSpan w:val="5"/>
            <w:shd w:val="clear" w:color="auto" w:fill="EAF9E8"/>
          </w:tcPr>
          <w:p>
            <w:pPr>
              <w:ind w:left="320"/>
              <w:spacing w:after="0"/>
              <w:rPr>
                <w:sz w:val="20"/>
                <w:szCs w:val="20"/>
                <w:color w:val="auto"/>
              </w:rPr>
            </w:pPr>
            <w:r>
              <w:rPr>
                <w:rFonts w:ascii="Arial" w:cs="Arial" w:eastAsia="Arial" w:hAnsi="Arial"/>
                <w:sz w:val="18"/>
                <w:szCs w:val="18"/>
                <w:color w:val="auto"/>
              </w:rPr>
              <w:t>Minority interest in income of subsidiary</w:t>
            </w: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960" w:type="dxa"/>
            <w:vAlign w:val="bottom"/>
            <w:gridSpan w:val="6"/>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tcPr>
          <w:p>
            <w:pPr>
              <w:ind w:left="320"/>
              <w:spacing w:after="0"/>
              <w:rPr>
                <w:sz w:val="20"/>
                <w:szCs w:val="20"/>
                <w:color w:val="auto"/>
              </w:rPr>
            </w:pPr>
            <w:r>
              <w:rPr>
                <w:rFonts w:ascii="Arial" w:cs="Arial" w:eastAsia="Arial" w:hAnsi="Arial"/>
                <w:sz w:val="18"/>
                <w:szCs w:val="18"/>
                <w:color w:val="auto"/>
                <w:w w:val="99"/>
              </w:rPr>
              <w:t>Provision for doubtful accounts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7"/>
          </w:tcPr>
          <w:p>
            <w:pPr>
              <w:jc w:val="right"/>
              <w:ind w:right="100"/>
              <w:spacing w:after="0"/>
              <w:rPr>
                <w:sz w:val="20"/>
                <w:szCs w:val="20"/>
                <w:color w:val="auto"/>
              </w:rPr>
            </w:pPr>
            <w:r>
              <w:rPr>
                <w:rFonts w:ascii="Arial" w:cs="Arial" w:eastAsia="Arial" w:hAnsi="Arial"/>
                <w:sz w:val="18"/>
                <w:szCs w:val="18"/>
                <w:color w:val="auto"/>
              </w:rPr>
              <w:t>(172)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960" w:type="dxa"/>
            <w:vAlign w:val="bottom"/>
            <w:gridSpan w:val="6"/>
            <w:shd w:val="clear" w:color="auto" w:fill="EAF9E8"/>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(1,003)</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640" w:type="dxa"/>
            <w:vAlign w:val="bottom"/>
            <w:gridSpan w:val="5"/>
            <w:shd w:val="clear" w:color="auto" w:fill="EAF9E8"/>
          </w:tcPr>
          <w:p>
            <w:pPr>
              <w:ind w:left="3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EAF9E8"/>
          </w:tcPr>
          <w:p>
            <w:pPr>
              <w:spacing w:after="0"/>
              <w:rPr>
                <w:sz w:val="24"/>
                <w:szCs w:val="24"/>
                <w:color w:val="auto"/>
              </w:rPr>
            </w:pPr>
          </w:p>
        </w:tc>
        <w:tc>
          <w:tcPr>
            <w:tcW w:w="7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80" w:type="dxa"/>
            <w:vAlign w:val="bottom"/>
            <w:shd w:val="clear" w:color="auto" w:fill="EAF9E8"/>
          </w:tcPr>
          <w:p>
            <w:pPr>
              <w:spacing w:after="0"/>
              <w:rPr>
                <w:sz w:val="24"/>
                <w:szCs w:val="24"/>
                <w:color w:val="auto"/>
              </w:rPr>
            </w:pPr>
          </w:p>
        </w:tc>
        <w:tc>
          <w:tcPr>
            <w:tcW w:w="1100" w:type="dxa"/>
            <w:vAlign w:val="bottom"/>
            <w:gridSpan w:val="7"/>
            <w:shd w:val="clear" w:color="auto" w:fill="EAF9E8"/>
          </w:tcPr>
          <w:p>
            <w:pPr>
              <w:jc w:val="right"/>
              <w:ind w:right="100"/>
              <w:spacing w:after="0"/>
              <w:rPr>
                <w:sz w:val="20"/>
                <w:szCs w:val="20"/>
                <w:color w:val="auto"/>
              </w:rPr>
            </w:pPr>
            <w:r>
              <w:rPr>
                <w:rFonts w:ascii="Arial" w:cs="Arial" w:eastAsia="Arial" w:hAnsi="Arial"/>
                <w:sz w:val="18"/>
                <w:szCs w:val="18"/>
                <w:color w:val="auto"/>
              </w:rPr>
              <w:t>(592)</w:t>
            </w:r>
          </w:p>
        </w:tc>
        <w:tc>
          <w:tcPr>
            <w:tcW w:w="880" w:type="dxa"/>
            <w:vAlign w:val="bottom"/>
            <w:gridSpan w:val="4"/>
            <w:shd w:val="clear" w:color="auto" w:fill="EAF9E8"/>
          </w:tcPr>
          <w:p>
            <w:pPr>
              <w:jc w:val="right"/>
              <w:ind w:right="120"/>
              <w:spacing w:after="0"/>
              <w:rPr>
                <w:sz w:val="20"/>
                <w:szCs w:val="20"/>
                <w:color w:val="auto"/>
              </w:rPr>
            </w:pPr>
            <w:r>
              <w:rPr>
                <w:rFonts w:ascii="Arial" w:cs="Arial" w:eastAsia="Arial" w:hAnsi="Arial"/>
                <w:sz w:val="18"/>
                <w:szCs w:val="18"/>
                <w:color w:val="auto"/>
              </w:rPr>
              <w:t>(3,082)</w:t>
            </w:r>
          </w:p>
        </w:tc>
        <w:tc>
          <w:tcPr>
            <w:tcW w:w="74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-4194810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-4194810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-4194810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-4194810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-4194810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-4194810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-4194810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-4194810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-4194810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-4194810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-4194810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-4194810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-4194810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-4194810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-4194810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-4194810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-4194810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-4194810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-3380105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-3380105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8"/>
        </w:trPr>
        <w:tc>
          <w:tcPr>
            <w:tcW w:w="5540" w:type="dxa"/>
            <w:vAlign w:val="bottom"/>
            <w:gridSpan w:val="2"/>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tcPr>
          <w:p>
            <w:pPr>
              <w:jc w:val="right"/>
              <w:spacing w:after="0"/>
              <w:rPr>
                <w:sz w:val="20"/>
                <w:szCs w:val="20"/>
                <w:color w:val="auto"/>
              </w:rPr>
            </w:pPr>
            <w:r>
              <w:rPr>
                <w:rFonts w:ascii="Arial" w:cs="Arial" w:eastAsia="Arial" w:hAnsi="Arial"/>
                <w:sz w:val="18"/>
                <w:szCs w:val="18"/>
                <w:color w:val="auto"/>
              </w:rPr>
              <w:t>22,377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21,031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5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(13,483)</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(9,779)</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8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Cash consideration paid for acquired businesses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(1,024</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Sales (purchases) of marketable securities, net</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(4,104</w:t>
            </w:r>
            <w:r>
              <w:rPr>
                <w:rFonts w:ascii="Arial" w:cs="Arial" w:eastAsia="Arial" w:hAnsi="Arial"/>
                <w:sz w:val="13"/>
                <w:szCs w:val="13"/>
                <w:color w:val="auto"/>
              </w:rPr>
              <w:t>)</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(4,001)</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68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540" w:type="dxa"/>
            <w:vAlign w:val="bottom"/>
            <w:gridSpan w:val="2"/>
            <w:vMerge w:val="continue"/>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(18,109)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(12,960)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11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55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proceeds (payments) on notes payable</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Proceeds from long-term debt</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5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Principal payments on long-term debt</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(1,493)</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(5,921)</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(7,034)</w:t>
            </w:r>
          </w:p>
        </w:tc>
        <w:tc>
          <w:tcPr>
            <w:tcW w:w="0" w:type="dxa"/>
            <w:vAlign w:val="bottom"/>
          </w:tcPr>
          <w:p>
            <w:pPr>
              <w:spacing w:after="0"/>
              <w:rPr>
                <w:sz w:val="1"/>
                <w:szCs w:val="1"/>
                <w:color w:val="auto"/>
              </w:rPr>
            </w:pPr>
          </w:p>
        </w:tc>
      </w:tr>
      <w:tr>
        <w:trPr>
          <w:trHeight w:val="248"/>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Proceeds from exercise of stock options and</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540" w:type="dxa"/>
            <w:vAlign w:val="bottom"/>
            <w:gridSpan w:val="2"/>
          </w:tcPr>
          <w:p>
            <w:pPr>
              <w:ind w:left="320"/>
              <w:spacing w:after="0"/>
              <w:rPr>
                <w:sz w:val="20"/>
                <w:szCs w:val="20"/>
                <w:color w:val="auto"/>
              </w:rPr>
            </w:pPr>
            <w:r>
              <w:rPr>
                <w:rFonts w:ascii="Arial" w:cs="Arial" w:eastAsia="Arial" w:hAnsi="Arial"/>
                <w:sz w:val="18"/>
                <w:szCs w:val="18"/>
                <w:color w:val="auto"/>
              </w:rPr>
              <w:t>warrants</w:t>
            </w:r>
          </w:p>
        </w:tc>
        <w:tc>
          <w:tcPr>
            <w:tcW w:w="68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540" w:type="dxa"/>
            <w:vAlign w:val="bottom"/>
            <w:gridSpan w:val="2"/>
            <w:shd w:val="clear" w:color="auto" w:fill="EAF9E8"/>
          </w:tcPr>
          <w:p>
            <w:pPr>
              <w:ind w:left="48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(762)</w:t>
            </w: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(5,053)</w:t>
            </w:r>
          </w:p>
        </w:tc>
        <w:tc>
          <w:tcPr>
            <w:tcW w:w="8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0"/>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540" w:type="dxa"/>
            <w:vAlign w:val="bottom"/>
            <w:gridSpan w:val="2"/>
            <w:shd w:val="clear" w:color="auto" w:fill="EAF9E8"/>
          </w:tcPr>
          <w:p>
            <w:pPr>
              <w:ind w:left="480"/>
              <w:spacing w:after="0"/>
              <w:rPr>
                <w:sz w:val="20"/>
                <w:szCs w:val="20"/>
                <w:color w:val="auto"/>
              </w:rPr>
            </w:pPr>
            <w:r>
              <w:rPr>
                <w:rFonts w:ascii="Arial" w:cs="Arial" w:eastAsia="Arial" w:hAnsi="Arial"/>
                <w:sz w:val="18"/>
                <w:szCs w:val="18"/>
                <w:b w:val="1"/>
                <w:bCs w:val="1"/>
                <w:color w:val="auto"/>
              </w:rPr>
              <w:t>Increase in cash and cash equivalents</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3,706</w:t>
            </w: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2,978</w:t>
            </w: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5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gridSpan w:val="2"/>
          </w:tcPr>
          <w:p>
            <w:pPr>
              <w:ind w:left="160"/>
              <w:spacing w:after="0"/>
              <w:rPr>
                <w:sz w:val="20"/>
                <w:szCs w:val="20"/>
                <w:color w:val="auto"/>
              </w:rPr>
            </w:pPr>
            <w:r>
              <w:rPr>
                <w:rFonts w:ascii="Arial" w:cs="Arial" w:eastAsia="Arial" w:hAnsi="Arial"/>
                <w:sz w:val="18"/>
                <w:szCs w:val="18"/>
                <w:color w:val="auto"/>
              </w:rPr>
              <w:t>Beginning</w:t>
            </w:r>
          </w:p>
        </w:tc>
        <w:tc>
          <w:tcPr>
            <w:tcW w:w="680" w:type="dxa"/>
            <w:vAlign w:val="bottom"/>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9,277</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Ending</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$ 15,961</w:t>
            </w:r>
          </w:p>
        </w:tc>
        <w:tc>
          <w:tcPr>
            <w:tcW w:w="18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1"/>
              </w:rPr>
              <w:t>$ 12,255</w:t>
            </w:r>
          </w:p>
        </w:tc>
        <w:tc>
          <w:tcPr>
            <w:tcW w:w="18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  9,277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3665220</wp:posOffset>
            </wp:positionH>
            <wp:positionV relativeFrom="page">
              <wp:posOffset>88900</wp:posOffset>
            </wp:positionV>
            <wp:extent cx="15265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6540" cy="825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99"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our subsidiaries are engaged principally in the design, manufacture and sale of a wide range of electronic display systems which are sold in a variety of markets throughout the world and rendering related services, including content development, marketing and maintenance services. Our products are designed primarily to inform and entertain people through the communication of content.</w:t>
      </w:r>
    </w:p>
    <w:p>
      <w:pPr>
        <w:spacing w:after="0" w:line="161" w:lineRule="exact"/>
        <w:rPr>
          <w:sz w:val="20"/>
          <w:szCs w:val="20"/>
          <w:color w:val="auto"/>
        </w:rPr>
      </w:pPr>
    </w:p>
    <w:p>
      <w:pPr>
        <w:jc w:val="both"/>
        <w:ind w:right="140" w:firstLine="351"/>
        <w:spacing w:after="0" w:line="268"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We operate on a 52 to 53 week fiscal year end, with fiscal years ending on the Saturday closest to April 30 of each year. The years ended April 30, 2005 and May 1, 2004 consisted of 52 weeks. The year ended May 3, 2003 consisted of 53 weeks.</w:t>
      </w:r>
    </w:p>
    <w:p>
      <w:pPr>
        <w:spacing w:after="0" w:line="186"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u w:val="single" w:color="auto"/>
          <w:color w:val="auto"/>
        </w:rPr>
        <w:t>Principles of consolidation:</w:t>
      </w:r>
      <w:r>
        <w:rPr>
          <w:rFonts w:ascii="Arial" w:cs="Arial" w:eastAsia="Arial" w:hAnsi="Arial"/>
          <w:sz w:val="16"/>
          <w:szCs w:val="16"/>
          <w:color w:val="auto"/>
        </w:rPr>
        <w:t xml:space="preserve"> The consolidated financial statements include our accounts and our wholly-owned subsidiaries — Daktronics GmbH; Star Circuits, Inc.; Sports Link, Ltd.; MSC Technologies, Inc.; Daktronics UK, Ltd.; Daktronics Hong Kong, Ltd.; and Daktronics Canada, Inc. Investments in affiliates owned 50% or less are accounted for by the equity method. Intercompany balances and transactions have been eliminated in consolidation.</w:t>
      </w:r>
    </w:p>
    <w:p>
      <w:pPr>
        <w:spacing w:after="0" w:line="16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rPr>
        <w:t xml:space="preserve"> Certain reclassifications have been made to the fiscal year 2004 and 2003 financial statements to conform to the presentation used in the fiscal year 2005 financial statements. These reclassifications had no effect on shareholders’ equity or net income as previously reported.</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warranties, inventory valuation and the reserve for doubtful accounts.</w:t>
      </w:r>
    </w:p>
    <w:p>
      <w:pPr>
        <w:spacing w:after="0" w:line="170"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u w:val="single" w:color="auto"/>
          <w:color w:val="auto"/>
        </w:rPr>
        <w:t>Cash and cash equivalents:</w:t>
      </w:r>
      <w:r>
        <w:rPr>
          <w:rFonts w:ascii="Arial" w:cs="Arial" w:eastAsia="Arial" w:hAnsi="Arial"/>
          <w:sz w:val="15"/>
          <w:szCs w:val="15"/>
          <w:color w:val="auto"/>
        </w:rPr>
        <w:t xml:space="preserve"> All highly liquid investments with maturities of three months or less at the date of purchase are considered to be cash equivalents consisting primarily of government repurchase agreements and money market accounts, and they are carried at cost that approximates market. We maintain our</w:t>
      </w:r>
    </w:p>
    <w:p>
      <w:pPr>
        <w:sectPr>
          <w:pgSz w:w="11900" w:h="16838" w:orient="portrait"/>
          <w:cols w:equalWidth="0" w:num="1">
            <w:col w:w="11380"/>
          </w:cols>
          <w:pgMar w:left="240" w:top="436" w:right="279" w:bottom="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cash in bank deposit accounts, the balances of which at times may exceed federally insured limits. We have not experienced any losses in such accounts.</w:t>
      </w:r>
    </w:p>
    <w:p>
      <w:pPr>
        <w:spacing w:after="0" w:line="24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u w:val="single" w:color="auto"/>
          <w:color w:val="auto"/>
        </w:rPr>
        <w:t>Marketable Securities</w:t>
      </w:r>
      <w:r>
        <w:rPr>
          <w:rFonts w:ascii="Arial" w:cs="Arial" w:eastAsia="Arial" w:hAnsi="Arial"/>
          <w:sz w:val="16"/>
          <w:szCs w:val="16"/>
          <w:color w:val="auto"/>
        </w:rPr>
        <w:t>: We classify our investments in marketable securities as “available-for-sale” or “held-to-maturity” in accordance with the provisions of Statement of Financial Accounting Standards (“SFAS”) No. 115, “Accounting for Certain Investments in Debt and Equity Securities”. Any investments that we intend to hold for more than one year are classified as long-term investments. Available-for-sale securities are carried at fair value with the unrealized gain or loss, net of tax, reported in other comprehensive income. Held-to-maturity securities are recorded at amortized cost. Unrealized losses considered to be “other-than-temporary” are recognized currently in earnings. The cost of securities sold is based on the specific identification method. The fair value of most investment securities is determined by currently available market prices. Where quoted market prices are not available, we use the market price of similar types of securities that are traded in the market to estimate fair value. See Note 4 for a detailed description of our investments in marketable securities.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(first-in, first-out method) or market.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and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cases where we receive the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and deferred costs, net of amortization, was $1,722 as of April 30, 2005 and $1,415 as of May 1, 2004.</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as net sales over the term of the agreement, which varies from two to 10 years.</w:t>
      </w:r>
    </w:p>
    <w:p>
      <w:pPr>
        <w:spacing w:after="0" w:line="11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typically sell our proprietary software bundled with our video displays and certain other products, but we also sell our software separately.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when the services are performed.</w:t>
      </w:r>
    </w:p>
    <w:p>
      <w:pPr>
        <w:spacing w:after="0" w:line="186"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u w:val="single" w:color="auto"/>
          <w:color w:val="auto"/>
        </w:rPr>
        <w:t>Derivatives:</w:t>
      </w:r>
      <w:r>
        <w:rPr>
          <w:rFonts w:ascii="Arial" w:cs="Arial" w:eastAsia="Arial" w:hAnsi="Arial"/>
          <w:sz w:val="15"/>
          <w:szCs w:val="15"/>
          <w:color w:val="auto"/>
        </w:rPr>
        <w:t xml:space="preserve">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As of January 1, 2001, we adopted SFAS No. 133, “Accounting for Derivative Instruments and Hedging Activities, as amended by SFAS No. 137 and No.</w:t>
      </w:r>
    </w:p>
    <w:p>
      <w:pPr>
        <w:spacing w:after="0" w:line="1" w:lineRule="exact"/>
        <w:rPr>
          <w:sz w:val="20"/>
          <w:szCs w:val="20"/>
          <w:color w:val="auto"/>
        </w:rPr>
      </w:pPr>
    </w:p>
    <w:p>
      <w:pPr>
        <w:ind w:firstLine="8"/>
        <w:spacing w:after="0" w:line="295"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SFAS No. 133, as amended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6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fiscal year ended April 30, 2005, we had not recognized any net gain or loss related to the ineffective portion of our hedging instruments, or any net gain or loss related to the portion of the hedging instrument excluded from the assessment of hedge effectiveness. No cash flow hedges were discontinued causing the recognition of a gain or loss in other income (expense), net. The fair value of all derivatives is included in prepaid expenses and other in the statement of financial condition.</w:t>
      </w:r>
    </w:p>
    <w:p>
      <w:pPr>
        <w:spacing w:after="0" w:line="197"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April 30, 2005, we expect to reclassify $26 of net gains (losses) on derivative instruments from accumulated other comprehensive income to earnings during the next 12 months due to actual export sales.</w:t>
      </w:r>
    </w:p>
    <w:p>
      <w:pPr>
        <w:spacing w:after="0" w:line="186"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As of May 1, 2004, we had determined that the derivatives outstanding, which consisted of foreign currency forward contracts that are intended to minimize our exposure on certain foreign currency transactions with notional amounts equal to our exposure on certain euro and Canadian dollar denominated transactions, were not considered hedges. Therefore, they were recognized at fair value in the statement of financial condition, and the changes in fair value for the fiscal year ended April 30, 2005 of approximately ($47) were recognized in other income, net.</w:t>
      </w:r>
    </w:p>
    <w:p>
      <w:pPr>
        <w:spacing w:after="0" w:line="167"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ectPr>
          <w:pgSz w:w="11900" w:h="16838" w:orient="portrait"/>
          <w:cols w:equalWidth="0" w:num="1">
            <w:col w:w="11420"/>
          </w:cols>
          <w:pgMar w:left="240" w:top="131" w:right="239" w:bottom="0" w:gutter="0" w:footer="0" w:header="0"/>
        </w:sectPr>
      </w:pPr>
    </w:p>
    <w:bookmarkStart w:id="24" w:name="page25"/>
    <w:bookmarkEnd w:id="24"/>
    <w:p>
      <w:pPr>
        <w:spacing w:after="0" w:line="15"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w w:val="97"/>
              </w:rPr>
              <w:t>Years</w:t>
            </w:r>
          </w:p>
        </w:tc>
      </w:tr>
      <w:tr>
        <w:trPr>
          <w:trHeight w:val="70"/>
        </w:trPr>
        <w:tc>
          <w:tcPr>
            <w:tcW w:w="348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r>
      <w:tr>
        <w:trPr>
          <w:trHeight w:val="323"/>
        </w:trPr>
        <w:tc>
          <w:tcPr>
            <w:tcW w:w="3480" w:type="dxa"/>
            <w:vAlign w:val="bottom"/>
          </w:tcPr>
          <w:p>
            <w:pPr>
              <w:spacing w:after="0"/>
              <w:rPr>
                <w:sz w:val="20"/>
                <w:szCs w:val="20"/>
                <w:color w:val="auto"/>
              </w:rPr>
            </w:pPr>
            <w:r>
              <w:rPr>
                <w:rFonts w:ascii="Arial" w:cs="Arial" w:eastAsia="Arial" w:hAnsi="Arial"/>
                <w:sz w:val="18"/>
                <w:szCs w:val="18"/>
                <w:color w:val="auto"/>
              </w:rPr>
              <w:t>Buildings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7 - 40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2 - 7</w:t>
            </w:r>
          </w:p>
        </w:tc>
      </w:tr>
    </w:tbl>
    <w:p>
      <w:pPr>
        <w:spacing w:after="0" w:line="200" w:lineRule="exact"/>
        <w:rPr>
          <w:sz w:val="20"/>
          <w:szCs w:val="20"/>
          <w:color w:val="auto"/>
        </w:rPr>
      </w:pPr>
    </w:p>
    <w:p>
      <w:pPr>
        <w:spacing w:after="0" w:line="253" w:lineRule="exact"/>
        <w:rPr>
          <w:sz w:val="20"/>
          <w:szCs w:val="20"/>
          <w:color w:val="auto"/>
        </w:rPr>
      </w:pPr>
    </w:p>
    <w:p>
      <w:pPr>
        <w:ind w:right="780" w:firstLine="395"/>
        <w:spacing w:after="0" w:line="268"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goodwill and other intangible assets in accordance with SFAS No. 142, and we complete an impairment analysis on an annual basis and more frequently if circumstances warrant.</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Goodwill, net of accumulated amortization, was $2,621 at April 30, 2005 and $1,411 at May 1, 2004. Accumulated amortization was $157 at April 30, 2005 and at May 1, 2004. We performed an analysis of goodwill as of October 30, 2004 and November 2, 2003. The results of the analysis indicated that no goodwill impairment existed as of these dates.</w:t>
      </w:r>
    </w:p>
    <w:p>
      <w:pPr>
        <w:spacing w:after="0" w:line="194"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required by SFAS No. 142, intangibles with finite lives continue to be amortized. Included in intangible assets are a non-compete agreement and a patent license. Intangible assets before accumulated amortization were $560 at April 30, 2005 and $550 at May 1, 2004. Accumulated amortization was $524 at April 30, 2005 and $483 at May 1, 2004. Amortization expense for the fiscal years 2005, 2004 and 2003 was $41, $63 and $110, respectively. The net value of intangible assets is included as a component of Intangible and other assets in the accompanying consolidated balance sheets. Estimated amortization expense based on intangibles as of April 30, 2005 is $28, $1 and $1 for the fiscal years ending 2005, 2006 and 2007, respectively.</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The assets and liabilities of foreign operations are translated at the exchange rates in effect at the balance sheet date, with the related translation gains or losses reported as a separate component of shareholders’ equity. The operating results of foreign operations are translated at weighted average exchange rates.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account for income taxes under SFAS No. 109, “Accounting for Income Taxes”. Deferred taxes are provided on an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amounts of assets and liabilities recorded for income tax and financial reporting purposes.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the accumulated balances for each item included in the accumulated other comprehensive income: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 Gains</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(Loss)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8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(Losses) on</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Marketable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80" w:type="dxa"/>
            <w:vAlign w:val="bottom"/>
          </w:tcPr>
          <w:p>
            <w:pPr>
              <w:spacing w:after="0"/>
              <w:rPr>
                <w:sz w:val="12"/>
                <w:szCs w:val="12"/>
                <w:color w:val="auto"/>
              </w:rPr>
            </w:pPr>
          </w:p>
        </w:tc>
      </w:tr>
      <w:tr>
        <w:trPr>
          <w:trHeight w:val="174"/>
        </w:trPr>
        <w:tc>
          <w:tcPr>
            <w:tcW w:w="28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Adjustment</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Instruments</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880" w:type="dxa"/>
            <w:vAlign w:val="bottom"/>
          </w:tcPr>
          <w:p>
            <w:pPr>
              <w:spacing w:after="0"/>
              <w:rPr>
                <w:sz w:val="15"/>
                <w:szCs w:val="15"/>
                <w:color w:val="auto"/>
              </w:rPr>
            </w:pPr>
          </w:p>
        </w:tc>
      </w:tr>
      <w:tr>
        <w:trPr>
          <w:trHeight w:val="95"/>
        </w:trPr>
        <w:tc>
          <w:tcPr>
            <w:tcW w:w="28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r>
      <w:tr>
        <w:trPr>
          <w:trHeight w:val="115"/>
        </w:trPr>
        <w:tc>
          <w:tcPr>
            <w:tcW w:w="2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12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r>
      <w:tr>
        <w:trPr>
          <w:trHeight w:val="282"/>
        </w:trPr>
        <w:tc>
          <w:tcPr>
            <w:tcW w:w="2800" w:type="dxa"/>
            <w:vAlign w:val="bottom"/>
            <w:shd w:val="clear" w:color="auto" w:fill="EAF9E8"/>
          </w:tcPr>
          <w:p>
            <w:pPr>
              <w:spacing w:after="0"/>
              <w:rPr>
                <w:sz w:val="20"/>
                <w:szCs w:val="20"/>
                <w:color w:val="auto"/>
              </w:rPr>
            </w:pPr>
            <w:r>
              <w:rPr>
                <w:rFonts w:ascii="Arial" w:cs="Arial" w:eastAsia="Arial" w:hAnsi="Arial"/>
                <w:sz w:val="18"/>
                <w:szCs w:val="18"/>
                <w:color w:val="auto"/>
              </w:rPr>
              <w:t>Balance, April 27, 2002</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(20)</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7"/>
              </w:rPr>
              <w:t>(20)</w:t>
            </w:r>
          </w:p>
        </w:tc>
        <w:tc>
          <w:tcPr>
            <w:tcW w:w="880" w:type="dxa"/>
            <w:vAlign w:val="bottom"/>
            <w:shd w:val="clear" w:color="auto" w:fill="EAF9E8"/>
          </w:tcPr>
          <w:p>
            <w:pPr>
              <w:spacing w:after="0"/>
              <w:rPr>
                <w:sz w:val="24"/>
                <w:szCs w:val="24"/>
                <w:color w:val="auto"/>
              </w:rPr>
            </w:pPr>
          </w:p>
        </w:tc>
      </w:tr>
      <w:tr>
        <w:trPr>
          <w:trHeight w:val="286"/>
        </w:trPr>
        <w:tc>
          <w:tcPr>
            <w:tcW w:w="28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(18)</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7"/>
              </w:rPr>
              <w:t>(18)</w:t>
            </w:r>
          </w:p>
        </w:tc>
        <w:tc>
          <w:tcPr>
            <w:tcW w:w="880" w:type="dxa"/>
            <w:vAlign w:val="bottom"/>
            <w:shd w:val="clear" w:color="auto" w:fill="EAF9E8"/>
          </w:tcPr>
          <w:p>
            <w:pPr>
              <w:spacing w:after="0"/>
              <w:rPr>
                <w:sz w:val="24"/>
                <w:szCs w:val="24"/>
                <w:color w:val="auto"/>
              </w:rPr>
            </w:pPr>
          </w:p>
        </w:tc>
      </w:tr>
      <w:tr>
        <w:trPr>
          <w:trHeight w:val="108"/>
        </w:trPr>
        <w:tc>
          <w:tcPr>
            <w:tcW w:w="28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r>
      <w:tr>
        <w:trPr>
          <w:trHeight w:val="115"/>
        </w:trPr>
        <w:tc>
          <w:tcPr>
            <w:tcW w:w="2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12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r>
      <w:tr>
        <w:trPr>
          <w:trHeight w:val="282"/>
        </w:trPr>
        <w:tc>
          <w:tcPr>
            <w:tcW w:w="2800" w:type="dxa"/>
            <w:vAlign w:val="bottom"/>
            <w:shd w:val="clear" w:color="auto" w:fill="EAF9E8"/>
          </w:tcPr>
          <w:p>
            <w:pPr>
              <w:spacing w:after="0"/>
              <w:rPr>
                <w:sz w:val="20"/>
                <w:szCs w:val="20"/>
                <w:color w:val="auto"/>
              </w:rPr>
            </w:pPr>
            <w:r>
              <w:rPr>
                <w:rFonts w:ascii="Arial" w:cs="Arial" w:eastAsia="Arial" w:hAnsi="Arial"/>
                <w:sz w:val="18"/>
                <w:szCs w:val="18"/>
                <w:color w:val="auto"/>
              </w:rPr>
              <w:t>Balance, May 3, 2003</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(38)</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7"/>
              </w:rPr>
              <w:t>(38)</w:t>
            </w:r>
          </w:p>
        </w:tc>
        <w:tc>
          <w:tcPr>
            <w:tcW w:w="880" w:type="dxa"/>
            <w:vAlign w:val="bottom"/>
            <w:shd w:val="clear" w:color="auto" w:fill="EAF9E8"/>
          </w:tcPr>
          <w:p>
            <w:pPr>
              <w:spacing w:after="0"/>
              <w:rPr>
                <w:sz w:val="24"/>
                <w:szCs w:val="24"/>
                <w:color w:val="auto"/>
              </w:rPr>
            </w:pPr>
          </w:p>
        </w:tc>
      </w:tr>
      <w:tr>
        <w:trPr>
          <w:trHeight w:val="286"/>
        </w:trPr>
        <w:tc>
          <w:tcPr>
            <w:tcW w:w="28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(46)</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7"/>
              </w:rPr>
              <w:t>(46)</w:t>
            </w:r>
          </w:p>
        </w:tc>
        <w:tc>
          <w:tcPr>
            <w:tcW w:w="880" w:type="dxa"/>
            <w:vAlign w:val="bottom"/>
            <w:shd w:val="clear" w:color="auto" w:fill="EAF9E8"/>
          </w:tcPr>
          <w:p>
            <w:pPr>
              <w:spacing w:after="0"/>
              <w:rPr>
                <w:sz w:val="24"/>
                <w:szCs w:val="24"/>
                <w:color w:val="auto"/>
              </w:rPr>
            </w:pPr>
          </w:p>
        </w:tc>
      </w:tr>
      <w:tr>
        <w:trPr>
          <w:trHeight w:val="108"/>
        </w:trPr>
        <w:tc>
          <w:tcPr>
            <w:tcW w:w="28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r>
      <w:tr>
        <w:trPr>
          <w:trHeight w:val="115"/>
        </w:trPr>
        <w:tc>
          <w:tcPr>
            <w:tcW w:w="2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12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r>
      <w:tr>
        <w:trPr>
          <w:trHeight w:val="282"/>
        </w:trPr>
        <w:tc>
          <w:tcPr>
            <w:tcW w:w="2800" w:type="dxa"/>
            <w:vAlign w:val="bottom"/>
            <w:shd w:val="clear" w:color="auto" w:fill="EAF9E8"/>
          </w:tcPr>
          <w:p>
            <w:pPr>
              <w:spacing w:after="0"/>
              <w:rPr>
                <w:sz w:val="20"/>
                <w:szCs w:val="20"/>
                <w:color w:val="auto"/>
              </w:rPr>
            </w:pPr>
            <w:r>
              <w:rPr>
                <w:rFonts w:ascii="Arial" w:cs="Arial" w:eastAsia="Arial" w:hAnsi="Arial"/>
                <w:sz w:val="18"/>
                <w:szCs w:val="18"/>
                <w:color w:val="auto"/>
              </w:rPr>
              <w:t>Balance, May 1, 2004</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3"/>
              </w:rPr>
              <w:t>(84)</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7"/>
              </w:rPr>
              <w:t>(84)</w:t>
            </w:r>
          </w:p>
        </w:tc>
        <w:tc>
          <w:tcPr>
            <w:tcW w:w="880" w:type="dxa"/>
            <w:vAlign w:val="bottom"/>
            <w:shd w:val="clear" w:color="auto" w:fill="EAF9E8"/>
          </w:tcPr>
          <w:p>
            <w:pPr>
              <w:spacing w:after="0"/>
              <w:rPr>
                <w:sz w:val="24"/>
                <w:szCs w:val="24"/>
                <w:color w:val="auto"/>
              </w:rPr>
            </w:pPr>
          </w:p>
        </w:tc>
      </w:tr>
      <w:tr>
        <w:trPr>
          <w:trHeight w:val="286"/>
        </w:trPr>
        <w:tc>
          <w:tcPr>
            <w:tcW w:w="28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217</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3"/>
              </w:rPr>
              <w:t>243</w:t>
            </w:r>
          </w:p>
        </w:tc>
        <w:tc>
          <w:tcPr>
            <w:tcW w:w="880" w:type="dxa"/>
            <w:vAlign w:val="bottom"/>
            <w:shd w:val="clear" w:color="auto" w:fill="EAF9E8"/>
          </w:tcPr>
          <w:p>
            <w:pPr>
              <w:spacing w:after="0"/>
              <w:rPr>
                <w:sz w:val="24"/>
                <w:szCs w:val="24"/>
                <w:color w:val="auto"/>
              </w:rPr>
            </w:pPr>
          </w:p>
        </w:tc>
      </w:tr>
      <w:tr>
        <w:trPr>
          <w:trHeight w:val="108"/>
        </w:trPr>
        <w:tc>
          <w:tcPr>
            <w:tcW w:w="28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880" w:type="dxa"/>
            <w:vAlign w:val="bottom"/>
          </w:tcPr>
          <w:p>
            <w:pPr>
              <w:spacing w:after="0"/>
              <w:rPr>
                <w:sz w:val="9"/>
                <w:szCs w:val="9"/>
                <w:color w:val="auto"/>
              </w:rPr>
            </w:pPr>
          </w:p>
        </w:tc>
      </w:tr>
      <w:tr>
        <w:trPr>
          <w:trHeight w:val="115"/>
        </w:trPr>
        <w:tc>
          <w:tcPr>
            <w:tcW w:w="2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040" w:type="dxa"/>
            <w:vAlign w:val="bottom"/>
            <w:gridSpan w:val="2"/>
          </w:tcPr>
          <w:p>
            <w:pPr>
              <w:spacing w:after="0"/>
              <w:rPr>
                <w:sz w:val="10"/>
                <w:szCs w:val="10"/>
                <w:color w:val="auto"/>
              </w:rPr>
            </w:pPr>
          </w:p>
        </w:tc>
        <w:tc>
          <w:tcPr>
            <w:tcW w:w="122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r>
      <w:tr>
        <w:trPr>
          <w:trHeight w:val="284"/>
        </w:trPr>
        <w:tc>
          <w:tcPr>
            <w:tcW w:w="2800" w:type="dxa"/>
            <w:vAlign w:val="bottom"/>
            <w:shd w:val="clear" w:color="auto" w:fill="EAF9E8"/>
          </w:tcPr>
          <w:p>
            <w:pPr>
              <w:spacing w:after="0"/>
              <w:rPr>
                <w:sz w:val="20"/>
                <w:szCs w:val="20"/>
                <w:color w:val="auto"/>
              </w:rPr>
            </w:pPr>
            <w:r>
              <w:rPr>
                <w:rFonts w:ascii="Arial" w:cs="Arial" w:eastAsia="Arial" w:hAnsi="Arial"/>
                <w:sz w:val="18"/>
                <w:szCs w:val="18"/>
                <w:color w:val="auto"/>
              </w:rPr>
              <w:t>Balance, April 30, 2005</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133</w:t>
            </w:r>
          </w:p>
        </w:tc>
        <w:tc>
          <w:tcPr>
            <w:tcW w:w="11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89"/>
              </w:rPr>
              <w:t>26</w:t>
            </w:r>
          </w:p>
        </w:tc>
        <w:tc>
          <w:tcPr>
            <w:tcW w:w="1040" w:type="dxa"/>
            <w:vAlign w:val="bottom"/>
            <w:gridSpan w:val="2"/>
            <w:shd w:val="clear" w:color="auto" w:fill="EAF9E8"/>
          </w:tcPr>
          <w:p>
            <w:pPr>
              <w:jc w:val="right"/>
              <w:ind w:right="3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3"/>
              </w:rPr>
              <w:t>159</w:t>
            </w:r>
          </w:p>
        </w:tc>
        <w:tc>
          <w:tcPr>
            <w:tcW w:w="880" w:type="dxa"/>
            <w:vAlign w:val="bottom"/>
            <w:shd w:val="clear" w:color="auto" w:fill="EAF9E8"/>
          </w:tcPr>
          <w:p>
            <w:pPr>
              <w:spacing w:after="0"/>
              <w:rPr>
                <w:sz w:val="24"/>
                <w:szCs w:val="24"/>
                <w:color w:val="auto"/>
              </w:rPr>
            </w:pPr>
          </w:p>
        </w:tc>
      </w:tr>
      <w:tr>
        <w:trPr>
          <w:trHeight w:val="118"/>
        </w:trPr>
        <w:tc>
          <w:tcPr>
            <w:tcW w:w="2800" w:type="dxa"/>
            <w:vAlign w:val="bottom"/>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 from existing technologies. Product development expenses for fiscal years 2005, 2004, and 2003 were $10,499, $8,126 and $6,918, respectively.</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for fiscal years 2005, 2004 and 2003 were $1,067, $772 and $602,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record shipping and handling costs as a component of cost of sales at the time the product is shipped.</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u w:val="single" w:color="auto"/>
          <w:color w:val="auto"/>
        </w:rPr>
        <w:t>Segment reporting:</w:t>
      </w:r>
      <w:r>
        <w:rPr>
          <w:rFonts w:ascii="Arial" w:cs="Arial" w:eastAsia="Arial" w:hAnsi="Arial"/>
          <w:sz w:val="18"/>
          <w:szCs w:val="18"/>
          <w:color w:val="auto"/>
        </w:rPr>
        <w:t xml:space="preserve"> 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have no individual customers that constitute a significant concentration.</w:t>
      </w:r>
    </w:p>
    <w:p>
      <w:pPr>
        <w:sectPr>
          <w:pgSz w:w="11900" w:h="16854" w:orient="portrait"/>
          <w:cols w:equalWidth="0" w:num="1">
            <w:col w:w="11400"/>
          </w:cols>
          <w:pgMar w:left="240" w:top="193" w:right="259" w:bottom="0" w:gutter="0" w:footer="0" w:header="0"/>
        </w:sectPr>
      </w:pPr>
    </w:p>
    <w:bookmarkStart w:id="25" w:name="page26"/>
    <w:bookmarkEnd w:id="25"/>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United States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60" w:type="dxa"/>
            <w:vAlign w:val="bottom"/>
            <w:vMerge w:val="restart"/>
          </w:tcPr>
          <w:p>
            <w:pPr>
              <w:spacing w:after="0"/>
              <w:rPr>
                <w:sz w:val="20"/>
                <w:szCs w:val="20"/>
                <w:color w:val="auto"/>
              </w:rPr>
            </w:pPr>
            <w:r>
              <w:rPr>
                <w:rFonts w:ascii="Arial" w:cs="Arial" w:eastAsia="Arial" w:hAnsi="Arial"/>
                <w:sz w:val="18"/>
                <w:szCs w:val="18"/>
                <w:color w:val="auto"/>
              </w:rPr>
              <w:t>Net sales for the fiscal year ended:</w:t>
            </w: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2005</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206,009</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24,337</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230,346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060" w:type="dxa"/>
            <w:vAlign w:val="bottom"/>
          </w:tcPr>
          <w:p>
            <w:pPr>
              <w:jc w:val="right"/>
              <w:ind w:right="3392"/>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182,124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27,783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209,907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168,534</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9,230</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177,764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566"/>
        </w:trPr>
        <w:tc>
          <w:tcPr>
            <w:tcW w:w="5060" w:type="dxa"/>
            <w:vAlign w:val="bottom"/>
          </w:tcPr>
          <w:p>
            <w:pPr>
              <w:spacing w:after="0"/>
              <w:rPr>
                <w:sz w:val="20"/>
                <w:szCs w:val="20"/>
                <w:color w:val="auto"/>
              </w:rPr>
            </w:pPr>
            <w:r>
              <w:rPr>
                <w:rFonts w:ascii="Arial" w:cs="Arial" w:eastAsia="Arial" w:hAnsi="Arial"/>
                <w:sz w:val="18"/>
                <w:szCs w:val="18"/>
                <w:color w:val="auto"/>
              </w:rPr>
              <w:t>Long-lived assets as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32"/>
              <w:spacing w:after="0"/>
              <w:rPr>
                <w:sz w:val="20"/>
                <w:szCs w:val="20"/>
                <w:color w:val="auto"/>
              </w:rPr>
            </w:pPr>
            <w:r>
              <w:rPr>
                <w:rFonts w:ascii="Arial" w:cs="Arial" w:eastAsia="Arial" w:hAnsi="Arial"/>
                <w:sz w:val="18"/>
                <w:szCs w:val="18"/>
                <w:color w:val="auto"/>
              </w:rPr>
              <w:t>April 30, 2005</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29,597</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1,456</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31,053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060" w:type="dxa"/>
            <w:vAlign w:val="bottom"/>
          </w:tcPr>
          <w:p>
            <w:pPr>
              <w:jc w:val="right"/>
              <w:ind w:right="3332"/>
              <w:spacing w:after="0"/>
              <w:rPr>
                <w:sz w:val="20"/>
                <w:szCs w:val="20"/>
                <w:color w:val="auto"/>
              </w:rPr>
            </w:pPr>
            <w:r>
              <w:rPr>
                <w:rFonts w:ascii="Arial" w:cs="Arial" w:eastAsia="Arial" w:hAnsi="Arial"/>
                <w:sz w:val="18"/>
                <w:szCs w:val="18"/>
                <w:color w:val="auto"/>
              </w:rPr>
              <w:t>May 1, 2004</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24,339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32"/>
              <w:spacing w:after="0"/>
              <w:rPr>
                <w:sz w:val="20"/>
                <w:szCs w:val="20"/>
                <w:color w:val="auto"/>
              </w:rPr>
            </w:pPr>
            <w:r>
              <w:rPr>
                <w:rFonts w:ascii="Arial" w:cs="Arial" w:eastAsia="Arial" w:hAnsi="Arial"/>
                <w:sz w:val="18"/>
                <w:szCs w:val="18"/>
                <w:color w:val="auto"/>
              </w:rPr>
              <w:t>May 3, 2003</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24,457</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jc w:val="both"/>
        <w:ind w:right="80" w:firstLine="341"/>
        <w:spacing w:after="0" w:line="268" w:lineRule="auto"/>
        <w:rPr>
          <w:sz w:val="20"/>
          <w:szCs w:val="20"/>
          <w:color w:val="auto"/>
        </w:rPr>
      </w:pPr>
      <w:r>
        <w:rPr>
          <w:rFonts w:ascii="Arial" w:cs="Arial" w:eastAsia="Arial" w:hAnsi="Arial"/>
          <w:sz w:val="18"/>
          <w:szCs w:val="18"/>
          <w:color w:val="auto"/>
        </w:rPr>
        <w:t>A reconciliation of the income and common stock share amounts used in the calculation of basic and diluted EPS for the years ended April 30, 2005, May 1, 2004 and May 3, 2003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30, 2005:</w:t>
            </w: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18,977</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00" w:type="dxa"/>
            <w:vAlign w:val="bottom"/>
          </w:tcPr>
          <w:p>
            <w:pPr>
              <w:ind w:left="160"/>
              <w:spacing w:after="0"/>
              <w:rPr>
                <w:sz w:val="20"/>
                <w:szCs w:val="20"/>
                <w:color w:val="auto"/>
              </w:rPr>
            </w:pPr>
            <w:r>
              <w:rPr>
                <w:rFonts w:ascii="Arial" w:cs="Arial" w:eastAsia="Arial" w:hAnsi="Arial"/>
                <w:sz w:val="18"/>
                <w:szCs w:val="18"/>
                <w:color w:val="auto"/>
              </w:rPr>
              <w:t>Effects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00" w:type="dxa"/>
            <w:vAlign w:val="bottom"/>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20,137</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May 1, 2004:</w:t>
            </w: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$ 17,727</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18,708</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00" w:type="dxa"/>
            <w:vAlign w:val="bottom"/>
          </w:tcPr>
          <w:p>
            <w:pPr>
              <w:ind w:left="160"/>
              <w:spacing w:after="0"/>
              <w:rPr>
                <w:sz w:val="20"/>
                <w:szCs w:val="20"/>
                <w:color w:val="auto"/>
              </w:rPr>
            </w:pPr>
            <w:r>
              <w:rPr>
                <w:rFonts w:ascii="Arial" w:cs="Arial" w:eastAsia="Arial" w:hAnsi="Arial"/>
                <w:sz w:val="18"/>
                <w:szCs w:val="18"/>
                <w:color w:val="auto"/>
              </w:rPr>
              <w:t>Effects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00" w:type="dxa"/>
            <w:vAlign w:val="bottom"/>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38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$ 17,727</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19,936</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May 3, 2003:</w:t>
            </w: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$ 12,458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18,372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700" w:type="dxa"/>
            <w:vAlign w:val="bottom"/>
          </w:tcPr>
          <w:p>
            <w:pPr>
              <w:ind w:left="160"/>
              <w:spacing w:after="0"/>
              <w:rPr>
                <w:sz w:val="20"/>
                <w:szCs w:val="20"/>
                <w:color w:val="auto"/>
              </w:rPr>
            </w:pPr>
            <w:r>
              <w:rPr>
                <w:rFonts w:ascii="Arial" w:cs="Arial" w:eastAsia="Arial" w:hAnsi="Arial"/>
                <w:sz w:val="18"/>
                <w:szCs w:val="18"/>
                <w:color w:val="auto"/>
              </w:rPr>
              <w:t>Effects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$ 12,458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19,515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Options outstanding of 180 shares of common stock and weighted average share prices of $25.67 during the year ended April 30, 2005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At April 30, 2005, we had four stock-based employee compensation plans, which are described more fully in Note 8. We account for these plans under the recognition and measurement principles of APB Opinion No. 25, “Accounting for Stock Issued to Employees”,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SFAS No. 123, “Accounting for Stock-Based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to stock-based compensation.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Years Ended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6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April 30,</w:t>
            </w:r>
          </w:p>
        </w:tc>
        <w:tc>
          <w:tcPr>
            <w:tcW w:w="100" w:type="dxa"/>
            <w:vAlign w:val="bottom"/>
          </w:tcPr>
          <w:p>
            <w:pPr>
              <w:spacing w:after="0"/>
              <w:rPr>
                <w:sz w:val="24"/>
                <w:szCs w:val="2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May 1,</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May 3,</w:t>
            </w:r>
          </w:p>
        </w:tc>
      </w:tr>
      <w:tr>
        <w:trPr>
          <w:trHeight w:val="174"/>
        </w:trPr>
        <w:tc>
          <w:tcPr>
            <w:tcW w:w="5620" w:type="dxa"/>
            <w:vAlign w:val="bottom"/>
          </w:tcPr>
          <w:p>
            <w:pPr>
              <w:spacing w:after="0"/>
              <w:rPr>
                <w:sz w:val="15"/>
                <w:szCs w:val="15"/>
                <w:color w:val="auto"/>
              </w:rPr>
            </w:pPr>
          </w:p>
        </w:tc>
        <w:tc>
          <w:tcPr>
            <w:tcW w:w="660" w:type="dxa"/>
            <w:vAlign w:val="bottom"/>
          </w:tcPr>
          <w:p>
            <w:pPr>
              <w:jc w:val="right"/>
              <w:ind w:right="12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620" w:type="dxa"/>
            <w:vAlign w:val="bottom"/>
          </w:tcPr>
          <w:p>
            <w:pPr>
              <w:jc w:val="right"/>
              <w:ind w:right="125"/>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95"/>
        </w:trPr>
        <w:tc>
          <w:tcPr>
            <w:tcW w:w="56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5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Net income, as reported</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$ 15,660</w:t>
            </w:r>
          </w:p>
        </w:tc>
        <w:tc>
          <w:tcPr>
            <w:tcW w:w="8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$ 17,727</w:t>
            </w:r>
          </w:p>
        </w:tc>
        <w:tc>
          <w:tcPr>
            <w:tcW w:w="18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$12,458</w:t>
            </w:r>
          </w:p>
        </w:tc>
        <w:tc>
          <w:tcPr>
            <w:tcW w:w="180" w:type="dxa"/>
            <w:vAlign w:val="bottom"/>
            <w:shd w:val="clear" w:color="auto" w:fill="EAF9E8"/>
          </w:tcPr>
          <w:p>
            <w:pPr>
              <w:spacing w:after="0"/>
              <w:rPr>
                <w:sz w:val="22"/>
                <w:szCs w:val="22"/>
                <w:color w:val="auto"/>
              </w:rPr>
            </w:pPr>
          </w:p>
        </w:tc>
      </w:tr>
      <w:tr>
        <w:trPr>
          <w:trHeight w:val="248"/>
        </w:trPr>
        <w:tc>
          <w:tcPr>
            <w:tcW w:w="5620" w:type="dxa"/>
            <w:vAlign w:val="bottom"/>
          </w:tcPr>
          <w:p>
            <w:pPr>
              <w:spacing w:after="0"/>
              <w:rPr>
                <w:sz w:val="20"/>
                <w:szCs w:val="20"/>
                <w:color w:val="auto"/>
              </w:rPr>
            </w:pPr>
            <w:r>
              <w:rPr>
                <w:rFonts w:ascii="Arial" w:cs="Arial" w:eastAsia="Arial" w:hAnsi="Arial"/>
                <w:sz w:val="18"/>
                <w:szCs w:val="18"/>
                <w:color w:val="auto"/>
              </w:rPr>
              <w:t>Deduct: Total stock-based method employee</w:t>
            </w:r>
          </w:p>
        </w:tc>
        <w:tc>
          <w:tcPr>
            <w:tcW w:w="740" w:type="dxa"/>
            <w:vAlign w:val="bottom"/>
            <w:gridSpan w:val="2"/>
          </w:tcPr>
          <w:p>
            <w:pPr>
              <w:jc w:val="right"/>
              <w:ind w:right="60"/>
              <w:spacing w:after="0" w:line="249" w:lineRule="exact"/>
              <w:rPr>
                <w:sz w:val="20"/>
                <w:szCs w:val="20"/>
                <w:color w:val="auto"/>
              </w:rPr>
            </w:pPr>
            <w:r>
              <w:rPr>
                <w:rFonts w:ascii="Arial" w:cs="Arial" w:eastAsia="Arial" w:hAnsi="Arial"/>
                <w:sz w:val="15"/>
                <w:szCs w:val="15"/>
                <w:color w:val="auto"/>
              </w:rPr>
              <w:t>(650</w:t>
            </w:r>
            <w:r>
              <w:rPr>
                <w:rFonts w:ascii="Arial" w:cs="Arial" w:eastAsia="Arial" w:hAnsi="Arial"/>
                <w:sz w:val="28"/>
                <w:szCs w:val="28"/>
                <w:color w:val="auto"/>
                <w:vertAlign w:val="superscript"/>
              </w:rPr>
              <w:t>)</w:t>
            </w:r>
          </w:p>
        </w:tc>
        <w:tc>
          <w:tcPr>
            <w:tcW w:w="960" w:type="dxa"/>
            <w:vAlign w:val="bottom"/>
            <w:gridSpan w:val="3"/>
          </w:tcPr>
          <w:p>
            <w:pPr>
              <w:jc w:val="right"/>
              <w:ind w:right="140"/>
              <w:spacing w:after="0" w:line="249" w:lineRule="exact"/>
              <w:rPr>
                <w:sz w:val="20"/>
                <w:szCs w:val="20"/>
                <w:color w:val="auto"/>
              </w:rPr>
            </w:pPr>
            <w:r>
              <w:rPr>
                <w:rFonts w:ascii="Arial" w:cs="Arial" w:eastAsia="Arial" w:hAnsi="Arial"/>
                <w:sz w:val="15"/>
                <w:szCs w:val="15"/>
                <w:color w:val="auto"/>
              </w:rPr>
              <w:t>(519</w:t>
            </w:r>
            <w:r>
              <w:rPr>
                <w:rFonts w:ascii="Arial" w:cs="Arial" w:eastAsia="Arial" w:hAnsi="Arial"/>
                <w:sz w:val="28"/>
                <w:szCs w:val="28"/>
                <w:color w:val="auto"/>
                <w:vertAlign w:val="superscript"/>
              </w:rPr>
              <w:t>)</w:t>
            </w:r>
          </w:p>
        </w:tc>
        <w:tc>
          <w:tcPr>
            <w:tcW w:w="800" w:type="dxa"/>
            <w:vAlign w:val="bottom"/>
            <w:gridSpan w:val="2"/>
          </w:tcPr>
          <w:p>
            <w:pPr>
              <w:jc w:val="right"/>
              <w:ind w:right="160"/>
              <w:spacing w:after="0" w:line="249" w:lineRule="exact"/>
              <w:rPr>
                <w:sz w:val="20"/>
                <w:szCs w:val="20"/>
                <w:color w:val="auto"/>
              </w:rPr>
            </w:pPr>
            <w:r>
              <w:rPr>
                <w:rFonts w:ascii="Arial" w:cs="Arial" w:eastAsia="Arial" w:hAnsi="Arial"/>
                <w:sz w:val="15"/>
                <w:szCs w:val="15"/>
                <w:color w:val="auto"/>
              </w:rPr>
              <w:t>(399</w:t>
            </w:r>
            <w:r>
              <w:rPr>
                <w:rFonts w:ascii="Arial" w:cs="Arial" w:eastAsia="Arial" w:hAnsi="Arial"/>
                <w:sz w:val="28"/>
                <w:szCs w:val="28"/>
                <w:color w:val="auto"/>
                <w:vertAlign w:val="superscript"/>
              </w:rPr>
              <w:t>)</w:t>
            </w:r>
          </w:p>
        </w:tc>
      </w:tr>
      <w:tr>
        <w:trPr>
          <w:trHeight w:val="222"/>
        </w:trPr>
        <w:tc>
          <w:tcPr>
            <w:tcW w:w="5620" w:type="dxa"/>
            <w:vAlign w:val="bottom"/>
          </w:tcPr>
          <w:p>
            <w:pPr>
              <w:ind w:left="160"/>
              <w:spacing w:after="0"/>
              <w:rPr>
                <w:sz w:val="20"/>
                <w:szCs w:val="20"/>
                <w:color w:val="auto"/>
              </w:rPr>
            </w:pPr>
            <w:r>
              <w:rPr>
                <w:rFonts w:ascii="Arial" w:cs="Arial" w:eastAsia="Arial" w:hAnsi="Arial"/>
                <w:sz w:val="18"/>
                <w:szCs w:val="18"/>
                <w:color w:val="auto"/>
              </w:rPr>
              <w:t>compensation expense determined under fair value</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26" w:name="page27"/>
    <w:bookmarkEnd w:id="26"/>
    <w:p>
      <w:pPr>
        <w:ind w:left="160"/>
        <w:spacing w:after="0"/>
        <w:rPr>
          <w:sz w:val="20"/>
          <w:szCs w:val="20"/>
          <w:color w:val="auto"/>
        </w:rPr>
      </w:pPr>
      <w:r>
        <w:rPr>
          <w:rFonts w:ascii="Arial" w:cs="Arial" w:eastAsia="Arial" w:hAnsi="Arial"/>
          <w:sz w:val="18"/>
          <w:szCs w:val="18"/>
          <w:color w:val="auto"/>
        </w:rPr>
        <w:t>based method for all awards, net of related tax</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75565</wp:posOffset>
            </wp:positionV>
            <wp:extent cx="14662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15,010</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17,208</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12,059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6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620" w:type="dxa"/>
            <w:vAlign w:val="bottom"/>
          </w:tcPr>
          <w:p>
            <w:pPr>
              <w:ind w:left="160"/>
              <w:spacing w:after="0"/>
              <w:rPr>
                <w:sz w:val="20"/>
                <w:szCs w:val="20"/>
                <w:color w:val="auto"/>
              </w:rPr>
            </w:pPr>
            <w:r>
              <w:rPr>
                <w:rFonts w:ascii="Arial" w:cs="Arial" w:eastAsia="Arial" w:hAnsi="Arial"/>
                <w:sz w:val="18"/>
                <w:szCs w:val="18"/>
                <w:color w:val="auto"/>
              </w:rPr>
              <w:t>Basic-as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Basic-pro forma</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20" w:type="dxa"/>
            <w:vAlign w:val="bottom"/>
          </w:tcPr>
          <w:p>
            <w:pPr>
              <w:ind w:left="160"/>
              <w:spacing w:after="0"/>
              <w:rPr>
                <w:sz w:val="20"/>
                <w:szCs w:val="20"/>
                <w:color w:val="auto"/>
              </w:rPr>
            </w:pPr>
            <w:r>
              <w:rPr>
                <w:rFonts w:ascii="Arial" w:cs="Arial" w:eastAsia="Arial" w:hAnsi="Arial"/>
                <w:sz w:val="18"/>
                <w:szCs w:val="18"/>
                <w:color w:val="auto"/>
              </w:rPr>
              <w:t>Diluted-as reported</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6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Diluted-pro forma</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Compensation expense for pro forma purposes is reflected over the vesting period. The fair value of each option grant is estimated on the date of grant using the Black-Scholes option-pricing model with the following weighted-average assumptions: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412"/>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May 3,</w:t>
            </w:r>
          </w:p>
        </w:tc>
        <w:tc>
          <w:tcPr>
            <w:tcW w:w="180" w:type="dxa"/>
            <w:vAlign w:val="bottom"/>
          </w:tcPr>
          <w:p>
            <w:pPr>
              <w:spacing w:after="0"/>
              <w:rPr>
                <w:sz w:val="24"/>
                <w:szCs w:val="24"/>
                <w:color w:val="auto"/>
              </w:rPr>
            </w:pPr>
          </w:p>
        </w:tc>
      </w:tr>
      <w:tr>
        <w:trPr>
          <w:trHeight w:val="284"/>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2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3"/>
              </w:rPr>
              <w:t>2004</w:t>
            </w:r>
          </w:p>
        </w:tc>
        <w:tc>
          <w:tcPr>
            <w:tcW w:w="13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24"/>
                <w:szCs w:val="24"/>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4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12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40%</w:t>
            </w:r>
          </w:p>
        </w:tc>
        <w:tc>
          <w:tcPr>
            <w:tcW w:w="13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40%</w:t>
            </w:r>
          </w:p>
        </w:tc>
        <w:tc>
          <w:tcPr>
            <w:tcW w:w="180" w:type="dxa"/>
            <w:vAlign w:val="bottom"/>
          </w:tcPr>
          <w:p>
            <w:pPr>
              <w:spacing w:after="0"/>
              <w:rPr>
                <w:sz w:val="22"/>
                <w:szCs w:val="22"/>
                <w:color w:val="auto"/>
              </w:rPr>
            </w:pPr>
          </w:p>
        </w:tc>
      </w:tr>
      <w:tr>
        <w:trPr>
          <w:trHeight w:val="258"/>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3.1% - 3.6%</w:t>
            </w:r>
          </w:p>
        </w:tc>
        <w:tc>
          <w:tcPr>
            <w:tcW w:w="1260" w:type="dxa"/>
            <w:vAlign w:val="bottom"/>
            <w:gridSpan w:val="2"/>
            <w:shd w:val="clear" w:color="auto" w:fill="EAF9E8"/>
          </w:tcPr>
          <w:p>
            <w:pPr>
              <w:jc w:val="center"/>
              <w:ind w:left="99"/>
              <w:spacing w:after="0"/>
              <w:rPr>
                <w:sz w:val="20"/>
                <w:szCs w:val="20"/>
                <w:color w:val="auto"/>
              </w:rPr>
            </w:pPr>
            <w:r>
              <w:rPr>
                <w:rFonts w:ascii="Arial" w:cs="Arial" w:eastAsia="Arial" w:hAnsi="Arial"/>
                <w:sz w:val="18"/>
                <w:szCs w:val="18"/>
                <w:color w:val="auto"/>
                <w:w w:val="89"/>
              </w:rPr>
              <w:t>3.1% - 3.4%</w:t>
            </w:r>
          </w:p>
        </w:tc>
        <w:tc>
          <w:tcPr>
            <w:tcW w:w="1320" w:type="dxa"/>
            <w:vAlign w:val="bottom"/>
            <w:gridSpan w:val="2"/>
            <w:shd w:val="clear" w:color="auto" w:fill="EAF9E8"/>
          </w:tcPr>
          <w:p>
            <w:pPr>
              <w:jc w:val="center"/>
              <w:ind w:left="79"/>
              <w:spacing w:after="0"/>
              <w:rPr>
                <w:sz w:val="20"/>
                <w:szCs w:val="20"/>
                <w:color w:val="auto"/>
              </w:rPr>
            </w:pPr>
            <w:r>
              <w:rPr>
                <w:rFonts w:ascii="Arial" w:cs="Arial" w:eastAsia="Arial" w:hAnsi="Arial"/>
                <w:sz w:val="18"/>
                <w:szCs w:val="18"/>
                <w:color w:val="auto"/>
                <w:w w:val="89"/>
              </w:rPr>
              <w:t>3.1% - 3.3 %</w:t>
            </w:r>
          </w:p>
        </w:tc>
        <w:tc>
          <w:tcPr>
            <w:tcW w:w="180" w:type="dxa"/>
            <w:vAlign w:val="bottom"/>
            <w:shd w:val="clear" w:color="auto" w:fill="EAF9E8"/>
          </w:tcPr>
          <w:p>
            <w:pPr>
              <w:spacing w:after="0"/>
              <w:rPr>
                <w:sz w:val="22"/>
                <w:szCs w:val="22"/>
                <w:color w:val="auto"/>
              </w:rPr>
            </w:pP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 yr.</w:t>
            </w:r>
          </w:p>
        </w:tc>
        <w:tc>
          <w:tcPr>
            <w:tcW w:w="180" w:type="dxa"/>
            <w:vAlign w:val="bottom"/>
          </w:tcPr>
          <w:p>
            <w:pPr>
              <w:spacing w:after="0"/>
              <w:rPr>
                <w:sz w:val="22"/>
                <w:szCs w:val="22"/>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November 2004, the Financial Accounting Standards Board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as amended by the Securities and Exchange Commission on April 14, 2005 supersedes APB Opinion No. 25, “Accounting for Stock Issued to Employees,” and amends SFAS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is no longer an alternative. SFAS No. 123R must be adopted no later than the first annual period beginning after June 15, 2005. Early adoption will be permitted in periods in which financial statements have not yet been issued.</w:t>
      </w:r>
    </w:p>
    <w:p>
      <w:pPr>
        <w:spacing w:after="0" w:line="174"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the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above. SFAS No.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November 30, 2004, we acquired all of the assets and assumed certain liabilities of Dodge Electronics, Inc. (“Dodge”) and, on December 14, 2004, we acquired 100% of the outstanding stock of European Timing Systems, Ltd. Our consolidated statements of income include the results of operations of these acquisitions since the respective acquisition dates. Both acquisitions were paid for in cash, and the related acquisition agreements contain provisions for contingent consideration based on the gross profit of future transactions connected with each business. The amount of the contingent consideration is not expected to be significant and will be treated as compensation expense as it becomes earned. No amounts have been paid through April 30, 2005. We are also currently leasing facilities in Topeka, Kansas from the seller of Dodge for a term of up to five years.</w:t>
      </w:r>
    </w:p>
    <w:p>
      <w:pPr>
        <w:spacing w:after="0" w:line="174"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The aggregate cost of these acquisitions was approximately $1,024. Goodwill in the amount of $1,126 was recognized, and approximately $515 of that amount is expected to be fully deductible for tax purposes. Because these transactions are not material to us, no pro forma disclosures have been made.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Equipment Held for Sale</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ectPr>
          <w:pgSz w:w="11900" w:h="16838" w:orient="portrait"/>
          <w:cols w:equalWidth="0" w:num="1">
            <w:col w:w="11420"/>
          </w:cols>
          <w:pgMar w:left="240" w:top="131" w:right="239" w:bottom="43" w:gutter="0" w:footer="0" w:header="0"/>
        </w:sectPr>
      </w:pPr>
    </w:p>
    <w:bookmarkStart w:id="27" w:name="page28"/>
    <w:bookmarkEnd w:id="27"/>
    <w:p>
      <w:pPr>
        <w:spacing w:after="0" w:line="42" w:lineRule="exact"/>
        <w:rPr>
          <w:sz w:val="20"/>
          <w:szCs w:val="20"/>
          <w:color w:val="auto"/>
        </w:rPr>
      </w:pPr>
    </w:p>
    <w:p>
      <w:pPr>
        <w:jc w:val="both"/>
        <w:ind w:right="120" w:firstLine="351"/>
        <w:spacing w:after="0" w:line="235" w:lineRule="auto"/>
        <w:rPr>
          <w:sz w:val="20"/>
          <w:szCs w:val="20"/>
          <w:color w:val="auto"/>
        </w:rPr>
      </w:pPr>
      <w:r>
        <w:rPr>
          <w:rFonts w:ascii="Arial" w:cs="Arial" w:eastAsia="Arial" w:hAnsi="Arial"/>
          <w:sz w:val="18"/>
          <w:szCs w:val="18"/>
          <w:color w:val="auto"/>
        </w:rPr>
        <w:t>During the second quarter of fiscal year 2005, we entered into a plan to sell the rental equipment owned by a wholly-owned subsidiary to allow us to focus more on sales of our new line of ProTour</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displays and to provide deeper support to the display rental market. As a result, this equipment was classified in the balance sheet as rental equipment held for sale and, based on our analysis of recoverability, no loss has been recognized related to the equipment in accordance with SFAS No. 144. The business of equipment rental is not included within discontinued operations, as it does not meet the requirement of SFAS No. 144 that we will continue to have continuing involvement in rental operations through support of other rental companies in a similar fashion, primarily with redesigned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Selected Financial Statement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6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May 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460" w:type="dxa"/>
            <w:vAlign w:val="bottom"/>
            <w:vMerge w:val="restart"/>
          </w:tcPr>
          <w:p>
            <w:pPr>
              <w:spacing w:after="0"/>
              <w:rPr>
                <w:sz w:val="20"/>
                <w:szCs w:val="20"/>
                <w:color w:val="auto"/>
              </w:rPr>
            </w:pPr>
            <w:r>
              <w:rPr>
                <w:rFonts w:ascii="Arial" w:cs="Arial" w:eastAsia="Arial" w:hAnsi="Arial"/>
                <w:sz w:val="18"/>
                <w:szCs w:val="18"/>
                <w:color w:val="auto"/>
              </w:rPr>
              <w:t>Inventories consist of the following:</w:t>
            </w: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10,446</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6,952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60" w:type="dxa"/>
            <w:vAlign w:val="bottom"/>
          </w:tcPr>
          <w:p>
            <w:pPr>
              <w:ind w:left="160"/>
              <w:spacing w:after="0"/>
              <w:rPr>
                <w:sz w:val="20"/>
                <w:szCs w:val="20"/>
                <w:color w:val="auto"/>
              </w:rPr>
            </w:pPr>
            <w:r>
              <w:rPr>
                <w:rFonts w:ascii="Arial" w:cs="Arial" w:eastAsia="Arial" w:hAnsi="Arial"/>
                <w:sz w:val="18"/>
                <w:szCs w:val="18"/>
                <w:color w:val="auto"/>
              </w:rPr>
              <w:t>Work-in-progress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8,958</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6,599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24,612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16,604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60" w:type="dxa"/>
            <w:vAlign w:val="bottom"/>
            <w:vMerge w:val="restart"/>
          </w:tcPr>
          <w:p>
            <w:pPr>
              <w:spacing w:after="0"/>
              <w:rPr>
                <w:sz w:val="20"/>
                <w:szCs w:val="20"/>
                <w:color w:val="auto"/>
              </w:rPr>
            </w:pPr>
            <w:r>
              <w:rPr>
                <w:rFonts w:ascii="Arial" w:cs="Arial" w:eastAsia="Arial" w:hAnsi="Arial"/>
                <w:sz w:val="18"/>
                <w:szCs w:val="18"/>
                <w:color w:val="auto"/>
              </w:rPr>
              <w:t>Property and equipment consist of the following:</w:t>
            </w: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1,084</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46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15,386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12,415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17,592</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14,616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6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19,382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15,542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Equipment held for rent</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6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63,334</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50,125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32,281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25,029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46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31,053</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25,096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460" w:type="dxa"/>
            <w:vAlign w:val="bottom"/>
            <w:vMerge w:val="restart"/>
          </w:tcPr>
          <w:p>
            <w:pPr>
              <w:spacing w:after="0"/>
              <w:rPr>
                <w:sz w:val="20"/>
                <w:szCs w:val="20"/>
                <w:color w:val="auto"/>
              </w:rPr>
            </w:pPr>
            <w:r>
              <w:rPr>
                <w:rFonts w:ascii="Arial" w:cs="Arial" w:eastAsia="Arial" w:hAnsi="Arial"/>
                <w:sz w:val="18"/>
                <w:szCs w:val="18"/>
                <w:color w:val="auto"/>
              </w:rPr>
              <w:t>Accrued expenses consist of the following:</w:t>
            </w: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60" w:type="dxa"/>
            <w:vAlign w:val="bottom"/>
          </w:tcPr>
          <w:p>
            <w:pPr>
              <w:ind w:left="160"/>
              <w:spacing w:after="0"/>
              <w:rPr>
                <w:sz w:val="20"/>
                <w:szCs w:val="20"/>
                <w:color w:val="auto"/>
              </w:rPr>
            </w:pPr>
            <w:r>
              <w:rPr>
                <w:rFonts w:ascii="Arial" w:cs="Arial" w:eastAsia="Arial" w:hAnsi="Arial"/>
                <w:sz w:val="18"/>
                <w:szCs w:val="18"/>
                <w:color w:val="auto"/>
              </w:rPr>
              <w:t>Product warranty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3,348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4,434</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3,675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460" w:type="dxa"/>
            <w:vAlign w:val="bottom"/>
          </w:tcPr>
          <w:p>
            <w:pPr>
              <w:ind w:left="16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4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4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10,973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9,911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4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w w:val="92"/>
              </w:rPr>
              <w:t>April 30, 2005</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Arial" w:cs="Arial" w:eastAsia="Arial" w:hAnsi="Arial"/>
                <w:sz w:val="14"/>
                <w:szCs w:val="14"/>
                <w:b w:val="1"/>
                <w:bCs w:val="1"/>
                <w:color w:val="auto"/>
              </w:rPr>
              <w:t>May 1, 2004</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5"/>
              </w:rPr>
              <w:t>Gross Unrealized</w:t>
            </w:r>
          </w:p>
        </w:tc>
        <w:tc>
          <w:tcPr>
            <w:tcW w:w="220" w:type="dxa"/>
            <w:vAlign w:val="bottom"/>
          </w:tcPr>
          <w:p>
            <w:pPr>
              <w:spacing w:after="0"/>
              <w:rPr>
                <w:sz w:val="20"/>
                <w:szCs w:val="20"/>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Est. Fair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Gross Unrealized</w:t>
            </w:r>
          </w:p>
        </w:tc>
        <w:tc>
          <w:tcPr>
            <w:tcW w:w="28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Est. Fair</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1"/>
              </w:rPr>
              <w:t>Gains (Losses)</w:t>
            </w:r>
          </w:p>
        </w:tc>
        <w:tc>
          <w:tcPr>
            <w:tcW w:w="22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Gains (Losses)</w:t>
            </w:r>
          </w:p>
        </w:tc>
        <w:tc>
          <w:tcPr>
            <w:tcW w:w="28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1880" w:type="dxa"/>
            <w:vAlign w:val="bottom"/>
            <w:vMerge w:val="restart"/>
          </w:tcPr>
          <w:p>
            <w:pPr>
              <w:spacing w:after="0"/>
              <w:rPr>
                <w:sz w:val="20"/>
                <w:szCs w:val="20"/>
                <w:color w:val="auto"/>
              </w:rPr>
            </w:pPr>
            <w:r>
              <w:rPr>
                <w:rFonts w:ascii="Arial" w:cs="Arial" w:eastAsia="Arial" w:hAnsi="Arial"/>
                <w:sz w:val="18"/>
                <w:szCs w:val="18"/>
                <w:color w:val="auto"/>
              </w:rPr>
              <w:t>Government debt</w:t>
            </w: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80" w:type="dxa"/>
            <w:vAlign w:val="bottom"/>
          </w:tcPr>
          <w:p>
            <w:pPr>
              <w:ind w:left="180"/>
              <w:spacing w:after="0"/>
              <w:rPr>
                <w:sz w:val="20"/>
                <w:szCs w:val="20"/>
                <w:color w:val="auto"/>
              </w:rPr>
            </w:pPr>
            <w:r>
              <w:rPr>
                <w:rFonts w:ascii="Arial" w:cs="Arial" w:eastAsia="Arial" w:hAnsi="Arial"/>
                <w:sz w:val="18"/>
                <w:szCs w:val="18"/>
                <w:color w:val="auto"/>
              </w:rPr>
              <w:t>securities-non U.S.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8,105</w:t>
            </w:r>
          </w:p>
        </w:tc>
        <w:tc>
          <w:tcPr>
            <w:tcW w:w="148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8,105</w:t>
            </w:r>
          </w:p>
        </w:tc>
        <w:tc>
          <w:tcPr>
            <w:tcW w:w="12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4,001</w:t>
            </w:r>
          </w:p>
        </w:tc>
        <w:tc>
          <w:tcPr>
            <w:tcW w:w="148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4,001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Proceeds from sales of available-for-sale securities were $23,015 and $0 for the years ended April 30, 2005 and May 1, 2004, respectively. Purchases of available-for-sale securities were $27,119 and $4,001 for the years ended April 30, 2005 and May 1, 2004. The fair value of available-for-sale investments in debt securities by contractual maturity at April 30, 2005 was $8,105 with maturity dates of more than 10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Uncompleted Contracts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consist of the following:</w:t>
      </w:r>
    </w:p>
    <w:p>
      <w:pPr>
        <w:spacing w:after="0" w:line="235"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r>
      <w:tr>
        <w:trPr>
          <w:trHeight w:val="174"/>
        </w:trPr>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r>
      <w:tr>
        <w:trPr>
          <w:trHeight w:val="109"/>
        </w:trPr>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145405" cy="1562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156210"/>
                    </a:xfrm>
                    <a:prstGeom prst="rect">
                      <a:avLst/>
                    </a:prstGeom>
                    <a:noFill/>
                  </pic:spPr>
                </pic:pic>
              </a:graphicData>
            </a:graphic>
          </wp:anchor>
        </w:drawing>
      </w:r>
    </w:p>
    <w:p>
      <w:pPr>
        <w:sectPr>
          <w:pgSz w:w="11900" w:h="16880" w:orient="portrait"/>
          <w:cols w:equalWidth="0" w:num="1">
            <w:col w:w="11380"/>
          </w:cols>
          <w:pgMar w:left="240" w:top="131" w:right="279" w:bottom="0" w:gutter="0" w:footer="0" w:header="0"/>
        </w:sectPr>
      </w:pPr>
    </w:p>
    <w:p>
      <w:pPr>
        <w:spacing w:after="0" w:line="140" w:lineRule="exact"/>
        <w:rPr>
          <w:sz w:val="20"/>
          <w:szCs w:val="20"/>
          <w:color w:val="auto"/>
        </w:rPr>
      </w:pPr>
    </w:p>
    <w:p>
      <w:pPr>
        <w:spacing w:after="0"/>
        <w:tabs>
          <w:tab w:leader="none" w:pos="6320" w:val="left"/>
          <w:tab w:leader="none" w:pos="7220" w:val="left"/>
        </w:tabs>
        <w:rPr>
          <w:sz w:val="20"/>
          <w:szCs w:val="20"/>
          <w:color w:val="auto"/>
        </w:rPr>
      </w:pPr>
      <w:r>
        <w:rPr>
          <w:rFonts w:ascii="Arial" w:cs="Arial" w:eastAsia="Arial" w:hAnsi="Arial"/>
          <w:sz w:val="18"/>
          <w:szCs w:val="18"/>
          <w:color w:val="auto"/>
        </w:rPr>
        <w:t>Costs incurred</w:t>
      </w:r>
      <w:r>
        <w:rPr>
          <w:sz w:val="20"/>
          <w:szCs w:val="20"/>
          <w:color w:val="auto"/>
        </w:rPr>
        <w:tab/>
      </w:r>
      <w:r>
        <w:rPr>
          <w:rFonts w:ascii="Arial" w:cs="Arial" w:eastAsia="Arial" w:hAnsi="Arial"/>
          <w:sz w:val="18"/>
          <w:szCs w:val="18"/>
          <w:color w:val="auto"/>
        </w:rPr>
        <w:t>$ 122,765</w:t>
      </w:r>
      <w:r>
        <w:rPr>
          <w:sz w:val="20"/>
          <w:szCs w:val="20"/>
          <w:color w:val="auto"/>
        </w:rPr>
        <w:tab/>
      </w:r>
      <w:r>
        <w:rPr>
          <w:rFonts w:ascii="Arial" w:cs="Arial" w:eastAsia="Arial" w:hAnsi="Arial"/>
          <w:sz w:val="16"/>
          <w:szCs w:val="16"/>
          <w:color w:val="auto"/>
        </w:rPr>
        <w:t>$ 92,390</w:t>
      </w:r>
    </w:p>
    <w:p>
      <w:pPr>
        <w:sectPr>
          <w:pgSz w:w="11900" w:h="16880" w:orient="portrait"/>
          <w:cols w:equalWidth="0" w:num="1">
            <w:col w:w="11380"/>
          </w:cols>
          <w:pgMar w:left="240" w:top="131" w:right="279"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Estimated earnings</w:t>
            </w:r>
          </w:p>
        </w:tc>
        <w:tc>
          <w:tcPr>
            <w:tcW w:w="600" w:type="dxa"/>
            <w:vAlign w:val="bottom"/>
          </w:tcPr>
          <w:p>
            <w:pPr>
              <w:jc w:val="right"/>
              <w:spacing w:after="0"/>
              <w:rPr>
                <w:sz w:val="20"/>
                <w:szCs w:val="20"/>
                <w:color w:val="auto"/>
              </w:rPr>
            </w:pPr>
            <w:r>
              <w:rPr>
                <w:rFonts w:ascii="Arial" w:cs="Arial" w:eastAsia="Arial" w:hAnsi="Arial"/>
                <w:sz w:val="18"/>
                <w:szCs w:val="18"/>
                <w:color w:val="auto"/>
              </w:rPr>
              <w:t>41,045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37,159</w:t>
            </w:r>
          </w:p>
        </w:tc>
        <w:tc>
          <w:tcPr>
            <w:tcW w:w="180" w:type="dxa"/>
            <w:vAlign w:val="bottom"/>
          </w:tcPr>
          <w:p>
            <w:pPr>
              <w:spacing w:after="0"/>
              <w:rPr>
                <w:sz w:val="19"/>
                <w:szCs w:val="19"/>
                <w:color w:val="auto"/>
              </w:rPr>
            </w:pPr>
          </w:p>
        </w:tc>
      </w:tr>
      <w:tr>
        <w:trPr>
          <w:trHeight w:val="137"/>
        </w:trPr>
        <w:tc>
          <w:tcPr>
            <w:tcW w:w="63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163,810</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129,549</w:t>
            </w:r>
          </w:p>
        </w:tc>
        <w:tc>
          <w:tcPr>
            <w:tcW w:w="180" w:type="dxa"/>
            <w:vAlign w:val="bottom"/>
            <w:shd w:val="clear" w:color="auto" w:fill="EAF9E8"/>
          </w:tcPr>
          <w:p>
            <w:pPr>
              <w:spacing w:after="0"/>
              <w:rPr>
                <w:sz w:val="24"/>
                <w:szCs w:val="24"/>
                <w:color w:val="auto"/>
              </w:rPr>
            </w:pPr>
          </w:p>
        </w:tc>
      </w:tr>
      <w:tr>
        <w:trPr>
          <w:trHeight w:val="268"/>
        </w:trPr>
        <w:tc>
          <w:tcPr>
            <w:tcW w:w="6440" w:type="dxa"/>
            <w:vAlign w:val="bottom"/>
            <w:gridSpan w:val="2"/>
          </w:tcPr>
          <w:p>
            <w:pPr>
              <w:spacing w:after="0"/>
              <w:rPr>
                <w:sz w:val="20"/>
                <w:szCs w:val="20"/>
                <w:color w:val="auto"/>
              </w:rPr>
            </w:pPr>
            <w:r>
              <w:rPr>
                <w:rFonts w:ascii="Arial" w:cs="Arial" w:eastAsia="Arial" w:hAnsi="Arial"/>
                <w:sz w:val="18"/>
                <w:szCs w:val="18"/>
                <w:color w:val="auto"/>
              </w:rPr>
              <w:t>Less billings to date</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153,972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123,448</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44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4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9,838</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6,101</w:t>
            </w:r>
          </w:p>
        </w:tc>
        <w:tc>
          <w:tcPr>
            <w:tcW w:w="180" w:type="dxa"/>
            <w:vAlign w:val="bottom"/>
            <w:shd w:val="clear" w:color="auto" w:fill="EAF9E8"/>
          </w:tcPr>
          <w:p>
            <w:pPr>
              <w:spacing w:after="0"/>
              <w:rPr>
                <w:sz w:val="24"/>
                <w:szCs w:val="24"/>
                <w:color w:val="auto"/>
              </w:rPr>
            </w:pPr>
          </w:p>
        </w:tc>
      </w:tr>
      <w:tr>
        <w:trPr>
          <w:trHeight w:val="108"/>
        </w:trPr>
        <w:tc>
          <w:tcPr>
            <w:tcW w:w="6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May 1,</w:t>
            </w:r>
          </w:p>
        </w:tc>
      </w:tr>
      <w:tr>
        <w:trPr>
          <w:trHeight w:val="174"/>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109"/>
        </w:trPr>
        <w:tc>
          <w:tcPr>
            <w:tcW w:w="64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400" w:type="dxa"/>
            <w:vAlign w:val="bottom"/>
            <w:shd w:val="clear" w:color="auto" w:fill="EAF9E8"/>
          </w:tcPr>
          <w:p>
            <w:pPr>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15,301</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12,862</w:t>
            </w:r>
          </w:p>
        </w:tc>
        <w:tc>
          <w:tcPr>
            <w:tcW w:w="180" w:type="dxa"/>
            <w:vAlign w:val="bottom"/>
            <w:shd w:val="clear" w:color="auto" w:fill="EAF9E8"/>
          </w:tcPr>
          <w:p>
            <w:pPr>
              <w:spacing w:after="0"/>
              <w:rPr>
                <w:sz w:val="22"/>
                <w:szCs w:val="22"/>
                <w:color w:val="auto"/>
              </w:rPr>
            </w:pPr>
          </w:p>
        </w:tc>
      </w:tr>
      <w:tr>
        <w:trPr>
          <w:trHeight w:val="282"/>
        </w:trPr>
        <w:tc>
          <w:tcPr>
            <w:tcW w:w="640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(5,463)</w:t>
            </w: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(6,761)</w:t>
            </w:r>
          </w:p>
        </w:tc>
      </w:tr>
      <w:tr>
        <w:trPr>
          <w:trHeight w:val="110"/>
        </w:trPr>
        <w:tc>
          <w:tcPr>
            <w:tcW w:w="64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40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9,838</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6,101</w:t>
            </w:r>
          </w:p>
        </w:tc>
        <w:tc>
          <w:tcPr>
            <w:tcW w:w="180" w:type="dxa"/>
            <w:vAlign w:val="bottom"/>
            <w:shd w:val="clear" w:color="auto" w:fill="EAF9E8"/>
          </w:tcPr>
          <w:p>
            <w:pPr>
              <w:spacing w:after="0"/>
              <w:rPr>
                <w:sz w:val="24"/>
                <w:szCs w:val="24"/>
                <w:color w:val="auto"/>
              </w:rPr>
            </w:pPr>
          </w:p>
        </w:tc>
      </w:tr>
      <w:tr>
        <w:trPr>
          <w:trHeight w:val="108"/>
        </w:trPr>
        <w:tc>
          <w:tcPr>
            <w:tcW w:w="64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312"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generally secured by irrevocable letters of credit.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are reported net of an allowance for doubtful accounts of $960 and $1,131 at April 30, 2005 and May 1, 2004, respectively.</w:t>
      </w:r>
    </w:p>
    <w:p>
      <w:pPr>
        <w:spacing w:after="0" w:line="248"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make estimates regarding the collectability of our accounts receivable, costs and estimated earnings in excess of billings, and other receivables. In evaluating the adequacy of our allowance for doubtful accounts, we analyze specific accounts receivable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sales transactions, we have entered into long-term sales contracts and sales type leases. The present value of the contract or lease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 current maturities, were $15,096 and $14,038 as of April 30, 2005 and May 1, 2004, respectively. Contract and lease receivables bearing annual interest at rates of 3.0% to 13.5% are due in varying annual installments through April 2013. Included in accounts receivable as of April 30, 2015 was approximately $806 of retainage on long-term contracts, all of which is expected to be collected in one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Financing Agreements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Long-term debt consists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May 1,</w:t>
            </w:r>
          </w:p>
        </w:tc>
        <w:tc>
          <w:tcPr>
            <w:tcW w:w="180" w:type="dxa"/>
            <w:vAlign w:val="bottom"/>
          </w:tcPr>
          <w:p>
            <w:pPr>
              <w:spacing w:after="0"/>
              <w:rPr>
                <w:sz w:val="14"/>
                <w:szCs w:val="14"/>
                <w:color w:val="auto"/>
              </w:rPr>
            </w:pPr>
          </w:p>
        </w:tc>
      </w:tr>
      <w:tr>
        <w:trPr>
          <w:trHeight w:val="174"/>
        </w:trPr>
        <w:tc>
          <w:tcPr>
            <w:tcW w:w="4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95"/>
        </w:trPr>
        <w:tc>
          <w:tcPr>
            <w:tcW w:w="4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4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48"/>
        </w:trPr>
        <w:tc>
          <w:tcPr>
            <w:tcW w:w="656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8.29% note payable due to bank, due in monthly</w:t>
            </w:r>
          </w:p>
        </w:tc>
        <w:tc>
          <w:tcPr>
            <w:tcW w:w="22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16"/>
        </w:trPr>
        <w:tc>
          <w:tcPr>
            <w:tcW w:w="65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installments of $102, including interest through February 2007,</w:t>
            </w: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16"/>
        </w:trPr>
        <w:tc>
          <w:tcPr>
            <w:tcW w:w="65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subject to credit agreement financial covenants discussed</w:t>
            </w:r>
          </w:p>
        </w:tc>
        <w:tc>
          <w:tcPr>
            <w:tcW w:w="2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65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below, unsecured</w:t>
            </w: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844</w:t>
            </w:r>
          </w:p>
        </w:tc>
        <w:tc>
          <w:tcPr>
            <w:tcW w:w="16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EAF9E8"/>
          </w:tcPr>
          <w:p>
            <w:pPr>
              <w:spacing w:after="0"/>
              <w:rPr>
                <w:sz w:val="19"/>
                <w:szCs w:val="19"/>
                <w:color w:val="auto"/>
              </w:rPr>
            </w:pPr>
          </w:p>
        </w:tc>
      </w:tr>
      <w:tr>
        <w:trPr>
          <w:trHeight w:val="248"/>
        </w:trPr>
        <w:tc>
          <w:tcPr>
            <w:tcW w:w="6560" w:type="dxa"/>
            <w:vAlign w:val="bottom"/>
            <w:gridSpan w:val="4"/>
          </w:tcPr>
          <w:p>
            <w:pPr>
              <w:spacing w:after="0"/>
              <w:rPr>
                <w:sz w:val="20"/>
                <w:szCs w:val="20"/>
                <w:color w:val="auto"/>
              </w:rPr>
            </w:pPr>
            <w:r>
              <w:rPr>
                <w:rFonts w:ascii="Arial" w:cs="Arial" w:eastAsia="Arial" w:hAnsi="Arial"/>
                <w:sz w:val="18"/>
                <w:szCs w:val="18"/>
                <w:color w:val="auto"/>
              </w:rPr>
              <w:t>7.5 % note payable due to bank, due in monthly</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6560" w:type="dxa"/>
            <w:vAlign w:val="bottom"/>
            <w:gridSpan w:val="4"/>
          </w:tcPr>
          <w:p>
            <w:pPr>
              <w:ind w:left="160"/>
              <w:spacing w:after="0"/>
              <w:rPr>
                <w:sz w:val="20"/>
                <w:szCs w:val="20"/>
                <w:color w:val="auto"/>
              </w:rPr>
            </w:pPr>
            <w:r>
              <w:rPr>
                <w:rFonts w:ascii="Arial" w:cs="Arial" w:eastAsia="Arial" w:hAnsi="Arial"/>
                <w:sz w:val="18"/>
                <w:szCs w:val="18"/>
                <w:color w:val="auto"/>
              </w:rPr>
              <w:t>installments of $11, including interest through July 2007,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6560" w:type="dxa"/>
            <w:vAlign w:val="bottom"/>
            <w:gridSpan w:val="4"/>
          </w:tcPr>
          <w:p>
            <w:pPr>
              <w:ind w:left="160"/>
              <w:spacing w:after="0"/>
              <w:rPr>
                <w:sz w:val="20"/>
                <w:szCs w:val="20"/>
                <w:color w:val="auto"/>
              </w:rPr>
            </w:pPr>
            <w:r>
              <w:rPr>
                <w:rFonts w:ascii="Arial" w:cs="Arial" w:eastAsia="Arial" w:hAnsi="Arial"/>
                <w:sz w:val="18"/>
                <w:szCs w:val="18"/>
                <w:color w:val="auto"/>
              </w:rPr>
              <w:t>secured by equipment</w:t>
            </w: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r>
      <w:tr>
        <w:trPr>
          <w:trHeight w:val="250"/>
        </w:trPr>
        <w:tc>
          <w:tcPr>
            <w:tcW w:w="6560" w:type="dxa"/>
            <w:vAlign w:val="bottom"/>
            <w:gridSpan w:val="4"/>
          </w:tcPr>
          <w:p>
            <w:pPr>
              <w:spacing w:after="0"/>
              <w:rPr>
                <w:sz w:val="20"/>
                <w:szCs w:val="20"/>
                <w:color w:val="auto"/>
              </w:rPr>
            </w:pPr>
            <w:r>
              <w:rPr>
                <w:rFonts w:ascii="Arial" w:cs="Arial" w:eastAsia="Arial" w:hAnsi="Arial"/>
                <w:sz w:val="18"/>
                <w:szCs w:val="18"/>
                <w:color w:val="auto"/>
              </w:rPr>
              <w:t>8.6 % installment obligations due in monthly installments of $8,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2"/>
        </w:trPr>
        <w:tc>
          <w:tcPr>
            <w:tcW w:w="6560" w:type="dxa"/>
            <w:vAlign w:val="bottom"/>
            <w:gridSpan w:val="4"/>
          </w:tcPr>
          <w:p>
            <w:pPr>
              <w:ind w:left="160"/>
              <w:spacing w:after="0"/>
              <w:rPr>
                <w:sz w:val="20"/>
                <w:szCs w:val="20"/>
                <w:color w:val="auto"/>
              </w:rPr>
            </w:pPr>
            <w:r>
              <w:rPr>
                <w:rFonts w:ascii="Arial" w:cs="Arial" w:eastAsia="Arial" w:hAnsi="Arial"/>
                <w:sz w:val="18"/>
                <w:szCs w:val="18"/>
                <w:color w:val="auto"/>
              </w:rPr>
              <w:t>including interest through April 2005, secured by equipment</w:t>
            </w: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r>
      <w:tr>
        <w:trPr>
          <w:trHeight w:val="284"/>
        </w:trPr>
        <w:tc>
          <w:tcPr>
            <w:tcW w:w="6560" w:type="dxa"/>
            <w:vAlign w:val="bottom"/>
            <w:gridSpan w:val="4"/>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140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4"/>
                <w:szCs w:val="24"/>
                <w:color w:val="auto"/>
              </w:rPr>
            </w:pPr>
          </w:p>
        </w:tc>
      </w:tr>
      <w:tr>
        <w:trPr>
          <w:trHeight w:val="110"/>
        </w:trPr>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4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402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1400" w:type="dxa"/>
            <w:vAlign w:val="bottom"/>
            <w:shd w:val="clear" w:color="auto" w:fill="EAF9E8"/>
          </w:tcPr>
          <w:p>
            <w:pPr>
              <w:spacing w:after="0"/>
              <w:rPr>
                <w:sz w:val="24"/>
                <w:szCs w:val="24"/>
                <w:color w:val="auto"/>
              </w:rPr>
            </w:pPr>
          </w:p>
        </w:tc>
        <w:tc>
          <w:tcPr>
            <w:tcW w:w="64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3"/>
              </w:rPr>
              <w:t>$ 1,080</w:t>
            </w:r>
          </w:p>
        </w:tc>
        <w:tc>
          <w:tcPr>
            <w:tcW w:w="16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2,329</w:t>
            </w:r>
          </w:p>
        </w:tc>
        <w:tc>
          <w:tcPr>
            <w:tcW w:w="180" w:type="dxa"/>
            <w:vAlign w:val="bottom"/>
            <w:shd w:val="clear" w:color="auto" w:fill="EAF9E8"/>
          </w:tcPr>
          <w:p>
            <w:pPr>
              <w:spacing w:after="0"/>
              <w:rPr>
                <w:sz w:val="24"/>
                <w:szCs w:val="24"/>
                <w:color w:val="auto"/>
              </w:rPr>
            </w:pPr>
          </w:p>
        </w:tc>
      </w:tr>
      <w:tr>
        <w:trPr>
          <w:trHeight w:val="282"/>
        </w:trPr>
        <w:tc>
          <w:tcPr>
            <w:tcW w:w="6560" w:type="dxa"/>
            <w:vAlign w:val="bottom"/>
            <w:gridSpan w:val="4"/>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909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24"/>
                <w:szCs w:val="24"/>
                <w:color w:val="auto"/>
              </w:rPr>
            </w:pPr>
          </w:p>
        </w:tc>
      </w:tr>
      <w:tr>
        <w:trPr>
          <w:trHeight w:val="110"/>
        </w:trPr>
        <w:tc>
          <w:tcPr>
            <w:tcW w:w="4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4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560" w:type="dxa"/>
            <w:vAlign w:val="bottom"/>
            <w:gridSpan w:val="4"/>
            <w:shd w:val="clear" w:color="auto" w:fill="EAF9E8"/>
          </w:tcPr>
          <w:p>
            <w:pPr>
              <w:ind w:left="160"/>
              <w:spacing w:after="0"/>
              <w:rPr>
                <w:sz w:val="20"/>
                <w:szCs w:val="20"/>
                <w:color w:val="auto"/>
              </w:rPr>
            </w:pPr>
            <w:r>
              <w:rPr>
                <w:rFonts w:ascii="Arial" w:cs="Arial" w:eastAsia="Arial" w:hAnsi="Arial"/>
                <w:sz w:val="18"/>
                <w:szCs w:val="18"/>
                <w:color w:val="auto"/>
              </w:rPr>
              <w:t>Total long-term debt</w:t>
            </w:r>
          </w:p>
        </w:tc>
        <w:tc>
          <w:tcPr>
            <w:tcW w:w="22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171</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EAF9E8"/>
          </w:tcPr>
          <w:p>
            <w:pPr>
              <w:spacing w:after="0"/>
              <w:rPr>
                <w:sz w:val="22"/>
                <w:szCs w:val="22"/>
                <w:color w:val="auto"/>
              </w:rPr>
            </w:pPr>
          </w:p>
        </w:tc>
      </w:tr>
      <w:tr>
        <w:trPr>
          <w:trHeight w:val="132"/>
        </w:trPr>
        <w:tc>
          <w:tcPr>
            <w:tcW w:w="4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778"/>
        </w:trPr>
        <w:tc>
          <w:tcPr>
            <w:tcW w:w="6560" w:type="dxa"/>
            <w:vAlign w:val="bottom"/>
            <w:gridSpan w:val="4"/>
          </w:tcPr>
          <w:p>
            <w:pPr>
              <w:ind w:left="360"/>
              <w:spacing w:after="0"/>
              <w:rPr>
                <w:sz w:val="20"/>
                <w:szCs w:val="20"/>
                <w:color w:val="auto"/>
              </w:rPr>
            </w:pPr>
            <w:r>
              <w:rPr>
                <w:rFonts w:ascii="Arial" w:cs="Arial" w:eastAsia="Arial" w:hAnsi="Arial"/>
                <w:sz w:val="18"/>
                <w:szCs w:val="18"/>
                <w:color w:val="auto"/>
              </w:rPr>
              <w:t>The future maturities on long-term debt consist of the following:</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1"/>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Fiscal years ending:</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
        </w:trPr>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4020" w:type="dxa"/>
            <w:vAlign w:val="bottom"/>
          </w:tcPr>
          <w:p>
            <w:pPr>
              <w:spacing w:after="0"/>
              <w:rPr>
                <w:sz w:val="24"/>
                <w:szCs w:val="24"/>
                <w:color w:val="auto"/>
              </w:rPr>
            </w:pPr>
          </w:p>
        </w:tc>
        <w:tc>
          <w:tcPr>
            <w:tcW w:w="1900" w:type="dxa"/>
            <w:vAlign w:val="bottom"/>
            <w:gridSpan w:val="2"/>
            <w:shd w:val="clear" w:color="auto" w:fill="EAF9E8"/>
          </w:tcPr>
          <w:p>
            <w:pPr>
              <w:jc w:val="right"/>
              <w:ind w:right="432"/>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EAF9E8"/>
          </w:tcPr>
          <w:p>
            <w:pPr>
              <w:spacing w:after="0"/>
              <w:rPr>
                <w:sz w:val="24"/>
                <w:szCs w:val="24"/>
                <w:color w:val="auto"/>
              </w:rPr>
            </w:pP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EAF9E8"/>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-1021715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-1021715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-1021715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-1021715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-1021715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-1021715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sectPr>
      </w:pPr>
    </w:p>
    <w:bookmarkStart w:id="29" w:name="page30"/>
    <w:bookmarkEnd w:id="29"/>
    <w:p>
      <w:pPr>
        <w:ind w:left="5060"/>
        <w:spacing w:after="0"/>
        <w:tabs>
          <w:tab w:leader="none" w:pos="702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27940</wp:posOffset>
            </wp:positionV>
            <wp:extent cx="2152650"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84"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23</w:t>
      </w:r>
    </w:p>
    <w:p>
      <w:pPr>
        <w:spacing w:after="0" w:line="77"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15265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22</w:t>
      </w:r>
    </w:p>
    <w:p>
      <w:pPr>
        <w:spacing w:after="0" w:line="77" w:lineRule="exact"/>
        <w:rPr>
          <w:sz w:val="20"/>
          <w:szCs w:val="20"/>
          <w:color w:val="auto"/>
        </w:rPr>
      </w:pPr>
    </w:p>
    <w:p>
      <w:pPr>
        <w:ind w:left="4860"/>
        <w:spacing w:after="0"/>
        <w:tabs>
          <w:tab w:leader="none" w:pos="702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771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30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$ 1,080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771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u w:val="single" w:color="auto"/>
          <w:color w:val="auto"/>
        </w:rPr>
        <w:t>Credit agreements:</w:t>
      </w:r>
      <w:r>
        <w:rPr>
          <w:rFonts w:ascii="Arial" w:cs="Arial" w:eastAsia="Arial" w:hAnsi="Arial"/>
          <w:sz w:val="18"/>
          <w:szCs w:val="18"/>
          <w:color w:val="auto"/>
        </w:rPr>
        <w:t xml:space="preserve"> We have a credit agreement with a bank which provides for a $20,000 line of credit and which includes up to $5,000 for standby letters of credit. The interest rate on the line of credit is equal to LIBOR plus 1.55% (2.65% at April 30, 2005). The line of credit is due on October 1, 2005. As of April 30, 2005 and May 1, 2004, no advances under the line of credit were outstanding. The credit agreement is unsecured and requires us to comply with certain covenants, including the maintenance of tangible net worth of at least $40,000, a minimum liquidity ratio, a limit on dividends and distributions, and a minimum adjusted fixed charge coverage ratio. Daktronics Canada has a credit agreement with a bank that provides for a $200 line of credit. The line of credit is due on July 31, 2005. The interest rate on the line of credit is equal to 1.5% above the prime rate of interest (4.25% at April 30, 2005). As of April 30, 2005 and May 1, 2004, $79 and $214, respectively, had been drawn under the line. The line of credit is secured primarily by accounts receivables, inventory and other assets of the subsidiary.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9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Our authorized shares of 60,000 consist of 50,000 shares of common stock and 10,000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May 1, 1999, we declared a dividend of one preferred share purchase right for each outstanding share of our common stock. The dividend was paid on December 9, 1998 to the stockholders of record on such date. Each right entitles the registered holder to purchase from us one one-hundredth of a share of Series A Junior Participating Preferred Stock at a price of $160 per one-hundredth of a preferred share, subject to the complete terms as stated in the Rights Agreement. The rights become exercisable immediately after the earlier of (i) 10 business days following a public announcement that a person or group has acquired beneficial ownership of 20% or more of the outstanding common shares of us (subject to certain exclusions), or (ii) 10 business days following the commencement or announcement of an intention to make a tender offer or exchange offer, the consummation of which would result in the beneficial ownership by a person or group of 20% or more of such outstanding common shares. The rights expire on November 19, 2008, which date may be extended by our Board subject to certain additional conditions.</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u w:val="single" w:color="auto"/>
          <w:color w:val="auto"/>
        </w:rPr>
        <w:t>Common stock warrants:</w:t>
      </w:r>
      <w:r>
        <w:rPr>
          <w:rFonts w:ascii="Arial" w:cs="Arial" w:eastAsia="Arial" w:hAnsi="Arial"/>
          <w:sz w:val="16"/>
          <w:szCs w:val="16"/>
          <w:color w:val="auto"/>
        </w:rPr>
        <w:t xml:space="preserve"> In connection with the acquisition of a business in fiscal 2000, we issued warrants to purchase up to 88 shares of common stock at an exercise price of $6.32 per share. The warrants are exercisable at any time through December 29, 2006. During fiscal year 2005, warrants to purchase 12 shares of common stock were exercised. At April 30, 2005, warrants to purchase 18 shares remained outstanding.</w:t>
      </w:r>
    </w:p>
    <w:p>
      <w:pPr>
        <w:spacing w:after="0" w:line="16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xml:space="preserve"> During fiscal year 2002, we established the 2001 Incentive Stock Option Plan and the 2001 Outside Directors Option Plan (“2001 Plans”) and ceased granting options under the 1993 Incentive Stock Option Plan, as amended, and the 1993 Outside Directors Option Plan, as amended (“1993 Plans”). The 2001 Plans and the 1993 Plans authorize awards of incentive stock options to our employees and nonqualified stock options to non-employees and outside directors as compensation for services rendered. Under both the 2001 Plans and the 1993 Plans, options granted have a maximum term of 10 years in the case of the Incentive Stock Option Plan and seven years in the case of the Outside Directors Stock Option Plan. In addition, such options must have exercise prices equal to the market value of our common stock at the date of grant or 110% of market value at the date of grant in the case of an employee who owns more than 10% of all voting power of all classes of our stock then outstanding. The options generally vest ratably over a five-year period in the case of options granted under the Incentive Stock Option Plans and over a three-year period in the case of options granted under the Outside Directors Option Plans. However, under the 2001 Plans and the 1993 Plans, the actual period of vesting is determined at the time of the grant.</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total number of shares of stock reserved and available for distribution under the 2001 Incentive Stock Option Plan and the 2001 Outside Directors Plan are 1,200 and 400 shares, respectively. At April 30, 2005, there were 771 shares available for granting of options under the 2001 Plans. The total number of shares reserved under the 1993 Plans was 3,040. Although the 1993 Plans remain in effect for options outstanding, no new options are expected to be granted under the 1993 Plans.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plans at April 30, 2005, May 1, 2004 and May 3, 2003 and changes during the years ended on those dates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41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2005</w:t>
            </w:r>
          </w:p>
        </w:tc>
        <w:tc>
          <w:tcPr>
            <w:tcW w:w="13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2004</w:t>
            </w:r>
          </w:p>
        </w:tc>
        <w:tc>
          <w:tcPr>
            <w:tcW w:w="13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4"/>
                <w:szCs w:val="24"/>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5"/>
                <w:szCs w:val="15"/>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40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1,769</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7.23</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5.39</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4.32</w:t>
            </w:r>
          </w:p>
        </w:tc>
        <w:tc>
          <w:tcPr>
            <w:tcW w:w="140" w:type="dxa"/>
            <w:vAlign w:val="bottom"/>
            <w:shd w:val="clear" w:color="auto" w:fill="EAF9E8"/>
          </w:tcPr>
          <w:p>
            <w:pPr>
              <w:spacing w:after="0"/>
              <w:rPr>
                <w:sz w:val="22"/>
                <w:szCs w:val="22"/>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24"/>
                <w:szCs w:val="24"/>
                <w:color w:val="auto"/>
              </w:rPr>
            </w:pPr>
          </w:p>
        </w:tc>
      </w:tr>
      <w:tr>
        <w:trPr>
          <w:trHeight w:val="285"/>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Forfeited</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w:t>
            </w: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(31)</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7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EAF9E8"/>
          </w:tcPr>
          <w:p>
            <w:pPr>
              <w:spacing w:after="0"/>
              <w:rPr>
                <w:sz w:val="24"/>
                <w:szCs w:val="24"/>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680" w:type="dxa"/>
            <w:vAlign w:val="bottom"/>
          </w:tcPr>
          <w:p>
            <w:pPr>
              <w:jc w:val="right"/>
              <w:spacing w:after="0"/>
              <w:rPr>
                <w:sz w:val="20"/>
                <w:szCs w:val="20"/>
                <w:color w:val="auto"/>
              </w:rPr>
            </w:pPr>
            <w:r>
              <w:rPr>
                <w:rFonts w:ascii="Arial" w:cs="Arial" w:eastAsia="Arial" w:hAnsi="Arial"/>
                <w:sz w:val="18"/>
                <w:szCs w:val="18"/>
                <w:color w:val="auto"/>
              </w:rPr>
              <w:t>8.36</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(240)</w:t>
            </w:r>
          </w:p>
        </w:tc>
        <w:tc>
          <w:tcPr>
            <w:tcW w:w="660" w:type="dxa"/>
            <w:vAlign w:val="bottom"/>
          </w:tcPr>
          <w:p>
            <w:pPr>
              <w:jc w:val="right"/>
              <w:spacing w:after="0"/>
              <w:rPr>
                <w:sz w:val="20"/>
                <w:szCs w:val="20"/>
                <w:color w:val="auto"/>
              </w:rPr>
            </w:pPr>
            <w:r>
              <w:rPr>
                <w:rFonts w:ascii="Arial" w:cs="Arial" w:eastAsia="Arial" w:hAnsi="Arial"/>
                <w:sz w:val="18"/>
                <w:szCs w:val="18"/>
                <w:color w:val="auto"/>
              </w:rPr>
              <w:t>6.79</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(258)</w:t>
            </w: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4"/>
                <w:szCs w:val="24"/>
                <w:color w:val="auto"/>
              </w:rPr>
            </w:pPr>
          </w:p>
        </w:tc>
      </w:tr>
      <w:tr>
        <w:trPr>
          <w:trHeight w:val="110"/>
        </w:trPr>
        <w:tc>
          <w:tcPr>
            <w:tcW w:w="40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40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84"/>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1,725</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7.23</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EAF9E8"/>
          </w:tcPr>
          <w:p>
            <w:pPr>
              <w:spacing w:after="0"/>
              <w:rPr>
                <w:sz w:val="24"/>
                <w:szCs w:val="24"/>
                <w:color w:val="auto"/>
              </w:rPr>
            </w:pPr>
          </w:p>
        </w:tc>
      </w:tr>
      <w:tr>
        <w:trPr>
          <w:trHeight w:val="108"/>
        </w:trPr>
        <w:tc>
          <w:tcPr>
            <w:tcW w:w="3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ectPr>
          <w:pgSz w:w="11900" w:h="16838" w:orient="portrait"/>
          <w:cols w:equalWidth="0" w:num="1">
            <w:col w:w="11420"/>
          </w:cols>
          <w:pgMar w:left="240" w:top="131" w:right="239" w:bottom="0" w:gutter="0" w:footer="0" w:header="0"/>
        </w:sectPr>
      </w:pPr>
    </w:p>
    <w:bookmarkStart w:id="30" w:name="page31"/>
    <w:bookmarkEnd w:id="30"/>
    <w:p>
      <w:pPr>
        <w:ind w:right="160" w:firstLine="351"/>
        <w:spacing w:after="0" w:line="332" w:lineRule="auto"/>
        <w:rPr>
          <w:sz w:val="20"/>
          <w:szCs w:val="20"/>
          <w:color w:val="auto"/>
        </w:rPr>
      </w:pPr>
      <w:r>
        <w:rPr>
          <w:rFonts w:ascii="Arial" w:cs="Arial" w:eastAsia="Arial" w:hAnsi="Arial"/>
          <w:sz w:val="16"/>
          <w:szCs w:val="16"/>
          <w:color w:val="auto"/>
        </w:rPr>
        <w:t>Options for 1,123, 1,119 and 1,074 shares were exercisable at April 30, 2005, May 1, 2004 and May 3, 2003, respectively. The weighted average fair value of options granted were $10.11, $6.98 and $4.51 for the years ended April 30, 2005, May 1, 2004 and May 3, 2003,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fixed options outstanding at April 30, 2005:</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9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r>
      <w:tr>
        <w:trPr>
          <w:trHeight w:val="95"/>
        </w:trPr>
        <w:tc>
          <w:tcPr>
            <w:tcW w:w="2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272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0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$1.00 to $3.99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394</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394</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EAF9E8"/>
          </w:tcPr>
          <w:p>
            <w:pPr>
              <w:spacing w:after="0"/>
              <w:rPr>
                <w:sz w:val="24"/>
                <w:szCs w:val="24"/>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$4.00 to $6.99</w:t>
            </w: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$7.00 to $9.99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337</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7.60</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$10.00 to $12.99</w:t>
            </w: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25.63</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$16.00 to $18.99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216</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21.09</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$22.00 to $24.99</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$25.00 to $28.99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25.67</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2"/>
                <w:szCs w:val="22"/>
                <w:color w:val="auto"/>
              </w:rPr>
            </w:pPr>
          </w:p>
        </w:tc>
      </w:tr>
      <w:tr>
        <w:trPr>
          <w:trHeight w:val="108"/>
        </w:trPr>
        <w:tc>
          <w:tcPr>
            <w:tcW w:w="2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1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370"/>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24"/>
                <w:szCs w:val="24"/>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312"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have an employee savings plan which provides for voluntary contributions by eligible employees into designated investment funds with a matching contribution by us of 50% of the employee’s qualifying contribution up to 6% of such employee’s compensation plus other discretionary contributions as authorized by the board of directors. Employees are eligible to participate upon completion of one year of service if they have attained the age of 21 and have worked more than 1,000 hours during such plan year. We contributed $1,048, $1,139 and $545 to the plan for the fiscal years 2005, 2004 and 2003, respectively.</w:t>
      </w:r>
    </w:p>
    <w:p>
      <w:pPr>
        <w:spacing w:after="0" w:line="152"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have an employee stock purchase plan, which became effective September 1, 2002, is intended to qualify under Section 423 of the Internal Revenue Code and allows employees to purchase shares of our common stock, subject to annual limitations of 85% of the lower of the fair market value of the common stock at the beginning or the end of a six-month offering period. The total number of shares reserved under this Plan is 500 shares. We issued 32 shares and 29 shares during the fiscal years ended April 30, 2005 and May 1, 2004. No shares were issued during the fiscal year ended May 3, 2003. As of April 30, 2005, participants in the Plan had accumulated $296 to purchase our stock.</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April 30, 2005 and May 1, 2004 were $567 and $535, respectively. Contributions for the fiscal years ending April 30, 2005 and May 1, 2004 were $23 and $15, respectively. These agreements were amended and restated during fiscal year 2004 to reflect changes in the payout options available at retirement. The amounts accrued under the plans are not funded and are subject to the claims of creditors. Participants may elect various forms of withdrawals upon retirement, including a lump sum distribution or annual payments over five or 10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consists of the following: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9"/>
          </w:tcPr>
          <w:p>
            <w:pPr>
              <w:jc w:val="center"/>
              <w:ind w:right="780"/>
              <w:spacing w:after="0"/>
              <w:rPr>
                <w:sz w:val="20"/>
                <w:szCs w:val="20"/>
                <w:color w:val="auto"/>
              </w:rPr>
            </w:pPr>
            <w:r>
              <w:rPr>
                <w:rFonts w:ascii="Arial" w:cs="Arial" w:eastAsia="Arial" w:hAnsi="Arial"/>
                <w:sz w:val="14"/>
                <w:szCs w:val="14"/>
                <w:b w:val="1"/>
                <w:bCs w:val="1"/>
                <w:color w:val="auto"/>
                <w:w w:val="87"/>
              </w:rPr>
              <w:t>Years Ended</w:t>
            </w:r>
          </w:p>
        </w:tc>
        <w:tc>
          <w:tcPr>
            <w:tcW w:w="0" w:type="dxa"/>
            <w:vAlign w:val="bottom"/>
          </w:tcPr>
          <w:p>
            <w:pPr>
              <w:spacing w:after="0"/>
              <w:rPr>
                <w:sz w:val="1"/>
                <w:szCs w:val="1"/>
                <w:color w:val="auto"/>
              </w:rPr>
            </w:pPr>
          </w:p>
        </w:tc>
      </w:tr>
      <w:tr>
        <w:trPr>
          <w:trHeight w:val="109"/>
        </w:trPr>
        <w:tc>
          <w:tcPr>
            <w:tcW w:w="58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580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24"/>
                <w:szCs w:val="24"/>
                <w:color w:val="auto"/>
              </w:rPr>
            </w:pPr>
          </w:p>
        </w:tc>
        <w:tc>
          <w:tcPr>
            <w:tcW w:w="5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May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May 3,</w:t>
            </w: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520" w:type="dxa"/>
            <w:vAlign w:val="bottom"/>
          </w:tcPr>
          <w:p>
            <w:pPr>
              <w:jc w:val="right"/>
              <w:ind w:right="38"/>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680" w:type="dxa"/>
            <w:vAlign w:val="bottom"/>
            <w:gridSpan w:val="3"/>
          </w:tcPr>
          <w:p>
            <w:pPr>
              <w:jc w:val="center"/>
              <w:ind w:left="200"/>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Pr>
          <w:p>
            <w:pPr>
              <w:spacing w:after="0"/>
              <w:rPr>
                <w:sz w:val="15"/>
                <w:szCs w:val="15"/>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8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80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5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00" w:type="dxa"/>
            <w:vAlign w:val="bottom"/>
          </w:tcPr>
          <w:p>
            <w:pPr>
              <w:ind w:left="160"/>
              <w:spacing w:after="0"/>
              <w:rPr>
                <w:sz w:val="20"/>
                <w:szCs w:val="20"/>
                <w:color w:val="auto"/>
              </w:rPr>
            </w:pPr>
            <w:r>
              <w:rPr>
                <w:rFonts w:ascii="Arial" w:cs="Arial" w:eastAsia="Arial" w:hAnsi="Arial"/>
                <w:sz w:val="18"/>
                <w:szCs w:val="18"/>
                <w:color w:val="auto"/>
              </w:rPr>
              <w:t>Federal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$ 4,315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$ 9,585</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$ 7,870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1,116</w:t>
            </w:r>
          </w:p>
        </w:tc>
        <w:tc>
          <w:tcPr>
            <w:tcW w:w="8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1,298</w:t>
            </w:r>
          </w:p>
        </w:tc>
        <w:tc>
          <w:tcPr>
            <w:tcW w:w="78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800" w:type="dxa"/>
            <w:vAlign w:val="bottom"/>
          </w:tcPr>
          <w:p>
            <w:pPr>
              <w:spacing w:after="0"/>
              <w:rPr>
                <w:sz w:val="20"/>
                <w:szCs w:val="20"/>
                <w:color w:val="auto"/>
              </w:rPr>
            </w:pPr>
            <w:r>
              <w:rPr>
                <w:rFonts w:ascii="Arial" w:cs="Arial" w:eastAsia="Arial" w:hAnsi="Arial"/>
                <w:sz w:val="18"/>
                <w:szCs w:val="18"/>
                <w:color w:val="auto"/>
              </w:rPr>
              <w:t>Deferred taxes (credits)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110"/>
        </w:trPr>
        <w:tc>
          <w:tcPr>
            <w:tcW w:w="58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4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80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6"/>
              </w:rPr>
              <w:t>$ 5,786</w:t>
            </w:r>
          </w:p>
        </w:tc>
        <w:tc>
          <w:tcPr>
            <w:tcW w:w="8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$10,907</w:t>
            </w:r>
          </w:p>
        </w:tc>
        <w:tc>
          <w:tcPr>
            <w:tcW w:w="780" w:type="dxa"/>
            <w:vAlign w:val="bottom"/>
            <w:gridSpan w:val="4"/>
            <w:shd w:val="clear" w:color="auto" w:fill="EAF9E8"/>
          </w:tcPr>
          <w:p>
            <w:pPr>
              <w:jc w:val="right"/>
              <w:ind w:right="40"/>
              <w:spacing w:after="0"/>
              <w:rPr>
                <w:sz w:val="20"/>
                <w:szCs w:val="20"/>
                <w:color w:val="auto"/>
              </w:rPr>
            </w:pPr>
            <w:r>
              <w:rPr>
                <w:rFonts w:ascii="Arial" w:cs="Arial" w:eastAsia="Arial" w:hAnsi="Arial"/>
                <w:sz w:val="18"/>
                <w:szCs w:val="18"/>
                <w:color w:val="auto"/>
              </w:rPr>
              <w:t>$ 8,107</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00" w:type="dxa"/>
            <w:vAlign w:val="bottom"/>
            <w:vMerge w:val="restart"/>
          </w:tcPr>
          <w:p>
            <w:pPr>
              <w:ind w:left="360"/>
              <w:spacing w:after="0"/>
              <w:rPr>
                <w:sz w:val="20"/>
                <w:szCs w:val="20"/>
                <w:color w:val="auto"/>
              </w:rPr>
            </w:pPr>
            <w:r>
              <w:rPr>
                <w:rFonts w:ascii="Arial" w:cs="Arial" w:eastAsia="Arial" w:hAnsi="Arial"/>
                <w:sz w:val="18"/>
                <w:szCs w:val="18"/>
                <w:color w:val="auto"/>
              </w:rPr>
              <w:t>The components of the net deferred tax asset are as follows:</w:t>
            </w: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8"/>
        </w:trPr>
        <w:tc>
          <w:tcPr>
            <w:tcW w:w="5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April 30,</w:t>
            </w:r>
          </w:p>
        </w:tc>
        <w:tc>
          <w:tcPr>
            <w:tcW w:w="1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74"/>
        </w:trPr>
        <w:tc>
          <w:tcPr>
            <w:tcW w:w="5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8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5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 accrual</w:t>
            </w:r>
          </w:p>
        </w:tc>
        <w:tc>
          <w:tcPr>
            <w:tcW w:w="10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$ 3,090</w:t>
            </w:r>
          </w:p>
        </w:tc>
        <w:tc>
          <w:tcPr>
            <w:tcW w:w="180" w:type="dxa"/>
            <w:vAlign w:val="bottom"/>
            <w:shd w:val="clear" w:color="auto" w:fill="EAF9E8"/>
          </w:tcPr>
          <w:p>
            <w:pPr>
              <w:spacing w:after="0"/>
              <w:rPr>
                <w:sz w:val="22"/>
                <w:szCs w:val="22"/>
                <w:color w:val="auto"/>
              </w:rPr>
            </w:pPr>
          </w:p>
        </w:tc>
        <w:tc>
          <w:tcPr>
            <w:tcW w:w="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w w:val="89"/>
              </w:rPr>
              <w:t>$ 2,316</w:t>
            </w:r>
          </w:p>
        </w:tc>
        <w:tc>
          <w:tcPr>
            <w:tcW w:w="180" w:type="dxa"/>
            <w:vAlign w:val="bottom"/>
            <w:shd w:val="clear" w:color="auto" w:fill="EAF9E8"/>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800" w:type="dxa"/>
            <w:vAlign w:val="bottom"/>
          </w:tcPr>
          <w:p>
            <w:pPr>
              <w:ind w:left="160"/>
              <w:spacing w:after="0"/>
              <w:rPr>
                <w:sz w:val="20"/>
                <w:szCs w:val="20"/>
                <w:color w:val="auto"/>
              </w:rPr>
            </w:pPr>
            <w:r>
              <w:rPr>
                <w:rFonts w:ascii="Arial" w:cs="Arial" w:eastAsia="Arial" w:hAnsi="Arial"/>
                <w:sz w:val="18"/>
                <w:szCs w:val="18"/>
                <w:color w:val="auto"/>
              </w:rPr>
              <w:t>Vacation accrual</w:t>
            </w: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20" w:type="dxa"/>
            <w:vAlign w:val="bottom"/>
          </w:tcPr>
          <w:p>
            <w:pPr>
              <w:ind w:left="160"/>
              <w:spacing w:after="0"/>
              <w:rPr>
                <w:sz w:val="20"/>
                <w:szCs w:val="20"/>
                <w:color w:val="auto"/>
              </w:rPr>
            </w:pPr>
            <w:r>
              <w:rPr>
                <w:rFonts w:ascii="Arial" w:cs="Arial" w:eastAsia="Arial" w:hAnsi="Arial"/>
                <w:sz w:val="18"/>
                <w:szCs w:val="18"/>
                <w:color w:val="auto"/>
              </w:rPr>
              <w:t>Reserves for excess and obsolete inventory</w:t>
            </w:r>
          </w:p>
        </w:tc>
        <w:tc>
          <w:tcPr>
            <w:tcW w:w="540" w:type="dxa"/>
            <w:vAlign w:val="bottom"/>
          </w:tcPr>
          <w:p>
            <w:pPr>
              <w:jc w:val="right"/>
              <w:spacing w:after="0"/>
              <w:rPr>
                <w:sz w:val="20"/>
                <w:szCs w:val="20"/>
                <w:color w:val="auto"/>
              </w:rPr>
            </w:pPr>
            <w:r>
              <w:rPr>
                <w:rFonts w:ascii="Arial" w:cs="Arial" w:eastAsia="Arial" w:hAnsi="Arial"/>
                <w:sz w:val="18"/>
                <w:szCs w:val="18"/>
                <w:color w:val="auto"/>
              </w:rPr>
              <w:t>944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9"/>
                <w:szCs w:val="19"/>
                <w:color w:val="auto"/>
              </w:rPr>
            </w:pPr>
          </w:p>
        </w:tc>
      </w:tr>
      <w:tr>
        <w:trPr>
          <w:trHeight w:val="29"/>
        </w:trPr>
        <w:tc>
          <w:tcPr>
            <w:tcW w:w="6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84"/>
        </w:trPr>
        <w:tc>
          <w:tcPr>
            <w:tcW w:w="6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Allowance for doubtful accounts</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376</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441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486</w:t>
            </w:r>
          </w:p>
        </w:tc>
        <w:tc>
          <w:tcPr>
            <w:tcW w:w="180" w:type="dxa"/>
            <w:vAlign w:val="bottom"/>
          </w:tcPr>
          <w:p>
            <w:pPr>
              <w:spacing w:after="0"/>
              <w:rPr>
                <w:sz w:val="23"/>
                <w:szCs w:val="23"/>
                <w:color w:val="auto"/>
              </w:rPr>
            </w:pPr>
          </w:p>
        </w:tc>
      </w:tr>
      <w:tr>
        <w:trPr>
          <w:trHeight w:val="291"/>
        </w:trPr>
        <w:tc>
          <w:tcPr>
            <w:tcW w:w="63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tcPr>
          <w:p>
            <w:pPr>
              <w:jc w:val="right"/>
              <w:spacing w:after="0"/>
              <w:rPr>
                <w:sz w:val="20"/>
                <w:szCs w:val="20"/>
                <w:color w:val="auto"/>
              </w:rPr>
            </w:pPr>
            <w:r>
              <w:rPr>
                <w:rFonts w:ascii="Arial" w:cs="Arial" w:eastAsia="Arial" w:hAnsi="Arial"/>
                <w:sz w:val="18"/>
                <w:szCs w:val="18"/>
                <w:color w:val="auto"/>
              </w:rPr>
              <w:t>596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4"/>
                <w:szCs w:val="24"/>
                <w:color w:val="auto"/>
              </w:rPr>
            </w:pPr>
          </w:p>
        </w:tc>
      </w:tr>
      <w:tr>
        <w:trPr>
          <w:trHeight w:val="291"/>
        </w:trPr>
        <w:tc>
          <w:tcPr>
            <w:tcW w:w="6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accruals and deferrals</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6,609</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5,492</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84"/>
        </w:trPr>
        <w:tc>
          <w:tcPr>
            <w:tcW w:w="632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4,184</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24"/>
                <w:szCs w:val="24"/>
                <w:color w:val="auto"/>
              </w:rPr>
            </w:pPr>
          </w:p>
        </w:tc>
      </w:tr>
      <w:tr>
        <w:trPr>
          <w:trHeight w:val="124"/>
        </w:trPr>
        <w:tc>
          <w:tcPr>
            <w:tcW w:w="63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$ 2,425</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$ 2,481</w:t>
            </w:r>
          </w:p>
        </w:tc>
        <w:tc>
          <w:tcPr>
            <w:tcW w:w="180" w:type="dxa"/>
            <w:vAlign w:val="bottom"/>
            <w:shd w:val="clear" w:color="auto" w:fill="EAF9E8"/>
          </w:tcPr>
          <w:p>
            <w:pPr>
              <w:spacing w:after="0"/>
              <w:rPr>
                <w:sz w:val="24"/>
                <w:szCs w:val="24"/>
                <w:color w:val="auto"/>
              </w:rPr>
            </w:pPr>
          </w:p>
        </w:tc>
      </w:tr>
      <w:tr>
        <w:trPr>
          <w:trHeight w:val="108"/>
        </w:trPr>
        <w:tc>
          <w:tcPr>
            <w:tcW w:w="6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14"/>
                <w:szCs w:val="14"/>
                <w:color w:val="auto"/>
              </w:rPr>
            </w:pPr>
          </w:p>
        </w:tc>
      </w:tr>
      <w:tr>
        <w:trPr>
          <w:trHeight w:val="174"/>
        </w:trPr>
        <w:tc>
          <w:tcPr>
            <w:tcW w:w="6620" w:type="dxa"/>
            <w:vAlign w:val="bottom"/>
          </w:tcPr>
          <w:p>
            <w:pPr>
              <w:spacing w:after="0"/>
              <w:rPr>
                <w:sz w:val="15"/>
                <w:szCs w:val="15"/>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109"/>
        </w:trPr>
        <w:tc>
          <w:tcPr>
            <w:tcW w:w="6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$ 5,852</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$ 4,524</w:t>
            </w:r>
          </w:p>
        </w:tc>
        <w:tc>
          <w:tcPr>
            <w:tcW w:w="180" w:type="dxa"/>
            <w:vAlign w:val="bottom"/>
            <w:shd w:val="clear" w:color="auto" w:fill="EAF9E8"/>
          </w:tcPr>
          <w:p>
            <w:pPr>
              <w:spacing w:after="0"/>
              <w:rPr>
                <w:sz w:val="22"/>
                <w:szCs w:val="22"/>
                <w:color w:val="auto"/>
              </w:rPr>
            </w:pPr>
          </w:p>
        </w:tc>
      </w:tr>
      <w:tr>
        <w:trPr>
          <w:trHeight w:val="268"/>
        </w:trPr>
        <w:tc>
          <w:tcPr>
            <w:tcW w:w="66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3,427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2,043</w:t>
            </w:r>
          </w:p>
        </w:tc>
        <w:tc>
          <w:tcPr>
            <w:tcW w:w="180" w:type="dxa"/>
            <w:vAlign w:val="bottom"/>
          </w:tcPr>
          <w:p>
            <w:pPr>
              <w:spacing w:after="0"/>
              <w:rPr>
                <w:sz w:val="23"/>
                <w:szCs w:val="23"/>
                <w:color w:val="auto"/>
              </w:rPr>
            </w:pPr>
          </w:p>
        </w:tc>
      </w:tr>
      <w:tr>
        <w:trPr>
          <w:trHeight w:val="124"/>
        </w:trPr>
        <w:tc>
          <w:tcPr>
            <w:tcW w:w="66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6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$ 2,425</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$ 2,481</w:t>
            </w:r>
          </w:p>
        </w:tc>
        <w:tc>
          <w:tcPr>
            <w:tcW w:w="180" w:type="dxa"/>
            <w:vAlign w:val="bottom"/>
            <w:shd w:val="clear" w:color="auto" w:fill="EAF9E8"/>
          </w:tcPr>
          <w:p>
            <w:pPr>
              <w:spacing w:after="0"/>
              <w:rPr>
                <w:sz w:val="24"/>
                <w:szCs w:val="24"/>
                <w:color w:val="auto"/>
              </w:rPr>
            </w:pPr>
          </w:p>
        </w:tc>
      </w:tr>
      <w:tr>
        <w:trPr>
          <w:trHeight w:val="108"/>
        </w:trPr>
        <w:tc>
          <w:tcPr>
            <w:tcW w:w="6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9"/>
        </w:trPr>
        <w:tc>
          <w:tcPr>
            <w:tcW w:w="532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278"/>
        </w:trPr>
        <w:tc>
          <w:tcPr>
            <w:tcW w:w="5320" w:type="dxa"/>
            <w:vAlign w:val="bottom"/>
          </w:tcPr>
          <w:p>
            <w:pPr>
              <w:spacing w:after="0"/>
              <w:rPr>
                <w:sz w:val="24"/>
                <w:szCs w:val="2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May 1,</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3,</w:t>
            </w:r>
          </w:p>
        </w:tc>
      </w:tr>
      <w:tr>
        <w:trPr>
          <w:trHeight w:val="174"/>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109"/>
        </w:trPr>
        <w:tc>
          <w:tcPr>
            <w:tcW w:w="5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Computed income tax expense at federal statutory rate</w:t>
            </w:r>
          </w:p>
        </w:tc>
        <w:tc>
          <w:tcPr>
            <w:tcW w:w="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EAF9E8"/>
          </w:tcPr>
          <w:p>
            <w:pPr>
              <w:spacing w:after="0"/>
              <w:rPr>
                <w:sz w:val="22"/>
                <w:szCs w:val="22"/>
                <w:color w:val="auto"/>
              </w:rPr>
            </w:pP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10,022</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$ 7,209</w:t>
            </w:r>
          </w:p>
        </w:tc>
        <w:tc>
          <w:tcPr>
            <w:tcW w:w="180" w:type="dxa"/>
            <w:vAlign w:val="bottom"/>
            <w:shd w:val="clear" w:color="auto" w:fill="EAF9E8"/>
          </w:tcPr>
          <w:p>
            <w:pPr>
              <w:spacing w:after="0"/>
              <w:rPr>
                <w:sz w:val="22"/>
                <w:szCs w:val="22"/>
                <w:color w:val="auto"/>
              </w:rPr>
            </w:pPr>
          </w:p>
        </w:tc>
      </w:tr>
      <w:tr>
        <w:trPr>
          <w:trHeight w:val="268"/>
        </w:trPr>
        <w:tc>
          <w:tcPr>
            <w:tcW w:w="53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3"/>
                <w:szCs w:val="23"/>
                <w:color w:val="auto"/>
              </w:rPr>
            </w:pPr>
          </w:p>
        </w:tc>
      </w:tr>
      <w:tr>
        <w:trPr>
          <w:trHeight w:val="298"/>
        </w:trPr>
        <w:tc>
          <w:tcPr>
            <w:tcW w:w="53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85"/>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Meals and entertainment</w:t>
            </w:r>
          </w:p>
        </w:tc>
        <w:tc>
          <w:tcPr>
            <w:tcW w:w="22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EAF9E8"/>
          </w:tcPr>
          <w:p>
            <w:pPr>
              <w:spacing w:after="0"/>
              <w:rPr>
                <w:sz w:val="24"/>
                <w:szCs w:val="24"/>
                <w:color w:val="auto"/>
              </w:rPr>
            </w:pPr>
          </w:p>
        </w:tc>
      </w:tr>
      <w:tr>
        <w:trPr>
          <w:trHeight w:val="283"/>
        </w:trPr>
        <w:tc>
          <w:tcPr>
            <w:tcW w:w="5320" w:type="dxa"/>
            <w:vAlign w:val="bottom"/>
          </w:tcPr>
          <w:p>
            <w:pPr>
              <w:spacing w:after="0"/>
              <w:rPr>
                <w:sz w:val="20"/>
                <w:szCs w:val="20"/>
                <w:color w:val="auto"/>
              </w:rPr>
            </w:pPr>
            <w:r>
              <w:rPr>
                <w:rFonts w:ascii="Arial" w:cs="Arial" w:eastAsia="Arial" w:hAnsi="Arial"/>
                <w:sz w:val="18"/>
                <w:szCs w:val="18"/>
                <w:color w:val="auto"/>
              </w:rPr>
              <w:t>Extraterritorial income exclusion</w:t>
            </w:r>
          </w:p>
        </w:tc>
        <w:tc>
          <w:tcPr>
            <w:tcW w:w="22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85"/>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w:t>
            </w:r>
          </w:p>
        </w:tc>
      </w:tr>
      <w:tr>
        <w:trPr>
          <w:trHeight w:val="108"/>
        </w:trPr>
        <w:tc>
          <w:tcPr>
            <w:tcW w:w="5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83"/>
        </w:trPr>
        <w:tc>
          <w:tcPr>
            <w:tcW w:w="53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5,786</w:t>
            </w:r>
          </w:p>
        </w:tc>
        <w:tc>
          <w:tcPr>
            <w:tcW w:w="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10,907</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$ 8,107</w:t>
            </w:r>
          </w:p>
        </w:tc>
        <w:tc>
          <w:tcPr>
            <w:tcW w:w="180" w:type="dxa"/>
            <w:vAlign w:val="bottom"/>
          </w:tcPr>
          <w:p>
            <w:pPr>
              <w:spacing w:after="0"/>
              <w:rPr>
                <w:sz w:val="24"/>
                <w:szCs w:val="24"/>
                <w:color w:val="auto"/>
              </w:rPr>
            </w:pPr>
          </w:p>
        </w:tc>
      </w:tr>
      <w:tr>
        <w:trPr>
          <w:trHeight w:val="124"/>
        </w:trPr>
        <w:tc>
          <w:tcPr>
            <w:tcW w:w="5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April 30, 2005, we had foreign net operating loss carry-forwards totaling $1,673 of which $1,163 have an unlimited carry-forward period and $510 which have a ten-year carry-forward period and expire in 2015. Our Canadian subsidiary, has research and development tax credit carry-forwards totaling $95, net of the applicable tax liability related to their use, which have a ten year carry-forward and expire between 2013 and 2015 and approximately $412 of future tax deductions related to research and development expenditures which have not been deducted for federal tax purposes and which have an unlimited carry-forward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attributable to domestic and foreign operations are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Years Ended</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09"/>
        </w:trPr>
        <w:tc>
          <w:tcPr>
            <w:tcW w:w="5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278"/>
        </w:trPr>
        <w:tc>
          <w:tcPr>
            <w:tcW w:w="546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1,</w:t>
            </w:r>
          </w:p>
        </w:tc>
        <w:tc>
          <w:tcPr>
            <w:tcW w:w="680" w:type="dxa"/>
            <w:vAlign w:val="bottom"/>
          </w:tcPr>
          <w:p>
            <w:pPr>
              <w:jc w:val="right"/>
              <w:ind w:right="80"/>
              <w:spacing w:after="0"/>
              <w:rPr>
                <w:sz w:val="20"/>
                <w:szCs w:val="20"/>
                <w:color w:val="auto"/>
              </w:rPr>
            </w:pPr>
            <w:r>
              <w:rPr>
                <w:rFonts w:ascii="Arial" w:cs="Arial" w:eastAsia="Arial" w:hAnsi="Arial"/>
                <w:sz w:val="14"/>
                <w:szCs w:val="14"/>
                <w:b w:val="1"/>
                <w:bCs w:val="1"/>
                <w:color w:val="auto"/>
              </w:rPr>
              <w:t>May 3,</w:t>
            </w:r>
          </w:p>
        </w:tc>
        <w:tc>
          <w:tcPr>
            <w:tcW w:w="180" w:type="dxa"/>
            <w:vAlign w:val="bottom"/>
          </w:tcPr>
          <w:p>
            <w:pPr>
              <w:spacing w:after="0"/>
              <w:rPr>
                <w:sz w:val="24"/>
                <w:szCs w:val="24"/>
                <w:color w:val="auto"/>
              </w:rPr>
            </w:pPr>
          </w:p>
        </w:tc>
      </w:tr>
      <w:tr>
        <w:trPr>
          <w:trHeight w:val="174"/>
        </w:trPr>
        <w:tc>
          <w:tcPr>
            <w:tcW w:w="5460" w:type="dxa"/>
            <w:vAlign w:val="bottom"/>
          </w:tcPr>
          <w:p>
            <w:pPr>
              <w:spacing w:after="0"/>
              <w:rPr>
                <w:sz w:val="15"/>
                <w:szCs w:val="15"/>
                <w:color w:val="auto"/>
              </w:rPr>
            </w:pPr>
          </w:p>
        </w:tc>
        <w:tc>
          <w:tcPr>
            <w:tcW w:w="780" w:type="dxa"/>
            <w:vAlign w:val="bottom"/>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680" w:type="dxa"/>
            <w:vAlign w:val="bottom"/>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r>
      <w:tr>
        <w:trPr>
          <w:trHeight w:val="109"/>
        </w:trPr>
        <w:tc>
          <w:tcPr>
            <w:tcW w:w="5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83"/>
        </w:trPr>
        <w:tc>
          <w:tcPr>
            <w:tcW w:w="5460" w:type="dxa"/>
            <w:vAlign w:val="bottom"/>
          </w:tcPr>
          <w:p>
            <w:pPr>
              <w:ind w:left="160"/>
              <w:spacing w:after="0"/>
              <w:rPr>
                <w:sz w:val="20"/>
                <w:szCs w:val="20"/>
                <w:color w:val="auto"/>
              </w:rPr>
            </w:pPr>
            <w:r>
              <w:rPr>
                <w:rFonts w:ascii="Arial" w:cs="Arial" w:eastAsia="Arial" w:hAnsi="Arial"/>
                <w:sz w:val="18"/>
                <w:szCs w:val="18"/>
                <w:color w:val="auto"/>
              </w:rPr>
              <w:t>Domestic</w:t>
            </w:r>
          </w:p>
        </w:tc>
        <w:tc>
          <w:tcPr>
            <w:tcW w:w="780" w:type="dxa"/>
            <w:vAlign w:val="bottom"/>
          </w:tcPr>
          <w:p>
            <w:pPr>
              <w:jc w:val="right"/>
              <w:spacing w:after="0"/>
              <w:rPr>
                <w:sz w:val="20"/>
                <w:szCs w:val="20"/>
                <w:color w:val="auto"/>
              </w:rPr>
            </w:pPr>
            <w:r>
              <w:rPr>
                <w:rFonts w:ascii="Arial" w:cs="Arial" w:eastAsia="Arial" w:hAnsi="Arial"/>
                <w:sz w:val="18"/>
                <w:szCs w:val="18"/>
                <w:color w:val="auto"/>
              </w:rPr>
              <w:t>16,593</w:t>
            </w:r>
          </w:p>
        </w:tc>
        <w:tc>
          <w:tcPr>
            <w:tcW w:w="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17,936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12,304</w:t>
            </w:r>
          </w:p>
        </w:tc>
        <w:tc>
          <w:tcPr>
            <w:tcW w:w="180" w:type="dxa"/>
            <w:vAlign w:val="bottom"/>
          </w:tcPr>
          <w:p>
            <w:pPr>
              <w:spacing w:after="0"/>
              <w:rPr>
                <w:sz w:val="24"/>
                <w:szCs w:val="24"/>
                <w:color w:val="auto"/>
              </w:rPr>
            </w:pPr>
          </w:p>
        </w:tc>
      </w:tr>
      <w:tr>
        <w:trPr>
          <w:trHeight w:val="297"/>
        </w:trPr>
        <w:tc>
          <w:tcPr>
            <w:tcW w:w="5460" w:type="dxa"/>
            <w:vAlign w:val="bottom"/>
          </w:tcPr>
          <w:p>
            <w:pPr>
              <w:ind w:left="160"/>
              <w:spacing w:after="0"/>
              <w:rPr>
                <w:sz w:val="20"/>
                <w:szCs w:val="20"/>
                <w:color w:val="auto"/>
              </w:rPr>
            </w:pPr>
            <w:r>
              <w:rPr>
                <w:rFonts w:ascii="Arial" w:cs="Arial" w:eastAsia="Arial" w:hAnsi="Arial"/>
                <w:sz w:val="18"/>
                <w:szCs w:val="18"/>
                <w:color w:val="auto"/>
              </w:rPr>
              <w:t>Foreign</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(209</w:t>
            </w: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4"/>
                <w:szCs w:val="24"/>
                <w:color w:val="auto"/>
              </w:rPr>
            </w:pPr>
          </w:p>
        </w:tc>
      </w:tr>
      <w:tr>
        <w:trPr>
          <w:trHeight w:val="110"/>
        </w:trPr>
        <w:tc>
          <w:tcPr>
            <w:tcW w:w="5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460" w:type="dxa"/>
            <w:vAlign w:val="bottom"/>
            <w:shd w:val="clear" w:color="auto" w:fill="EAF9E8"/>
          </w:tcPr>
          <w:p>
            <w:pPr>
              <w:spacing w:after="0"/>
              <w:rPr>
                <w:sz w:val="24"/>
                <w:szCs w:val="24"/>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15,660</w:t>
            </w:r>
          </w:p>
        </w:tc>
        <w:tc>
          <w:tcPr>
            <w:tcW w:w="40" w:type="dxa"/>
            <w:vAlign w:val="bottom"/>
            <w:shd w:val="clear" w:color="auto" w:fill="EAF9E8"/>
          </w:tcPr>
          <w:p>
            <w:pPr>
              <w:spacing w:after="0"/>
              <w:rPr>
                <w:sz w:val="24"/>
                <w:szCs w:val="24"/>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17,727</w:t>
            </w:r>
          </w:p>
        </w:tc>
        <w:tc>
          <w:tcPr>
            <w:tcW w:w="18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EAF9E8"/>
          </w:tcPr>
          <w:p>
            <w:pPr>
              <w:spacing w:after="0"/>
              <w:rPr>
                <w:sz w:val="24"/>
                <w:szCs w:val="24"/>
                <w:color w:val="auto"/>
              </w:rPr>
            </w:pPr>
          </w:p>
        </w:tc>
      </w:tr>
      <w:tr>
        <w:trPr>
          <w:trHeight w:val="108"/>
        </w:trPr>
        <w:tc>
          <w:tcPr>
            <w:tcW w:w="546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Cash Flow Information</w:t>
      </w:r>
    </w:p>
    <w:p>
      <w:pPr>
        <w:sectPr>
          <w:pgSz w:w="11900" w:h="16838" w:orient="portrait"/>
          <w:cols w:equalWidth="0" w:num="1">
            <w:col w:w="11400"/>
          </w:cols>
          <w:pgMar w:left="240" w:top="131" w:right="259" w:bottom="0" w:gutter="0" w:footer="0" w:header="0"/>
          <w:type w:val="continuous"/>
        </w:sectPr>
      </w:pPr>
    </w:p>
    <w:bookmarkStart w:id="32" w:name="page33"/>
    <w:bookmarkEnd w:id="32"/>
    <w:p>
      <w:pPr>
        <w:ind w:left="360"/>
        <w:spacing w:after="0"/>
        <w:rPr>
          <w:sz w:val="20"/>
          <w:szCs w:val="20"/>
          <w:color w:val="auto"/>
        </w:rPr>
      </w:pPr>
      <w:r>
        <w:rPr>
          <w:rFonts w:ascii="Arial" w:cs="Arial" w:eastAsia="Arial" w:hAnsi="Arial"/>
          <w:sz w:val="18"/>
          <w:szCs w:val="18"/>
          <w:color w:val="auto"/>
        </w:rPr>
        <w:t>The change in operating assets and liabilities consists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9"/>
          </w:tcPr>
          <w:p>
            <w:pPr>
              <w:ind w:left="8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90"/>
              </w:rPr>
              <w:t>April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May 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May 3,</w:t>
            </w: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vMerge w:val="restart"/>
          </w:tcPr>
          <w:p>
            <w:pPr>
              <w:spacing w:after="0"/>
              <w:rPr>
                <w:sz w:val="20"/>
                <w:szCs w:val="20"/>
                <w:color w:val="auto"/>
              </w:rPr>
            </w:pPr>
            <w:r>
              <w:rPr>
                <w:rFonts w:ascii="Arial" w:cs="Arial" w:eastAsia="Arial" w:hAnsi="Arial"/>
                <w:sz w:val="18"/>
                <w:szCs w:val="18"/>
                <w:color w:val="auto"/>
              </w:rPr>
              <w:t>(Increase) decrease:</w:t>
            </w:r>
          </w:p>
        </w:tc>
        <w:tc>
          <w:tcPr>
            <w:tcW w:w="1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5,351</w:t>
            </w:r>
          </w:p>
        </w:tc>
        <w:tc>
          <w:tcPr>
            <w:tcW w:w="140" w:type="dxa"/>
            <w:vAlign w:val="bottom"/>
            <w:shd w:val="clear" w:color="auto" w:fill="EAF9E8"/>
          </w:tcPr>
          <w:p>
            <w:pPr>
              <w:spacing w:after="0"/>
              <w:rPr>
                <w:sz w:val="22"/>
                <w:szCs w:val="22"/>
                <w:color w:val="auto"/>
              </w:rPr>
            </w:pP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EAF9E8"/>
          </w:tcPr>
          <w:p>
            <w:pPr>
              <w:spacing w:after="0"/>
              <w:rPr>
                <w:sz w:val="22"/>
                <w:szCs w:val="22"/>
                <w:color w:val="auto"/>
              </w:rPr>
            </w:pPr>
          </w:p>
        </w:tc>
        <w:tc>
          <w:tcPr>
            <w:tcW w:w="1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(7,809</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Long-term receivables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6"/>
          </w:tcPr>
          <w:p>
            <w:pPr>
              <w:jc w:val="right"/>
              <w:ind w:right="52"/>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(4,678)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(1,480)</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gridSpan w:val="6"/>
            <w:shd w:val="clear" w:color="auto" w:fill="EAF9E8"/>
          </w:tcPr>
          <w:p>
            <w:pPr>
              <w:jc w:val="right"/>
              <w:ind w:right="52"/>
              <w:spacing w:after="0"/>
              <w:rPr>
                <w:sz w:val="20"/>
                <w:szCs w:val="20"/>
                <w:color w:val="auto"/>
              </w:rPr>
            </w:pPr>
            <w:r>
              <w:rPr>
                <w:rFonts w:ascii="Arial" w:cs="Arial" w:eastAsia="Arial" w:hAnsi="Arial"/>
                <w:sz w:val="18"/>
                <w:szCs w:val="18"/>
                <w:color w:val="auto"/>
              </w:rPr>
              <w:t>(7,751)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gridSpan w:val="5"/>
            <w:shd w:val="clear" w:color="auto" w:fill="EAF9E8"/>
          </w:tcPr>
          <w:p>
            <w:pPr>
              <w:jc w:val="right"/>
              <w:ind w:right="80"/>
              <w:spacing w:after="0"/>
              <w:rPr>
                <w:sz w:val="20"/>
                <w:szCs w:val="20"/>
                <w:color w:val="auto"/>
              </w:rPr>
            </w:pPr>
            <w:r>
              <w:rPr>
                <w:rFonts w:ascii="Arial" w:cs="Arial" w:eastAsia="Arial" w:hAnsi="Arial"/>
                <w:sz w:val="18"/>
                <w:szCs w:val="18"/>
                <w:color w:val="auto"/>
              </w:rPr>
              <w:t>(1,741</w:t>
            </w: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1,620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6"/>
          </w:tcPr>
          <w:p>
            <w:pPr>
              <w:jc w:val="right"/>
              <w:ind w:right="52"/>
              <w:spacing w:after="0"/>
              <w:rPr>
                <w:sz w:val="20"/>
                <w:szCs w:val="20"/>
                <w:color w:val="auto"/>
              </w:rPr>
            </w:pPr>
            <w:r>
              <w:rPr>
                <w:rFonts w:ascii="Arial" w:cs="Arial" w:eastAsia="Arial" w:hAnsi="Arial"/>
                <w:sz w:val="18"/>
                <w:szCs w:val="18"/>
                <w:color w:val="auto"/>
              </w:rPr>
              <w:t>(2,433)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(1,190)</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gridSpan w:val="6"/>
            <w:shd w:val="clear" w:color="auto" w:fill="EAF9E8"/>
          </w:tcPr>
          <w:p>
            <w:pPr>
              <w:jc w:val="right"/>
              <w:ind w:right="52"/>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6"/>
          </w:tcPr>
          <w:p>
            <w:pPr>
              <w:jc w:val="right"/>
              <w:ind w:right="52"/>
              <w:spacing w:after="0"/>
              <w:rPr>
                <w:sz w:val="20"/>
                <w:szCs w:val="20"/>
                <w:color w:val="auto"/>
              </w:rPr>
            </w:pPr>
            <w:r>
              <w:rPr>
                <w:rFonts w:ascii="Arial" w:cs="Arial" w:eastAsia="Arial" w:hAnsi="Arial"/>
                <w:sz w:val="18"/>
                <w:szCs w:val="18"/>
                <w:color w:val="auto"/>
              </w:rPr>
              <w:t>(1,812)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Advertising rights</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40" w:type="dxa"/>
            <w:vAlign w:val="bottom"/>
            <w:gridSpan w:val="6"/>
            <w:shd w:val="clear" w:color="auto" w:fill="EAF9E8"/>
          </w:tcPr>
          <w:p>
            <w:pPr>
              <w:jc w:val="right"/>
              <w:ind w:right="52"/>
              <w:spacing w:after="0"/>
              <w:rPr>
                <w:sz w:val="20"/>
                <w:szCs w:val="20"/>
                <w:color w:val="auto"/>
              </w:rPr>
            </w:pPr>
            <w:r>
              <w:rPr>
                <w:rFonts w:ascii="Arial" w:cs="Arial" w:eastAsia="Arial" w:hAnsi="Arial"/>
                <w:sz w:val="18"/>
                <w:szCs w:val="18"/>
                <w:color w:val="auto"/>
              </w:rPr>
              <w:t>(308)</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gridSpan w:val="5"/>
            <w:shd w:val="clear" w:color="auto" w:fill="EAF9E8"/>
          </w:tcPr>
          <w:p>
            <w:pPr>
              <w:jc w:val="right"/>
              <w:ind w:right="80"/>
              <w:spacing w:after="0"/>
              <w:rPr>
                <w:sz w:val="20"/>
                <w:szCs w:val="20"/>
                <w:color w:val="auto"/>
              </w:rPr>
            </w:pPr>
            <w:r>
              <w:rPr>
                <w:rFonts w:ascii="Arial" w:cs="Arial" w:eastAsia="Arial" w:hAnsi="Arial"/>
                <w:sz w:val="18"/>
                <w:szCs w:val="18"/>
                <w:color w:val="auto"/>
              </w:rPr>
              <w:t>(1,092</w:t>
            </w:r>
            <w:r>
              <w:rPr>
                <w:rFonts w:ascii="Arial" w:cs="Arial" w:eastAsia="Arial" w:hAnsi="Arial"/>
                <w:sz w:val="13"/>
                <w:szCs w:val="13"/>
                <w:color w:val="auto"/>
              </w:rPr>
              <w:t>)</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5340" w:type="dxa"/>
            <w:vAlign w:val="bottom"/>
          </w:tcPr>
          <w:p>
            <w:pPr>
              <w:spacing w:after="0"/>
              <w:rPr>
                <w:sz w:val="20"/>
                <w:szCs w:val="20"/>
                <w:color w:val="auto"/>
              </w:rPr>
            </w:pPr>
            <w:r>
              <w:rPr>
                <w:rFonts w:ascii="Arial" w:cs="Arial" w:eastAsia="Arial" w:hAnsi="Arial"/>
                <w:sz w:val="18"/>
                <w:szCs w:val="18"/>
                <w:color w:val="auto"/>
              </w:rPr>
              <w:t>Increase (decrease):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6,603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7,731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0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1,337</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1,120</w:t>
            </w: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6"/>
          </w:tcPr>
          <w:p>
            <w:pPr>
              <w:jc w:val="right"/>
              <w:ind w:right="52"/>
              <w:spacing w:after="0"/>
              <w:rPr>
                <w:sz w:val="20"/>
                <w:szCs w:val="20"/>
                <w:color w:val="auto"/>
              </w:rPr>
            </w:pPr>
            <w:r>
              <w:rPr>
                <w:rFonts w:ascii="Arial" w:cs="Arial" w:eastAsia="Arial" w:hAnsi="Arial"/>
                <w:sz w:val="18"/>
                <w:szCs w:val="18"/>
                <w:color w:val="auto"/>
              </w:rPr>
              <w:t>(1,304</w:t>
            </w: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2,584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600" w:type="dxa"/>
            <w:vAlign w:val="bottom"/>
            <w:gridSpan w:val="5"/>
            <w:shd w:val="clear" w:color="auto" w:fill="EAF9E8"/>
          </w:tcPr>
          <w:p>
            <w:pPr>
              <w:jc w:val="right"/>
              <w:ind w:right="4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340" w:type="dxa"/>
            <w:vAlign w:val="bottom"/>
          </w:tcPr>
          <w:p>
            <w:pPr>
              <w:ind w:left="160"/>
              <w:spacing w:after="0"/>
              <w:rPr>
                <w:sz w:val="20"/>
                <w:szCs w:val="20"/>
                <w:color w:val="auto"/>
              </w:rPr>
            </w:pPr>
            <w:r>
              <w:rPr>
                <w:rFonts w:ascii="Arial" w:cs="Arial" w:eastAsia="Arial" w:hAnsi="Arial"/>
                <w:sz w:val="18"/>
                <w:szCs w:val="18"/>
                <w:color w:val="auto"/>
              </w:rPr>
              <w:t>Marketing obligations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EAF9E8"/>
          </w:tcPr>
          <w:p>
            <w:pPr>
              <w:spacing w:after="0"/>
              <w:rPr>
                <w:sz w:val="24"/>
                <w:szCs w:val="24"/>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6"/>
            <w:shd w:val="clear" w:color="auto" w:fill="EAF9E8"/>
          </w:tcPr>
          <w:p>
            <w:pPr>
              <w:jc w:val="right"/>
              <w:ind w:right="52"/>
              <w:spacing w:after="0"/>
              <w:rPr>
                <w:sz w:val="20"/>
                <w:szCs w:val="20"/>
                <w:color w:val="auto"/>
              </w:rPr>
            </w:pPr>
            <w:r>
              <w:rPr>
                <w:rFonts w:ascii="Arial" w:cs="Arial" w:eastAsia="Arial" w:hAnsi="Arial"/>
                <w:sz w:val="18"/>
                <w:szCs w:val="18"/>
                <w:color w:val="auto"/>
              </w:rPr>
              <w:t>(592)</w:t>
            </w:r>
          </w:p>
        </w:tc>
        <w:tc>
          <w:tcPr>
            <w:tcW w:w="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EAF9E8"/>
          </w:tcPr>
          <w:p>
            <w:pPr>
              <w:jc w:val="right"/>
              <w:ind w:right="6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EAF9E8"/>
          </w:tcPr>
          <w:p>
            <w:pPr>
              <w:spacing w:after="0"/>
              <w:rPr>
                <w:sz w:val="24"/>
                <w:szCs w:val="24"/>
                <w:color w:val="auto"/>
              </w:rPr>
            </w:pPr>
          </w:p>
        </w:tc>
        <w:tc>
          <w:tcPr>
            <w:tcW w:w="12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w w:val="98"/>
              </w:rPr>
              <w:t>(1,744)</w:t>
            </w:r>
          </w:p>
        </w:tc>
        <w:tc>
          <w:tcPr>
            <w:tcW w:w="0" w:type="dxa"/>
            <w:vAlign w:val="bottom"/>
          </w:tcPr>
          <w:p>
            <w:pPr>
              <w:spacing w:after="0"/>
              <w:rPr>
                <w:sz w:val="1"/>
                <w:szCs w:val="1"/>
                <w:color w:val="auto"/>
              </w:rPr>
            </w:pPr>
          </w:p>
        </w:tc>
      </w:tr>
      <w:tr>
        <w:trPr>
          <w:trHeight w:val="108"/>
        </w:trPr>
        <w:tc>
          <w:tcPr>
            <w:tcW w:w="5340" w:type="dxa"/>
            <w:vAlign w:val="bottom"/>
            <w:vMerge w:val="restart"/>
          </w:tcPr>
          <w:p>
            <w:pPr>
              <w:ind w:left="360"/>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8"/>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4"/>
              </w:rPr>
              <w:t>April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May 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vMerge w:val="restart"/>
          </w:tcPr>
          <w:p>
            <w:pPr>
              <w:spacing w:after="0"/>
              <w:rPr>
                <w:sz w:val="20"/>
                <w:szCs w:val="20"/>
                <w:color w:val="auto"/>
              </w:rPr>
            </w:pPr>
            <w:r>
              <w:rPr>
                <w:rFonts w:ascii="Arial" w:cs="Arial" w:eastAsia="Arial" w:hAnsi="Arial"/>
                <w:sz w:val="18"/>
                <w:szCs w:val="18"/>
                <w:color w:val="auto"/>
              </w:rPr>
              <w:t>Cash payments for:</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360" w:type="dxa"/>
            <w:vAlign w:val="bottom"/>
            <w:gridSpan w:val="2"/>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AF9E8"/>
          </w:tcPr>
          <w:p>
            <w:pPr>
              <w:spacing w:after="0"/>
              <w:rPr>
                <w:sz w:val="24"/>
                <w:szCs w:val="24"/>
                <w:color w:val="auto"/>
              </w:rPr>
            </w:pPr>
          </w:p>
        </w:tc>
        <w:tc>
          <w:tcPr>
            <w:tcW w:w="3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w w:val="86"/>
              </w:rPr>
              <w:t>191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gridSpan w:val="5"/>
            <w:shd w:val="clear" w:color="auto" w:fill="EAF9E8"/>
          </w:tcPr>
          <w:p>
            <w:pPr>
              <w:jc w:val="right"/>
              <w:ind w:right="20"/>
              <w:spacing w:after="0"/>
              <w:rPr>
                <w:sz w:val="20"/>
                <w:szCs w:val="20"/>
                <w:color w:val="auto"/>
              </w:rPr>
            </w:pPr>
            <w:r>
              <w:rPr>
                <w:rFonts w:ascii="Arial" w:cs="Arial" w:eastAsia="Arial" w:hAnsi="Arial"/>
                <w:sz w:val="18"/>
                <w:szCs w:val="18"/>
                <w:color w:val="auto"/>
              </w:rPr>
              <w:t>$   506</w:t>
            </w: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9"/>
              </w:rPr>
              <w:t>$  790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340" w:type="dxa"/>
            <w:vAlign w:val="bottom"/>
          </w:tcPr>
          <w:p>
            <w:pPr>
              <w:ind w:left="16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6,747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11,719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5340" w:type="dxa"/>
            <w:vAlign w:val="bottom"/>
          </w:tcPr>
          <w:p>
            <w:pPr>
              <w:ind w:left="360"/>
              <w:spacing w:after="0"/>
              <w:rPr>
                <w:sz w:val="20"/>
                <w:szCs w:val="20"/>
                <w:color w:val="auto"/>
              </w:rPr>
            </w:pPr>
            <w:r>
              <w:rPr>
                <w:rFonts w:ascii="Arial" w:cs="Arial" w:eastAsia="Arial" w:hAnsi="Arial"/>
                <w:sz w:val="18"/>
                <w:szCs w:val="18"/>
                <w:color w:val="auto"/>
                <w:w w:val="89"/>
              </w:rPr>
              <w:t>Supplemental schedule of non-cash investing and financing activities: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5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9"/>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660" w:type="dxa"/>
            <w:vAlign w:val="bottom"/>
            <w:tcBorders>
              <w:bottom w:val="single" w:sz="8" w:color="808080"/>
            </w:tcBorders>
            <w:gridSpan w:val="4"/>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5"/>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640" w:type="dxa"/>
            <w:vAlign w:val="bottom"/>
            <w:tcBorders>
              <w:bottom w:val="single" w:sz="8" w:color="808080"/>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340" w:type="dxa"/>
            <w:vAlign w:val="bottom"/>
          </w:tcPr>
          <w:p>
            <w:pPr>
              <w:spacing w:after="0"/>
              <w:rPr>
                <w:sz w:val="24"/>
                <w:szCs w:val="24"/>
                <w:color w:val="auto"/>
              </w:rPr>
            </w:pPr>
          </w:p>
        </w:tc>
        <w:tc>
          <w:tcPr>
            <w:tcW w:w="740" w:type="dxa"/>
            <w:vAlign w:val="bottom"/>
            <w:gridSpan w:val="5"/>
          </w:tcPr>
          <w:p>
            <w:pPr>
              <w:ind w:left="40"/>
              <w:spacing w:after="0"/>
              <w:rPr>
                <w:sz w:val="20"/>
                <w:szCs w:val="20"/>
                <w:color w:val="auto"/>
              </w:rPr>
            </w:pPr>
            <w:r>
              <w:rPr>
                <w:rFonts w:ascii="Arial" w:cs="Arial" w:eastAsia="Arial" w:hAnsi="Arial"/>
                <w:sz w:val="14"/>
                <w:szCs w:val="14"/>
                <w:b w:val="1"/>
                <w:bCs w:val="1"/>
                <w:color w:val="auto"/>
              </w:rPr>
              <w:t>April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9"/>
          </w:tcPr>
          <w:p>
            <w:pPr>
              <w:ind w:left="80"/>
              <w:spacing w:after="0"/>
              <w:rPr>
                <w:sz w:val="20"/>
                <w:szCs w:val="20"/>
                <w:color w:val="auto"/>
              </w:rPr>
            </w:pPr>
            <w:r>
              <w:rPr>
                <w:rFonts w:ascii="Arial" w:cs="Arial" w:eastAsia="Arial" w:hAnsi="Arial"/>
                <w:sz w:val="14"/>
                <w:szCs w:val="14"/>
                <w:b w:val="1"/>
                <w:bCs w:val="1"/>
                <w:color w:val="auto"/>
              </w:rPr>
              <w:t>May 1,</w:t>
            </w: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6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gridSpan w:val="2"/>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3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6"/>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Demo equipment transferred to inventories</w:t>
            </w:r>
          </w:p>
        </w:tc>
        <w:tc>
          <w:tcPr>
            <w:tcW w:w="3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300" w:type="dxa"/>
            <w:vAlign w:val="bottom"/>
            <w:gridSpan w:val="3"/>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40" w:type="dxa"/>
            <w:vAlign w:val="bottom"/>
            <w:gridSpan w:val="6"/>
            <w:shd w:val="clear" w:color="auto" w:fill="EAF9E8"/>
          </w:tcPr>
          <w:p>
            <w:pPr>
              <w:jc w:val="right"/>
              <w:ind w:right="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Tax benefits related to exercise of stock options</w:t>
            </w:r>
          </w:p>
        </w:tc>
        <w:tc>
          <w:tcPr>
            <w:tcW w:w="1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1,528</w:t>
            </w: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340" w:type="dxa"/>
            <w:vAlign w:val="bottom"/>
          </w:tcPr>
          <w:p>
            <w:pPr>
              <w:spacing w:after="0"/>
              <w:rPr>
                <w:sz w:val="20"/>
                <w:szCs w:val="20"/>
                <w:color w:val="auto"/>
              </w:rPr>
            </w:pPr>
            <w:r>
              <w:rPr>
                <w:rFonts w:ascii="Arial" w:cs="Arial" w:eastAsia="Arial" w:hAnsi="Arial"/>
                <w:sz w:val="18"/>
                <w:szCs w:val="18"/>
                <w:color w:val="auto"/>
              </w:rPr>
              <w:t>Contributions of common stock under the employee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60"/>
              <w:spacing w:after="0"/>
              <w:rPr>
                <w:sz w:val="20"/>
                <w:szCs w:val="20"/>
                <w:color w:val="auto"/>
              </w:rPr>
            </w:pPr>
            <w:r>
              <w:rPr>
                <w:rFonts w:ascii="Arial" w:cs="Arial" w:eastAsia="Arial" w:hAnsi="Arial"/>
                <w:sz w:val="18"/>
                <w:szCs w:val="18"/>
                <w:color w:val="auto"/>
              </w:rPr>
              <w:t>savings plan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340" w:type="dxa"/>
            <w:vAlign w:val="bottom"/>
            <w:shd w:val="clear" w:color="auto" w:fill="EAF9E8"/>
          </w:tcPr>
          <w:p>
            <w:pPr>
              <w:spacing w:after="0"/>
              <w:rPr>
                <w:sz w:val="20"/>
                <w:szCs w:val="20"/>
                <w:color w:val="auto"/>
              </w:rPr>
            </w:pPr>
            <w:r>
              <w:rPr>
                <w:rFonts w:ascii="Arial" w:cs="Arial" w:eastAsia="Arial" w:hAnsi="Arial"/>
                <w:sz w:val="18"/>
                <w:szCs w:val="18"/>
                <w:color w:val="auto"/>
              </w:rPr>
              <w:t>Acquisition of minority interest in Daktronics Canada, Inc.</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5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through issuance of common stock</w:t>
            </w: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312"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using interest rates currently being offered for contracts with similar terms to customers with similar credit quality. The carrying amounts reported on the balance sheets for contracts receivable approximate fair value. Fair values for our off-balance-sheet instruments (contingent liability for contracts sold with recourse and the contingent liability for the guarantee of debt)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 The fair values of all outstanding derivative instruments were determined using quoted market prices.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ectPr>
          <w:pgSz w:w="11900" w:h="16838" w:orient="portrait"/>
          <w:cols w:equalWidth="0" w:num="1">
            <w:col w:w="11400"/>
          </w:cols>
          <w:pgMar w:left="240" w:top="131" w:right="259" w:bottom="0" w:gutter="0" w:footer="0" w:header="0"/>
        </w:sectPr>
      </w:pPr>
    </w:p>
    <w:bookmarkStart w:id="33" w:name="page34"/>
    <w:bookmarkEnd w:id="33"/>
    <w:p>
      <w:pPr>
        <w:ind w:right="20" w:firstLine="351"/>
        <w:spacing w:after="0" w:line="332" w:lineRule="auto"/>
        <w:rPr>
          <w:sz w:val="20"/>
          <w:szCs w:val="20"/>
          <w:color w:val="auto"/>
        </w:rPr>
      </w:pPr>
      <w:r>
        <w:rPr>
          <w:rFonts w:ascii="Arial" w:cs="Arial" w:eastAsia="Arial" w:hAnsi="Arial"/>
          <w:sz w:val="16"/>
          <w:szCs w:val="16"/>
          <w:color w:val="auto"/>
        </w:rPr>
        <w:t>In connection with the sale of equipment by us, we have agreed to accept a specified level of recourse on the money owed by a customer to another financial institution. At April 30, 2005 and May 1, 2004, we were contingently liable on such recourse agreements in the amounts of $250.</w:t>
      </w:r>
    </w:p>
    <w:p>
      <w:pPr>
        <w:spacing w:after="0" w:line="139"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offer a standard parts coverage warranty for periods varying from one to five years for all of our products. We also offer additional types of warranties that include on-site labor, routine maintenance and event support. In addition, the length of warranty on some installations can vary from one to 10 years. The specific terms and conditions of these warranties primarily vary depending due to the product sold. We estimate the costs that may be incurred under the warranty and record a liability in the amount of such costs at the time product order is received. Factors that affect our warranty liability include historical and anticipated claims costs. We periodically assess the adequacy of our recorded warranty liabilities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during the years ended April 30, 2005 and May 1, 2004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30,</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1,</w:t>
            </w:r>
          </w:p>
        </w:tc>
      </w:tr>
      <w:tr>
        <w:trPr>
          <w:trHeight w:val="174"/>
        </w:trPr>
        <w:tc>
          <w:tcPr>
            <w:tcW w:w="6380" w:type="dxa"/>
            <w:vAlign w:val="bottom"/>
          </w:tcPr>
          <w:p>
            <w:pPr>
              <w:spacing w:after="0"/>
              <w:rPr>
                <w:sz w:val="15"/>
                <w:szCs w:val="15"/>
                <w:color w:val="auto"/>
              </w:rPr>
            </w:pP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4,184</w:t>
            </w:r>
          </w:p>
        </w:tc>
        <w:tc>
          <w:tcPr>
            <w:tcW w:w="16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3,184</w:t>
            </w:r>
          </w:p>
        </w:tc>
        <w:tc>
          <w:tcPr>
            <w:tcW w:w="180" w:type="dxa"/>
            <w:vAlign w:val="bottom"/>
            <w:shd w:val="clear" w:color="auto" w:fill="EAF9E8"/>
          </w:tcPr>
          <w:p>
            <w:pPr>
              <w:spacing w:after="0"/>
              <w:rPr>
                <w:sz w:val="22"/>
                <w:szCs w:val="22"/>
                <w:color w:val="auto"/>
              </w:rPr>
            </w:pPr>
          </w:p>
        </w:tc>
      </w:tr>
      <w:tr>
        <w:trPr>
          <w:trHeight w:val="283"/>
        </w:trPr>
        <w:tc>
          <w:tcPr>
            <w:tcW w:w="638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4,147</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3,550</w:t>
            </w:r>
          </w:p>
        </w:tc>
        <w:tc>
          <w:tcPr>
            <w:tcW w:w="180" w:type="dxa"/>
            <w:vAlign w:val="bottom"/>
          </w:tcPr>
          <w:p>
            <w:pPr>
              <w:spacing w:after="0"/>
              <w:rPr>
                <w:sz w:val="24"/>
                <w:szCs w:val="24"/>
                <w:color w:val="auto"/>
              </w:rPr>
            </w:pPr>
          </w:p>
        </w:tc>
      </w:tr>
      <w:tr>
        <w:trPr>
          <w:trHeight w:val="285"/>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Settlements made during the period</w:t>
            </w:r>
          </w:p>
        </w:tc>
        <w:tc>
          <w:tcPr>
            <w:tcW w:w="9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(4,309)</w:t>
            </w:r>
          </w:p>
        </w:tc>
        <w:tc>
          <w:tcPr>
            <w:tcW w:w="8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(2,509)</w:t>
            </w:r>
          </w:p>
        </w:tc>
      </w:tr>
      <w:tr>
        <w:trPr>
          <w:trHeight w:val="248"/>
        </w:trPr>
        <w:tc>
          <w:tcPr>
            <w:tcW w:w="6380" w:type="dxa"/>
            <w:vAlign w:val="bottom"/>
          </w:tcPr>
          <w:p>
            <w:pPr>
              <w:spacing w:after="0"/>
              <w:rPr>
                <w:sz w:val="20"/>
                <w:szCs w:val="20"/>
                <w:color w:val="auto"/>
              </w:rPr>
            </w:pPr>
            <w:r>
              <w:rPr>
                <w:rFonts w:ascii="Arial" w:cs="Arial" w:eastAsia="Arial" w:hAnsi="Arial"/>
                <w:sz w:val="18"/>
                <w:szCs w:val="18"/>
                <w:color w:val="auto"/>
              </w:rPr>
              <w:t>Changes in liability for pre-existing warranties during</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2"/>
        </w:trPr>
        <w:tc>
          <w:tcPr>
            <w:tcW w:w="6380" w:type="dxa"/>
            <w:vAlign w:val="bottom"/>
          </w:tcPr>
          <w:p>
            <w:pPr>
              <w:ind w:left="160"/>
              <w:spacing w:after="0"/>
              <w:rPr>
                <w:sz w:val="20"/>
                <w:szCs w:val="20"/>
                <w:color w:val="auto"/>
              </w:rPr>
            </w:pPr>
            <w:r>
              <w:rPr>
                <w:rFonts w:ascii="Arial" w:cs="Arial" w:eastAsia="Arial" w:hAnsi="Arial"/>
                <w:sz w:val="18"/>
                <w:szCs w:val="18"/>
                <w:color w:val="auto"/>
              </w:rPr>
              <w:t>the period, including expirations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110"/>
        </w:trPr>
        <w:tc>
          <w:tcPr>
            <w:tcW w:w="63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5,028</w:t>
            </w:r>
          </w:p>
        </w:tc>
        <w:tc>
          <w:tcPr>
            <w:tcW w:w="16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  4,184</w:t>
            </w:r>
          </w:p>
        </w:tc>
        <w:tc>
          <w:tcPr>
            <w:tcW w:w="180" w:type="dxa"/>
            <w:vAlign w:val="bottom"/>
            <w:shd w:val="clear" w:color="auto" w:fill="EAF9E8"/>
          </w:tcPr>
          <w:p>
            <w:pPr>
              <w:spacing w:after="0"/>
              <w:rPr>
                <w:sz w:val="24"/>
                <w:szCs w:val="24"/>
                <w:color w:val="auto"/>
              </w:rPr>
            </w:pPr>
          </w:p>
        </w:tc>
      </w:tr>
      <w:tr>
        <w:trPr>
          <w:trHeight w:val="108"/>
        </w:trPr>
        <w:tc>
          <w:tcPr>
            <w:tcW w:w="63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certain international transactions and long-term contracts, we have entered into various performance guarantees. As of April 30, 2005, we had outstanding $1,190 in standby letters of credit and $15,171 in outstanding surety bonds. Performance guarantees provided by standby letters of credit and performance bonds are issued to certain customers to guarantee the operation of the equipment and the installation thereof and to guarantee our ability to complete a contract. These performances guarantees have various terms, which are generally less than one year.</w:t>
      </w:r>
    </w:p>
    <w:p>
      <w:pPr>
        <w:spacing w:after="0" w:line="167" w:lineRule="exact"/>
        <w:rPr>
          <w:sz w:val="20"/>
          <w:szCs w:val="20"/>
          <w:color w:val="auto"/>
        </w:rPr>
      </w:pPr>
    </w:p>
    <w:p>
      <w:pPr>
        <w:ind w:right="480" w:firstLine="348"/>
        <w:spacing w:after="0" w:line="256" w:lineRule="auto"/>
        <w:rPr>
          <w:sz w:val="20"/>
          <w:szCs w:val="20"/>
          <w:color w:val="auto"/>
        </w:rPr>
      </w:pPr>
      <w:r>
        <w:rPr>
          <w:rFonts w:ascii="Arial" w:cs="Arial" w:eastAsia="Arial" w:hAnsi="Arial"/>
          <w:sz w:val="18"/>
          <w:szCs w:val="18"/>
          <w:color w:val="auto"/>
        </w:rPr>
        <w:t>We lease office space for various sales and service locations across the country and various equipment, primarily office equipment. Rental expense for operating leases amounted to $1,201, $1,078, and $590 at April 30, 2005, May 1, 2004 and May 3, 2003, respectively. Future minimum payments under noncancelable operating leases, excluding executory costs such as management and maintenance fees with initial or remaining terms of one year or more, consisted of the following at April 30, 2005:</w:t>
      </w:r>
    </w:p>
    <w:p>
      <w:pPr>
        <w:spacing w:after="0" w:line="328" w:lineRule="exact"/>
        <w:rPr>
          <w:sz w:val="20"/>
          <w:szCs w:val="20"/>
          <w:color w:val="auto"/>
        </w:rPr>
      </w:pPr>
    </w:p>
    <w:p>
      <w:pPr>
        <w:jc w:val="center"/>
        <w:ind w:right="40"/>
        <w:spacing w:after="0"/>
        <w:tabs>
          <w:tab w:leader="none" w:pos="22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68580</wp:posOffset>
            </wp:positionV>
            <wp:extent cx="8832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48" w:lineRule="exact"/>
        <w:rPr>
          <w:sz w:val="20"/>
          <w:szCs w:val="20"/>
          <w:color w:val="auto"/>
        </w:rPr>
      </w:pPr>
    </w:p>
    <w:p>
      <w:pPr>
        <w:ind w:left="5000"/>
        <w:spacing w:after="0"/>
        <w:tabs>
          <w:tab w:leader="none" w:pos="5740" w:val="left"/>
          <w:tab w:leader="none" w:pos="608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5"/>
          <w:szCs w:val="15"/>
          <w:color w:val="auto"/>
        </w:rPr>
        <w:t>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33020</wp:posOffset>
            </wp:positionV>
            <wp:extent cx="900430" cy="720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00430" cy="720090"/>
                    </a:xfrm>
                    <a:prstGeom prst="rect">
                      <a:avLst/>
                    </a:prstGeom>
                    <a:noFill/>
                  </pic:spPr>
                </pic:pic>
              </a:graphicData>
            </a:graphic>
          </wp:anchor>
        </w:drawing>
      </w:r>
    </w:p>
    <w:p>
      <w:pPr>
        <w:spacing w:after="0" w:line="91" w:lineRule="exact"/>
        <w:rPr>
          <w:sz w:val="20"/>
          <w:szCs w:val="20"/>
          <w:color w:val="auto"/>
        </w:rPr>
      </w:pPr>
    </w:p>
    <w:p>
      <w:pPr>
        <w:ind w:left="5000"/>
        <w:spacing w:after="0"/>
        <w:tabs>
          <w:tab w:leader="none" w:pos="608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424</w:t>
      </w:r>
    </w:p>
    <w:p>
      <w:pPr>
        <w:spacing w:after="0" w:line="77" w:lineRule="exact"/>
        <w:rPr>
          <w:sz w:val="20"/>
          <w:szCs w:val="20"/>
          <w:color w:val="auto"/>
        </w:rPr>
      </w:pPr>
    </w:p>
    <w:p>
      <w:pPr>
        <w:ind w:left="5000"/>
        <w:spacing w:after="0"/>
        <w:tabs>
          <w:tab w:leader="none" w:pos="608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166</w:t>
      </w:r>
    </w:p>
    <w:p>
      <w:pPr>
        <w:spacing w:after="0" w:line="77" w:lineRule="exact"/>
        <w:rPr>
          <w:sz w:val="20"/>
          <w:szCs w:val="20"/>
          <w:color w:val="auto"/>
        </w:rPr>
      </w:pPr>
    </w:p>
    <w:p>
      <w:pPr>
        <w:ind w:left="5000"/>
        <w:spacing w:after="0"/>
        <w:tabs>
          <w:tab w:leader="none" w:pos="608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106</w:t>
      </w:r>
    </w:p>
    <w:p>
      <w:pPr>
        <w:spacing w:after="0" w:line="77" w:lineRule="exact"/>
        <w:rPr>
          <w:sz w:val="20"/>
          <w:szCs w:val="20"/>
          <w:color w:val="auto"/>
        </w:rPr>
      </w:pPr>
    </w:p>
    <w:p>
      <w:pPr>
        <w:ind w:left="5000"/>
        <w:spacing w:after="0"/>
        <w:tabs>
          <w:tab w:leader="none" w:pos="618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80010</wp:posOffset>
            </wp:positionV>
            <wp:extent cx="4032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41" w:lineRule="exact"/>
        <w:rPr>
          <w:sz w:val="20"/>
          <w:szCs w:val="20"/>
          <w:color w:val="auto"/>
        </w:rPr>
      </w:pPr>
    </w:p>
    <w:tbl>
      <w:tblPr>
        <w:tblLayout w:type="fixed"/>
        <w:tblInd w:w="5000" w:type="dxa"/>
        <w:tblCellMar>
          <w:top w:w="0" w:type="dxa"/>
          <w:left w:w="0" w:type="dxa"/>
          <w:bottom w:w="0" w:type="dxa"/>
          <w:right w:w="0" w:type="dxa"/>
        </w:tblCellMar>
      </w:tblPr>
      <w:tr>
        <w:trPr>
          <w:trHeight w:val="257"/>
        </w:trPr>
        <w:tc>
          <w:tcPr>
            <w:tcW w:w="76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$ 1,477</w:t>
            </w:r>
          </w:p>
        </w:tc>
        <w:tc>
          <w:tcPr>
            <w:tcW w:w="20" w:type="dxa"/>
            <w:vAlign w:val="bottom"/>
            <w:shd w:val="clear" w:color="auto" w:fill="EAF9E8"/>
          </w:tcPr>
          <w:p>
            <w:pPr>
              <w:spacing w:after="0"/>
              <w:rPr>
                <w:sz w:val="22"/>
                <w:szCs w:val="22"/>
                <w:color w:val="auto"/>
              </w:rPr>
            </w:pPr>
          </w:p>
        </w:tc>
      </w:tr>
      <w:tr>
        <w:trPr>
          <w:trHeight w:val="108"/>
        </w:trPr>
        <w:tc>
          <w:tcPr>
            <w:tcW w:w="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From time to time, we commit to purchase inventory and advertising rights over periods that extend over a year. As of April 30, 2005, we were obligated to purchase inventory and advertising rights through fiscal year 2006 as follows:</w:t>
      </w:r>
    </w:p>
    <w:p>
      <w:pPr>
        <w:spacing w:after="0" w:line="317" w:lineRule="exact"/>
        <w:rPr>
          <w:sz w:val="20"/>
          <w:szCs w:val="20"/>
          <w:color w:val="auto"/>
        </w:rPr>
      </w:pPr>
    </w:p>
    <w:tbl>
      <w:tblPr>
        <w:tblLayout w:type="fixed"/>
        <w:tblInd w:w="5000" w:type="dxa"/>
        <w:tblCellMar>
          <w:top w:w="0" w:type="dxa"/>
          <w:left w:w="0" w:type="dxa"/>
          <w:bottom w:w="0" w:type="dxa"/>
          <w:right w:w="0" w:type="dxa"/>
        </w:tblCellMar>
      </w:tblP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r>
      <w:tr>
        <w:trPr>
          <w:trHeight w:val="95"/>
        </w:trPr>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398"/>
        </w:trPr>
        <w:tc>
          <w:tcPr>
            <w:tcW w:w="700" w:type="dxa"/>
            <w:vAlign w:val="bottom"/>
          </w:tcPr>
          <w:p>
            <w:pPr>
              <w:spacing w:after="0"/>
              <w:rPr>
                <w:sz w:val="20"/>
                <w:szCs w:val="20"/>
                <w:color w:val="auto"/>
              </w:rPr>
            </w:pPr>
            <w:r>
              <w:rPr>
                <w:rFonts w:ascii="Arial" w:cs="Arial" w:eastAsia="Arial" w:hAnsi="Arial"/>
                <w:sz w:val="18"/>
                <w:szCs w:val="18"/>
                <w:color w:val="auto"/>
              </w:rPr>
              <w:t>2006</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283"/>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2007</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EAF9E8"/>
          </w:tcPr>
          <w:p>
            <w:pPr>
              <w:spacing w:after="0"/>
              <w:rPr>
                <w:sz w:val="24"/>
                <w:szCs w:val="24"/>
                <w:color w:val="auto"/>
              </w:rPr>
            </w:pPr>
          </w:p>
        </w:tc>
      </w:tr>
      <w:tr>
        <w:trPr>
          <w:trHeight w:val="284"/>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EAF9E8"/>
          </w:tcPr>
          <w:p>
            <w:pPr>
              <w:spacing w:after="0"/>
              <w:rPr>
                <w:sz w:val="24"/>
                <w:szCs w:val="24"/>
                <w:color w:val="auto"/>
              </w:rPr>
            </w:pPr>
          </w:p>
        </w:tc>
      </w:tr>
      <w:tr>
        <w:trPr>
          <w:trHeight w:val="286"/>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2009</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EAF9E8"/>
          </w:tcPr>
          <w:p>
            <w:pPr>
              <w:spacing w:after="0"/>
              <w:rPr>
                <w:sz w:val="24"/>
                <w:szCs w:val="24"/>
                <w:color w:val="auto"/>
              </w:rPr>
            </w:pPr>
          </w:p>
        </w:tc>
      </w:tr>
      <w:tr>
        <w:trPr>
          <w:trHeight w:val="108"/>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70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7"/>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EAF9E8"/>
          </w:tcPr>
          <w:p>
            <w:pPr>
              <w:spacing w:after="0"/>
              <w:rPr>
                <w:sz w:val="22"/>
                <w:szCs w:val="22"/>
                <w:color w:val="auto"/>
              </w:rPr>
            </w:pPr>
          </w:p>
        </w:tc>
      </w:tr>
      <w:tr>
        <w:trPr>
          <w:trHeight w:val="108"/>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Quarterly Financial Data (Unaudited)</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283" w:lineRule="exact"/>
        <w:rPr>
          <w:sz w:val="20"/>
          <w:szCs w:val="20"/>
          <w:color w:val="auto"/>
        </w:rPr>
      </w:pPr>
    </w:p>
    <w:p>
      <w:pPr>
        <w:spacing w:after="0"/>
        <w:tabs>
          <w:tab w:leader="none" w:pos="4460" w:val="left"/>
          <w:tab w:leader="none" w:pos="5360" w:val="left"/>
          <w:tab w:leader="none" w:pos="6280" w:val="left"/>
          <w:tab w:leader="none" w:pos="7200" w:val="left"/>
        </w:tabs>
        <w:rPr>
          <w:sz w:val="20"/>
          <w:szCs w:val="20"/>
          <w:color w:val="auto"/>
        </w:rPr>
      </w:pPr>
      <w:r>
        <w:rPr>
          <w:rFonts w:ascii="Arial" w:cs="Arial" w:eastAsia="Arial" w:hAnsi="Arial"/>
          <w:sz w:val="14"/>
          <w:szCs w:val="14"/>
          <w:b w:val="1"/>
          <w:bCs w:val="1"/>
          <w:color w:val="auto"/>
        </w:rPr>
        <w:t>Fiscal Year 2005</w:t>
      </w:r>
      <w:r>
        <w:rPr>
          <w:sz w:val="20"/>
          <w:szCs w:val="20"/>
          <w:color w:val="auto"/>
        </w:rPr>
        <w:tab/>
      </w:r>
      <w:r>
        <w:rPr>
          <w:rFonts w:ascii="Arial" w:cs="Arial" w:eastAsia="Arial" w:hAnsi="Arial"/>
          <w:sz w:val="14"/>
          <w:szCs w:val="14"/>
          <w:b w:val="1"/>
          <w:bCs w:val="1"/>
          <w:color w:val="auto"/>
        </w:rPr>
        <w:t>1</w:t>
      </w:r>
      <w:r>
        <w:rPr>
          <w:rFonts w:ascii="Arial" w:cs="Arial" w:eastAsia="Arial" w:hAnsi="Arial"/>
          <w:sz w:val="22"/>
          <w:szCs w:val="22"/>
          <w:b w:val="1"/>
          <w:bCs w:val="1"/>
          <w:color w:val="auto"/>
          <w:vertAlign w:val="superscript"/>
        </w:rPr>
        <w:t>st</w:t>
      </w:r>
      <w:r>
        <w:rPr>
          <w:rFonts w:ascii="Arial" w:cs="Arial" w:eastAsia="Arial" w:hAnsi="Arial"/>
          <w:sz w:val="14"/>
          <w:szCs w:val="14"/>
          <w:b w:val="1"/>
          <w:bCs w:val="1"/>
          <w:color w:val="auto"/>
        </w:rPr>
        <w:t xml:space="preserve"> Quarter</w:t>
      </w:r>
      <w:r>
        <w:rPr>
          <w:sz w:val="20"/>
          <w:szCs w:val="20"/>
          <w:color w:val="auto"/>
        </w:rPr>
        <w:tab/>
      </w:r>
      <w:r>
        <w:rPr>
          <w:rFonts w:ascii="Arial" w:cs="Arial" w:eastAsia="Arial" w:hAnsi="Arial"/>
          <w:sz w:val="14"/>
          <w:szCs w:val="14"/>
          <w:b w:val="1"/>
          <w:bCs w:val="1"/>
          <w:color w:val="auto"/>
        </w:rPr>
        <w:t>2</w:t>
      </w:r>
      <w:r>
        <w:rPr>
          <w:rFonts w:ascii="Arial" w:cs="Arial" w:eastAsia="Arial" w:hAnsi="Arial"/>
          <w:sz w:val="22"/>
          <w:szCs w:val="22"/>
          <w:b w:val="1"/>
          <w:bCs w:val="1"/>
          <w:color w:val="auto"/>
          <w:vertAlign w:val="superscript"/>
        </w:rPr>
        <w:t>nd</w:t>
      </w:r>
      <w:r>
        <w:rPr>
          <w:rFonts w:ascii="Arial" w:cs="Arial" w:eastAsia="Arial" w:hAnsi="Arial"/>
          <w:sz w:val="14"/>
          <w:szCs w:val="14"/>
          <w:b w:val="1"/>
          <w:bCs w:val="1"/>
          <w:color w:val="auto"/>
        </w:rPr>
        <w:t xml:space="preserve"> Quarter</w:t>
      </w:r>
      <w:r>
        <w:rPr>
          <w:sz w:val="20"/>
          <w:szCs w:val="20"/>
          <w:color w:val="auto"/>
        </w:rPr>
        <w:tab/>
      </w:r>
      <w:r>
        <w:rPr>
          <w:rFonts w:ascii="Arial" w:cs="Arial" w:eastAsia="Arial" w:hAnsi="Arial"/>
          <w:sz w:val="14"/>
          <w:szCs w:val="14"/>
          <w:b w:val="1"/>
          <w:bCs w:val="1"/>
          <w:color w:val="auto"/>
        </w:rPr>
        <w:t>3</w:t>
      </w:r>
      <w:r>
        <w:rPr>
          <w:rFonts w:ascii="Arial" w:cs="Arial" w:eastAsia="Arial" w:hAnsi="Arial"/>
          <w:sz w:val="22"/>
          <w:szCs w:val="22"/>
          <w:b w:val="1"/>
          <w:bCs w:val="1"/>
          <w:color w:val="auto"/>
          <w:vertAlign w:val="superscript"/>
        </w:rPr>
        <w:t>rd</w:t>
      </w:r>
      <w:r>
        <w:rPr>
          <w:rFonts w:ascii="Arial" w:cs="Arial" w:eastAsia="Arial" w:hAnsi="Arial"/>
          <w:sz w:val="14"/>
          <w:szCs w:val="14"/>
          <w:b w:val="1"/>
          <w:bCs w:val="1"/>
          <w:color w:val="auto"/>
        </w:rPr>
        <w:t xml:space="preserve"> Quarter</w:t>
      </w:r>
      <w:r>
        <w:rPr>
          <w:sz w:val="20"/>
          <w:szCs w:val="20"/>
          <w:color w:val="auto"/>
        </w:rPr>
        <w:tab/>
      </w:r>
      <w:r>
        <w:rPr>
          <w:rFonts w:ascii="Arial" w:cs="Arial" w:eastAsia="Arial" w:hAnsi="Arial"/>
          <w:sz w:val="12"/>
          <w:szCs w:val="12"/>
          <w:b w:val="1"/>
          <w:bCs w:val="1"/>
          <w:color w:val="auto"/>
        </w:rPr>
        <w:t>4</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30480</wp:posOffset>
            </wp:positionV>
            <wp:extent cx="22040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5145405" cy="70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7048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34" w:name="page35"/>
    <w:bookmarkEnd w:id="3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$ 58,710</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59,472</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50,818</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61,346</w:t>
            </w:r>
          </w:p>
        </w:tc>
        <w:tc>
          <w:tcPr>
            <w:tcW w:w="180" w:type="dxa"/>
            <w:vAlign w:val="bottom"/>
            <w:shd w:val="clear" w:color="auto" w:fill="EAF9E8"/>
          </w:tcPr>
          <w:p>
            <w:pPr>
              <w:spacing w:after="0"/>
              <w:rPr>
                <w:sz w:val="21"/>
                <w:szCs w:val="21"/>
                <w:color w:val="auto"/>
              </w:rPr>
            </w:pPr>
          </w:p>
        </w:tc>
        <w:tc>
          <w:tcPr>
            <w:tcW w:w="3300" w:type="dxa"/>
            <w:vAlign w:val="bottom"/>
          </w:tcPr>
          <w:p>
            <w:pPr>
              <w:spacing w:after="0"/>
              <w:rPr>
                <w:sz w:val="21"/>
                <w:szCs w:val="21"/>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20,118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19,994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15,361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17,736</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5,032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2,985</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834"/>
        </w:trPr>
        <w:tc>
          <w:tcPr>
            <w:tcW w:w="4460" w:type="dxa"/>
            <w:vAlign w:val="bottom"/>
          </w:tcPr>
          <w:p>
            <w:pPr>
              <w:spacing w:after="0"/>
              <w:rPr>
                <w:sz w:val="20"/>
                <w:szCs w:val="20"/>
                <w:color w:val="auto"/>
              </w:rPr>
            </w:pPr>
            <w:r>
              <w:rPr>
                <w:rFonts w:ascii="Arial" w:cs="Arial" w:eastAsia="Arial" w:hAnsi="Arial"/>
                <w:sz w:val="14"/>
                <w:szCs w:val="14"/>
                <w:b w:val="1"/>
                <w:bCs w:val="1"/>
                <w:color w:val="auto"/>
              </w:rPr>
              <w:t>Fiscal Year 2004</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tcBorders>
              <w:bottom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4"/>
                <w:szCs w:val="14"/>
                <w:b w:val="1"/>
                <w:bCs w:val="1"/>
                <w:color w:val="auto"/>
                <w:w w:val="89"/>
              </w:rPr>
              <w:t xml:space="preserve"> Quarter</w:t>
            </w:r>
          </w:p>
        </w:tc>
        <w:tc>
          <w:tcPr>
            <w:tcW w:w="160" w:type="dxa"/>
            <w:vAlign w:val="bottom"/>
          </w:tcPr>
          <w:p>
            <w:pPr>
              <w:spacing w:after="0"/>
              <w:rPr>
                <w:sz w:val="24"/>
                <w:szCs w:val="24"/>
                <w:color w:val="auto"/>
              </w:rPr>
            </w:pPr>
          </w:p>
        </w:tc>
        <w:tc>
          <w:tcPr>
            <w:tcW w:w="760" w:type="dxa"/>
            <w:vAlign w:val="bottom"/>
            <w:tcBorders>
              <w:bottom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w w:val="93"/>
              </w:rPr>
              <w:t>3</w:t>
            </w:r>
            <w:r>
              <w:rPr>
                <w:rFonts w:ascii="Arial" w:cs="Arial" w:eastAsia="Arial" w:hAnsi="Arial"/>
                <w:sz w:val="22"/>
                <w:szCs w:val="22"/>
                <w:b w:val="1"/>
                <w:bCs w:val="1"/>
                <w:color w:val="auto"/>
                <w:w w:val="93"/>
                <w:vertAlign w:val="superscript"/>
              </w:rPr>
              <w:t>rd</w:t>
            </w:r>
            <w:r>
              <w:rPr>
                <w:rFonts w:ascii="Arial" w:cs="Arial" w:eastAsia="Arial" w:hAnsi="Arial"/>
                <w:sz w:val="14"/>
                <w:szCs w:val="14"/>
                <w:b w:val="1"/>
                <w:bCs w:val="1"/>
                <w:color w:val="auto"/>
                <w:w w:val="93"/>
              </w:rPr>
              <w:t xml:space="preserve"> Quarter</w:t>
            </w:r>
          </w:p>
        </w:tc>
        <w:tc>
          <w:tcPr>
            <w:tcW w:w="160" w:type="dxa"/>
            <w:vAlign w:val="bottom"/>
          </w:tcPr>
          <w:p>
            <w:pPr>
              <w:spacing w:after="0"/>
              <w:rPr>
                <w:sz w:val="24"/>
                <w:szCs w:val="24"/>
                <w:color w:val="auto"/>
              </w:rPr>
            </w:pPr>
          </w:p>
        </w:tc>
        <w:tc>
          <w:tcPr>
            <w:tcW w:w="740" w:type="dxa"/>
            <w:vAlign w:val="bottom"/>
            <w:tcBorders>
              <w:bottom w:val="single" w:sz="8" w:color="808080"/>
            </w:tcBorders>
            <w:gridSpan w:val="2"/>
          </w:tcPr>
          <w:p>
            <w:pPr>
              <w:ind w:left="20"/>
              <w:spacing w:after="0"/>
              <w:rPr>
                <w:sz w:val="20"/>
                <w:szCs w:val="20"/>
                <w:color w:val="auto"/>
              </w:rPr>
            </w:pPr>
            <w:r>
              <w:rPr>
                <w:rFonts w:ascii="Arial" w:cs="Arial" w:eastAsia="Arial" w:hAnsi="Arial"/>
                <w:sz w:val="14"/>
                <w:szCs w:val="14"/>
                <w:b w:val="1"/>
                <w:bCs w:val="1"/>
                <w:color w:val="auto"/>
                <w:w w:val="91"/>
              </w:rPr>
              <w:t>4</w:t>
            </w:r>
            <w:r>
              <w:rPr>
                <w:rFonts w:ascii="Arial" w:cs="Arial" w:eastAsia="Arial" w:hAnsi="Arial"/>
                <w:sz w:val="22"/>
                <w:szCs w:val="22"/>
                <w:b w:val="1"/>
                <w:bCs w:val="1"/>
                <w:color w:val="auto"/>
                <w:w w:val="91"/>
                <w:vertAlign w:val="superscript"/>
              </w:rPr>
              <w:t>th</w:t>
            </w:r>
            <w:r>
              <w:rPr>
                <w:rFonts w:ascii="Arial" w:cs="Arial" w:eastAsia="Arial" w:hAnsi="Arial"/>
                <w:sz w:val="14"/>
                <w:szCs w:val="14"/>
                <w:b w:val="1"/>
                <w:bCs w:val="1"/>
                <w:color w:val="auto"/>
                <w:w w:val="91"/>
              </w:rPr>
              <w:t xml:space="preserve"> Quarter</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18"/>
        </w:trPr>
        <w:tc>
          <w:tcPr>
            <w:tcW w:w="4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r>
      <w:tr>
        <w:trPr>
          <w:trHeight w:val="257"/>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$ 48,918</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58,307</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44,745</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57,937</w:t>
            </w:r>
          </w:p>
        </w:tc>
        <w:tc>
          <w:tcPr>
            <w:tcW w:w="18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17,450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21,750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14,749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18,522</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4,308</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6,669</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2,616</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4,134</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283"/>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85"/>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r>
      <w:tr>
        <w:trPr>
          <w:trHeight w:val="375"/>
        </w:trPr>
        <w:tc>
          <w:tcPr>
            <w:tcW w:w="44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1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Based on their evaluation of our disclosure controls and procedures conducted as of April 30, 2005, our Chief Executive Officer and Chief Financial Officer have concluded that our disclosure controls and procedures (as defined in Rules 13a-15(e) and 15d-15(e) promulgated under the Securities Exchange Act of 1934) are effective at the reasonable assurance level. This evaluation did not identify any change in our internal control over financial reporting that occurred during the quarter ended April 30, 2005 that has materially affected, or is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Our management, including the Chief Executive Officer and Chief Financial Officer, is responsible for establishing and maintaining an adequate system of internal control over financial reporting. This system of internal accounting controls is designed to provide reasonable assurance that assets are safeguarded, transactions are properly recorded and executed in accordance with management’s authorization and financial statements are prepared in accordance with generally accepted accounting principles.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8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Management conducted an evaluation of the effectiveness of the system of internal control over financial reporting based on the framework in Internal Control—Integrated Framework issued by the Committee of Sponsoring Organizations of the Treadway Commission (COSO). Based on this evaluation, management concluded that our internal control over financial reporting was effective as of April 30, 2005 to provide reasonable assurance regarding the reliability of financial reporting and the preparation of financial statements for external purposes in accordance with generally accepted accounting principles. Management’s assessment of the effectiveness of our internal control over financial reporting has been audited by Ernst &amp; Young LLP, an independent registered public accounting firm, as stated in their report in which they expressed an unqualified opinion, which is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audited management’s assessment, included in the accompanying Management Report on Internal Control over Financial Reporting, that Daktronics, Inc. (“the Company”) maintained effective internal control over financial reporting as of April 30, 2005, based on criteria established in Internal Control—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ectPr>
          <w:pgSz w:w="11900" w:h="16866" w:orient="portrait"/>
          <w:cols w:equalWidth="0" w:num="1">
            <w:col w:w="11420"/>
          </w:cols>
          <w:pgMar w:left="240" w:top="140" w:right="239" w:bottom="0" w:gutter="0" w:footer="0" w:header="0"/>
        </w:sectPr>
      </w:pPr>
    </w:p>
    <w:bookmarkStart w:id="35" w:name="page36"/>
    <w:bookmarkEnd w:id="35"/>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our opinion, management’s assessment that Daktronics, Inc. maintained effective internal control over financial reporting as of April 30, 2005, is fairly stated, in all material respects, based on the COSO criteria. Also, in our opinion, Daktronics, Inc. maintained, in all material respects, effective internal control over financial reporting as of April 30, 2005, based on the COSO criteria.</w:t>
      </w:r>
    </w:p>
    <w:p>
      <w:pPr>
        <w:spacing w:after="0" w:line="194"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Daktronics, Inc. as of April 30, 2005 and May 1, 2004, and the related consolidated statements of income, shareholders’ equity, and cash flows for each of the three years in the period ended April 30, 2005 of Daktronics, Inc. and our report dated July 1, 2005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July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9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Information under the heading “Proposal One — Election of Directors” and “Section 16(a) Beneficial Ownership Reporting Compliance” in our Proxy Statement to be filed on or about July 9, 2004 is incorporated herein by reference. The information regarding executive officers is included in Part I, Item 1, of this report under the caption “Directors and Executive Officers of the Registrant.”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99"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Information regarding compensation of directors and officers for the fiscal year ended April 30, 2005 is in the Proxy Statement to be filed on or about July 9, 2004 under the heading “Proposal One -Election of Directors” and “Executive Compensation” and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32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on or about July 9, 2004 under the heading “Security Ownership of Certain Beneficial Owners and Management” and “Securities Authorized Under Equity Compensation Plans” and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12"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Incorporated herein by reference is the information appearing under the heading “Relationship with Independent Auditors” in the Registrant’s Proxy Statement that the Registrant anticipates filing on or about July 9,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following financial statements of the Company are contained in Part II, Item 8:</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Balance Sheets, April 30, 2005 and May 1, 2004</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Income for each of the three years in the period ended April 30, 2005</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Cash Flows for each of the three years in the period ended April 30, 2005</w:t>
      </w:r>
    </w:p>
    <w:p>
      <w:pPr>
        <w:sectPr>
          <w:pgSz w:w="11900" w:h="16838" w:orient="portrait"/>
          <w:cols w:equalWidth="0" w:num="1">
            <w:col w:w="11420"/>
          </w:cols>
          <w:pgMar w:left="240" w:top="131" w:right="239" w:bottom="0" w:gutter="0" w:footer="0" w:header="0"/>
        </w:sectPr>
      </w:pPr>
    </w:p>
    <w:bookmarkStart w:id="36" w:name="page37"/>
    <w:bookmarkEnd w:id="36"/>
    <w:p>
      <w:pPr>
        <w:ind w:left="940"/>
        <w:spacing w:after="0"/>
        <w:rPr>
          <w:sz w:val="20"/>
          <w:szCs w:val="20"/>
          <w:color w:val="auto"/>
        </w:rPr>
      </w:pPr>
      <w:r>
        <w:rPr>
          <w:rFonts w:ascii="Arial" w:cs="Arial" w:eastAsia="Arial" w:hAnsi="Arial"/>
          <w:sz w:val="18"/>
          <w:szCs w:val="18"/>
          <w:color w:val="auto"/>
        </w:rPr>
        <w:t>Consolidated Statement of Changes in Shareholders' Equity for each of the three years in the period ended April 30, 2005.</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940" w:hanging="46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w:t>
      </w:r>
    </w:p>
    <w:p>
      <w:pPr>
        <w:spacing w:after="0" w:line="157" w:lineRule="exact"/>
        <w:rPr>
          <w:rFonts w:ascii="Arial" w:cs="Arial" w:eastAsia="Arial" w:hAnsi="Arial"/>
          <w:sz w:val="18"/>
          <w:szCs w:val="18"/>
          <w:color w:val="auto"/>
        </w:rPr>
      </w:pPr>
    </w:p>
    <w:p>
      <w:pPr>
        <w:ind w:left="940" w:right="5620"/>
        <w:spacing w:after="0" w:line="414"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spacing w:after="0" w:line="1" w:lineRule="exact"/>
        <w:rPr>
          <w:rFonts w:ascii="Arial" w:cs="Arial" w:eastAsia="Arial" w:hAnsi="Arial"/>
          <w:sz w:val="18"/>
          <w:szCs w:val="18"/>
          <w:color w:val="auto"/>
        </w:rPr>
      </w:pPr>
    </w:p>
    <w:p>
      <w:pPr>
        <w:ind w:left="940" w:right="420"/>
        <w:spacing w:after="0" w:line="268"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04" w:lineRule="exact"/>
        <w:rPr>
          <w:rFonts w:ascii="Arial" w:cs="Arial" w:eastAsia="Arial" w:hAnsi="Arial"/>
          <w:sz w:val="18"/>
          <w:szCs w:val="18"/>
          <w:color w:val="auto"/>
        </w:rPr>
      </w:pPr>
    </w:p>
    <w:p>
      <w:pPr>
        <w:ind w:left="940" w:hanging="46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rFonts w:ascii="Arial" w:cs="Arial" w:eastAsia="Arial" w:hAnsi="Arial"/>
          <w:sz w:val="18"/>
          <w:szCs w:val="18"/>
          <w:color w:val="auto"/>
        </w:rPr>
      </w:pPr>
    </w:p>
    <w:p>
      <w:pPr>
        <w:ind w:left="940" w:right="100"/>
        <w:spacing w:after="0" w:line="268"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940" w:type="dxa"/>
        <w:tblCellMar>
          <w:top w:w="0" w:type="dxa"/>
          <w:left w:w="0" w:type="dxa"/>
          <w:bottom w:w="0" w:type="dxa"/>
          <w:right w:w="0" w:type="dxa"/>
        </w:tblCellMar>
      </w:tblP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(3)</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80"/>
              <w:spacing w:after="0"/>
              <w:rPr>
                <w:sz w:val="20"/>
                <w:szCs w:val="20"/>
                <w:color w:val="auto"/>
              </w:rPr>
            </w:pPr>
            <w:r>
              <w:rPr>
                <w:rFonts w:ascii="Arial" w:cs="Arial" w:eastAsia="Arial" w:hAnsi="Arial"/>
                <w:sz w:val="18"/>
                <w:szCs w:val="18"/>
                <w:color w:val="auto"/>
              </w:rPr>
              <w:t>2001 Incentive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(6)*</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8160" w:type="dxa"/>
            <w:vAlign w:val="bottom"/>
          </w:tcPr>
          <w:p>
            <w:pPr>
              <w:ind w:left="80"/>
              <w:spacing w:after="0"/>
              <w:rPr>
                <w:sz w:val="20"/>
                <w:szCs w:val="20"/>
                <w:color w:val="auto"/>
              </w:rPr>
            </w:pPr>
            <w:r>
              <w:rPr>
                <w:rFonts w:ascii="Arial" w:cs="Arial" w:eastAsia="Arial" w:hAnsi="Arial"/>
                <w:sz w:val="18"/>
                <w:szCs w:val="18"/>
                <w:color w:val="auto"/>
                <w:w w:val="88"/>
              </w:rPr>
              <w:t>Amended and Restated Deferred Compensation Agreement Between Daktronics, Inc. and Aelred Kurtenbach.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10.2  Amended and Restated Deferred Compensation Agreement Between Daktronics, Inc. and Frank Kurtenbach.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92"/>
              </w:rPr>
              <w:t>10.3  Amended and Restated Deferred Compensation Agreement Between Daktronics, Inc. and James Morgan.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160" w:type="dxa"/>
            <w:vAlign w:val="bottom"/>
          </w:tcPr>
          <w:p>
            <w:pPr>
              <w:ind w:left="80"/>
              <w:spacing w:after="0"/>
              <w:rPr>
                <w:sz w:val="20"/>
                <w:szCs w:val="20"/>
                <w:color w:val="auto"/>
              </w:rPr>
            </w:pPr>
            <w:r>
              <w:rPr>
                <w:rFonts w:ascii="Arial" w:cs="Arial" w:eastAsia="Arial" w:hAnsi="Arial"/>
                <w:sz w:val="18"/>
                <w:szCs w:val="18"/>
                <w:color w:val="auto"/>
                <w:w w:val="91"/>
              </w:rPr>
              <w:t>Amended and Restated Deferred Compensation Agreement Between Daktronics, Inc. and Duane Sander. (7)*</w:t>
            </w:r>
          </w:p>
        </w:tc>
      </w:tr>
    </w:tbl>
    <w:p>
      <w:pPr>
        <w:spacing w:after="0" w:line="102"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(7)</w:t>
      </w:r>
    </w:p>
    <w:p>
      <w:pPr>
        <w:spacing w:after="0" w:line="13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(7)</w:t>
      </w:r>
    </w:p>
    <w:p>
      <w:pPr>
        <w:spacing w:after="0" w:line="158" w:lineRule="exact"/>
        <w:rPr>
          <w:sz w:val="20"/>
          <w:szCs w:val="20"/>
          <w:color w:val="auto"/>
        </w:rPr>
      </w:pPr>
    </w:p>
    <w:p>
      <w:pPr>
        <w:ind w:left="1400" w:hanging="459"/>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 (7)</w:t>
      </w:r>
    </w:p>
    <w:p>
      <w:pPr>
        <w:spacing w:after="0" w:line="117" w:lineRule="exact"/>
        <w:rPr>
          <w:sz w:val="20"/>
          <w:szCs w:val="20"/>
          <w:color w:val="auto"/>
        </w:rPr>
      </w:pPr>
    </w:p>
    <w:p>
      <w:pPr>
        <w:ind w:left="1400" w:right="340" w:hanging="466"/>
        <w:spacing w:after="0" w:line="268" w:lineRule="auto"/>
        <w:tabs>
          <w:tab w:leader="none" w:pos="13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(7)</w:t>
      </w:r>
    </w:p>
    <w:p>
      <w:pPr>
        <w:spacing w:after="0" w:line="91" w:lineRule="exact"/>
        <w:rPr>
          <w:sz w:val="20"/>
          <w:szCs w:val="20"/>
          <w:color w:val="auto"/>
        </w:rPr>
      </w:pPr>
    </w:p>
    <w:p>
      <w:pPr>
        <w:ind w:left="1400" w:right="400" w:hanging="466"/>
        <w:spacing w:after="0" w:line="268" w:lineRule="auto"/>
        <w:tabs>
          <w:tab w:leader="none" w:pos="13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(7)</w:t>
      </w:r>
    </w:p>
    <w:p>
      <w:pPr>
        <w:spacing w:after="0" w:line="105"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3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(7)</w:t>
      </w:r>
    </w:p>
    <w:p>
      <w:pPr>
        <w:spacing w:after="0" w:line="158" w:lineRule="exact"/>
        <w:rPr>
          <w:sz w:val="20"/>
          <w:szCs w:val="20"/>
          <w:color w:val="auto"/>
        </w:rPr>
      </w:pPr>
    </w:p>
    <w:p>
      <w:pPr>
        <w:ind w:left="188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 as Commission File No. 33-72466.</w:t>
      </w:r>
    </w:p>
    <w:p>
      <w:pPr>
        <w:spacing w:after="0" w:line="91" w:lineRule="exact"/>
        <w:rPr>
          <w:rFonts w:ascii="Arial" w:cs="Arial" w:eastAsia="Arial" w:hAnsi="Arial"/>
          <w:sz w:val="18"/>
          <w:szCs w:val="18"/>
          <w:color w:val="auto"/>
        </w:rPr>
      </w:pPr>
    </w:p>
    <w:p>
      <w:pPr>
        <w:ind w:left="1880" w:right="4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number with the same exhibit number filed with our Annual Report on From 10-K on July 28, 1999 as Commission File No.0-23246.</w:t>
      </w:r>
    </w:p>
    <w:p>
      <w:pPr>
        <w:spacing w:after="0" w:line="91" w:lineRule="exact"/>
        <w:rPr>
          <w:rFonts w:ascii="Arial" w:cs="Arial" w:eastAsia="Arial" w:hAnsi="Arial"/>
          <w:sz w:val="18"/>
          <w:szCs w:val="18"/>
          <w:color w:val="auto"/>
        </w:rPr>
      </w:pPr>
    </w:p>
    <w:p>
      <w:pPr>
        <w:ind w:left="1880" w:right="14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spacing w:after="0" w:line="104" w:lineRule="exact"/>
        <w:rPr>
          <w:rFonts w:ascii="Arial" w:cs="Arial" w:eastAsia="Arial" w:hAnsi="Arial"/>
          <w:sz w:val="18"/>
          <w:szCs w:val="18"/>
          <w:color w:val="auto"/>
        </w:rPr>
      </w:pPr>
    </w:p>
    <w:p>
      <w:pPr>
        <w:ind w:left="1880" w:right="24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396" w:lineRule="exact"/>
        <w:rPr>
          <w:rFonts w:ascii="Arial" w:cs="Arial" w:eastAsia="Arial" w:hAnsi="Arial"/>
          <w:sz w:val="16"/>
          <w:szCs w:val="16"/>
          <w:color w:val="auto"/>
        </w:rPr>
      </w:pPr>
    </w:p>
    <w:p>
      <w:pPr>
        <w:ind w:left="1880" w:hanging="472"/>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880" w:hanging="472"/>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74" w:lineRule="exact"/>
        <w:rPr>
          <w:sz w:val="20"/>
          <w:szCs w:val="20"/>
          <w:color w:val="auto"/>
        </w:rPr>
      </w:pPr>
    </w:p>
    <w:p>
      <w:pPr>
        <w:ind w:left="1880" w:hanging="472"/>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Sport®, Daktronics®, DakStats®, DakTicker®, DataTime®, DataTrac™, Galaxy®, Glow Cube®, InfoNet™, Keyframe®, OmniSport®, ProAd®, ProRail™, ProStar®, Pro Sport®, ProTour™, Scoreboard Sales and Service®, Servtrotech®, SportsLink®, Starburst®, SunSpot®, Tuff Sport®, Vanguard®, V-Play®, Venus®, V-Net™, and V-Link® are trademarks of Daktronics,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July 1, 2005.</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James B. Morgan</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William R. Retterath</w:t>
      </w:r>
    </w:p>
    <w:p>
      <w:pPr>
        <w:spacing w:after="0" w:line="3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Title Date</w:t>
      </w:r>
    </w:p>
    <w:p>
      <w:pPr>
        <w:spacing w:after="0" w:line="37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3"/>
              </w:rPr>
              <w:t>Signature</w:t>
            </w:r>
          </w:p>
        </w:tc>
        <w:tc>
          <w:tcPr>
            <w:tcW w:w="1280" w:type="dxa"/>
            <w:vAlign w:val="bottom"/>
          </w:tcPr>
          <w:p>
            <w:pPr>
              <w:spacing w:after="0"/>
              <w:rPr>
                <w:sz w:val="14"/>
                <w:szCs w:val="14"/>
                <w:color w:val="auto"/>
              </w:rPr>
            </w:pPr>
          </w:p>
        </w:tc>
        <w:tc>
          <w:tcPr>
            <w:tcW w:w="314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spacing w:after="0"/>
              <w:rPr>
                <w:sz w:val="14"/>
                <w:szCs w:val="14"/>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1"/>
        </w:trPr>
        <w:tc>
          <w:tcPr>
            <w:tcW w:w="3100" w:type="dxa"/>
            <w:vAlign w:val="bottom"/>
            <w:gridSpan w:val="4"/>
          </w:tcPr>
          <w:p>
            <w:pPr>
              <w:spacing w:after="0"/>
              <w:rPr>
                <w:sz w:val="20"/>
                <w:szCs w:val="20"/>
                <w:color w:val="auto"/>
              </w:rPr>
            </w:pPr>
            <w:r>
              <w:rPr>
                <w:rFonts w:ascii="Arial" w:cs="Arial" w:eastAsia="Arial" w:hAnsi="Arial"/>
                <w:sz w:val="18"/>
                <w:szCs w:val="18"/>
                <w:color w:val="auto"/>
              </w:rPr>
              <w:t>By /s/ Robert G. Dutcher</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Robert G. Dutcher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Nancy D. Frame</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Nancy D. Frame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Roland J. Jensen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Roland J. Jensen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Aelred J. Kurtenbach</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Aelred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Frank J. Kurtenbach</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Frank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B. Morgan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James B. Morgan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John L. Mulligan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John L. Mulligan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Duane E. Sander</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Duane E. Sander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59"/>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A. Vellenga</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2005</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James A. Vellenga</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Years Ended April 30, 2005, May 1, 2004, and May 3, 2003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320"/>
          </w:cols>
          <w:pgMar w:left="240" w:top="125" w:right="339" w:bottom="0" w:gutter="0" w:footer="0" w:header="0"/>
        </w:sectPr>
      </w:pPr>
    </w:p>
    <w:p>
      <w:pPr>
        <w:spacing w:after="0" w:line="268" w:lineRule="exact"/>
        <w:rPr>
          <w:sz w:val="20"/>
          <w:szCs w:val="20"/>
          <w:color w:val="auto"/>
        </w:rPr>
      </w:pPr>
    </w:p>
    <w:p>
      <w:pPr>
        <w:jc w:val="center"/>
        <w:ind w:left="3180"/>
        <w:spacing w:after="0"/>
        <w:rPr>
          <w:sz w:val="20"/>
          <w:szCs w:val="20"/>
          <w:color w:val="auto"/>
        </w:rPr>
      </w:pPr>
      <w:r>
        <w:rPr>
          <w:rFonts w:ascii="Arial" w:cs="Arial" w:eastAsia="Arial" w:hAnsi="Arial"/>
          <w:sz w:val="12"/>
          <w:szCs w:val="12"/>
          <w:b w:val="1"/>
          <w:bCs w:val="1"/>
          <w:color w:val="auto"/>
        </w:rPr>
        <w:t>Allowance for</w:t>
      </w:r>
    </w:p>
    <w:p>
      <w:pPr>
        <w:spacing w:after="0" w:line="24"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Doubtful</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Beginning of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(Charged to</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Expense)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2"/>
          <w:szCs w:val="12"/>
          <w:b w:val="1"/>
          <w:bCs w:val="1"/>
          <w:color w:val="auto"/>
        </w:rPr>
        <w:t>Additions/</w:t>
      </w:r>
      <w:r>
        <w:rPr>
          <w:sz w:val="20"/>
          <w:szCs w:val="20"/>
          <w:color w:val="auto"/>
        </w:rPr>
        <w:tab/>
      </w:r>
      <w:r>
        <w:rPr>
          <w:rFonts w:ascii="Arial" w:cs="Arial" w:eastAsia="Arial" w:hAnsi="Arial"/>
          <w:sz w:val="12"/>
          <w:szCs w:val="12"/>
          <w:b w:val="1"/>
          <w:bCs w:val="1"/>
          <w:color w:val="auto"/>
        </w:rPr>
        <w:t>Balance at</w:t>
      </w:r>
    </w:p>
    <w:p>
      <w:pPr>
        <w:spacing w:after="0" w:line="24"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Deductions (1)</w:t>
      </w:r>
      <w:r>
        <w:rPr>
          <w:sz w:val="20"/>
          <w:szCs w:val="20"/>
          <w:color w:val="auto"/>
        </w:rPr>
        <w:tab/>
      </w:r>
      <w:r>
        <w:rPr>
          <w:rFonts w:ascii="Arial" w:cs="Arial" w:eastAsia="Arial" w:hAnsi="Arial"/>
          <w:sz w:val="12"/>
          <w:szCs w:val="12"/>
          <w:b w:val="1"/>
          <w:bCs w:val="1"/>
          <w:color w:val="auto"/>
        </w:rPr>
        <w:t>End of Year</w:t>
      </w:r>
    </w:p>
    <w:p>
      <w:pPr>
        <w:sectPr>
          <w:pgSz w:w="11900" w:h="16838" w:orient="portrait"/>
          <w:cols w:equalWidth="0" w:num="4">
            <w:col w:w="3980" w:space="280"/>
            <w:col w:w="740" w:space="240"/>
            <w:col w:w="700" w:space="280"/>
            <w:col w:w="5100"/>
          </w:cols>
          <w:pgMar w:left="240" w:top="125" w:right="339" w:bottom="0" w:gutter="0" w:footer="0" w:header="0"/>
          <w:type w:val="continuous"/>
        </w:sectPr>
      </w:pPr>
    </w:p>
    <w:bookmarkStart w:id="38" w:name="page39"/>
    <w:bookmarkEnd w:id="38"/>
    <w:tbl>
      <w:tblPr>
        <w:tblLayout w:type="fixed"/>
        <w:tblInd w:w="2240" w:type="dxa"/>
        <w:tblCellMar>
          <w:top w:w="0" w:type="dxa"/>
          <w:left w:w="0" w:type="dxa"/>
          <w:bottom w:w="0" w:type="dxa"/>
          <w:right w:w="0" w:type="dxa"/>
        </w:tblCellMar>
      </w:tblPr>
      <w:tr>
        <w:trPr>
          <w:trHeight w:val="174"/>
        </w:trPr>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auto"/>
              </w:rPr>
              <w:t>Accounts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8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1060" w:type="dxa"/>
            <w:vAlign w:val="bottom"/>
            <w:gridSpan w:val="3"/>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5"/>
        </w:trPr>
        <w:tc>
          <w:tcPr>
            <w:tcW w:w="880" w:type="dxa"/>
            <w:vAlign w:val="bottom"/>
            <w:shd w:val="clear" w:color="auto" w:fill="EAF9E8"/>
          </w:tcPr>
          <w:p>
            <w:pPr>
              <w:jc w:val="right"/>
              <w:ind w:right="457"/>
              <w:spacing w:after="0"/>
              <w:rPr>
                <w:sz w:val="20"/>
                <w:szCs w:val="20"/>
                <w:color w:val="auto"/>
              </w:rPr>
            </w:pPr>
            <w:r>
              <w:rPr>
                <w:rFonts w:ascii="Arial" w:cs="Arial" w:eastAsia="Arial" w:hAnsi="Arial"/>
                <w:sz w:val="18"/>
                <w:szCs w:val="18"/>
                <w:color w:val="auto"/>
                <w:w w:val="79"/>
              </w:rPr>
              <w:t>2005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1,131</w:t>
            </w:r>
          </w:p>
        </w:tc>
        <w:tc>
          <w:tcPr>
            <w:tcW w:w="4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325</w:t>
            </w:r>
          </w:p>
        </w:tc>
        <w:tc>
          <w:tcPr>
            <w:tcW w:w="4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(496)  $</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EAF9E8"/>
          </w:tcPr>
          <w:p>
            <w:pPr>
              <w:spacing w:after="0"/>
              <w:rPr>
                <w:sz w:val="22"/>
                <w:szCs w:val="22"/>
                <w:color w:val="auto"/>
              </w:rPr>
            </w:pPr>
          </w:p>
        </w:tc>
      </w:tr>
      <w:tr>
        <w:trPr>
          <w:trHeight w:val="259"/>
        </w:trPr>
        <w:tc>
          <w:tcPr>
            <w:tcW w:w="880" w:type="dxa"/>
            <w:vAlign w:val="bottom"/>
            <w:shd w:val="clear" w:color="auto" w:fill="EAF9E8"/>
          </w:tcPr>
          <w:p>
            <w:pPr>
              <w:jc w:val="right"/>
              <w:ind w:right="457"/>
              <w:spacing w:after="0"/>
              <w:rPr>
                <w:sz w:val="20"/>
                <w:szCs w:val="20"/>
                <w:color w:val="auto"/>
              </w:rPr>
            </w:pPr>
            <w:r>
              <w:rPr>
                <w:rFonts w:ascii="Arial" w:cs="Arial" w:eastAsia="Arial" w:hAnsi="Arial"/>
                <w:sz w:val="18"/>
                <w:szCs w:val="18"/>
                <w:color w:val="auto"/>
                <w:w w:val="79"/>
              </w:rPr>
              <w:t>2004</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EAF9E8"/>
          </w:tcPr>
          <w:p>
            <w:pPr>
              <w:spacing w:after="0"/>
              <w:rPr>
                <w:sz w:val="22"/>
                <w:szCs w:val="22"/>
                <w:color w:val="auto"/>
              </w:rPr>
            </w:pPr>
          </w:p>
        </w:tc>
      </w:tr>
      <w:tr>
        <w:trPr>
          <w:trHeight w:val="282"/>
        </w:trPr>
        <w:tc>
          <w:tcPr>
            <w:tcW w:w="880" w:type="dxa"/>
            <w:vAlign w:val="bottom"/>
          </w:tcPr>
          <w:p>
            <w:pPr>
              <w:jc w:val="right"/>
              <w:ind w:right="457"/>
              <w:spacing w:after="0"/>
              <w:rPr>
                <w:sz w:val="20"/>
                <w:szCs w:val="20"/>
                <w:color w:val="auto"/>
              </w:rPr>
            </w:pPr>
            <w:r>
              <w:rPr>
                <w:rFonts w:ascii="Arial" w:cs="Arial" w:eastAsia="Arial" w:hAnsi="Arial"/>
                <w:sz w:val="18"/>
                <w:szCs w:val="18"/>
                <w:color w:val="auto"/>
                <w:w w:val="79"/>
              </w:rPr>
              <w:t>2003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ind w:right="6320" w:firstLine="165"/>
        <w:spacing w:after="0" w:line="284" w:lineRule="auto"/>
        <w:tabs>
          <w:tab w:leader="none" w:pos="413"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 Index of Exhibits</w:t>
      </w:r>
    </w:p>
    <w:p>
      <w:pPr>
        <w:spacing w:after="0" w:line="10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(3)</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80"/>
              <w:spacing w:after="0"/>
              <w:rPr>
                <w:sz w:val="20"/>
                <w:szCs w:val="20"/>
                <w:color w:val="auto"/>
              </w:rPr>
            </w:pPr>
            <w:r>
              <w:rPr>
                <w:rFonts w:ascii="Arial" w:cs="Arial" w:eastAsia="Arial" w:hAnsi="Arial"/>
                <w:sz w:val="18"/>
                <w:szCs w:val="18"/>
                <w:color w:val="auto"/>
              </w:rPr>
              <w:t>2001 Incentive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(5)*</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(6)*</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10.1  Amended and Restated Deferred Compensation Agreement Between Daktronics, Inc. and Aelred Kurtenbach.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10.2  Amended and Restated Deferred Compensation Agreement Between Daktronics, Inc. and Frank Kurtenbach.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10.3</w:t>
            </w:r>
          </w:p>
        </w:tc>
        <w:tc>
          <w:tcPr>
            <w:tcW w:w="8160" w:type="dxa"/>
            <w:vAlign w:val="bottom"/>
          </w:tcPr>
          <w:p>
            <w:pPr>
              <w:ind w:left="80"/>
              <w:spacing w:after="0"/>
              <w:rPr>
                <w:sz w:val="20"/>
                <w:szCs w:val="20"/>
                <w:color w:val="auto"/>
              </w:rPr>
            </w:pPr>
            <w:r>
              <w:rPr>
                <w:rFonts w:ascii="Arial" w:cs="Arial" w:eastAsia="Arial" w:hAnsi="Arial"/>
                <w:sz w:val="18"/>
                <w:szCs w:val="18"/>
                <w:color w:val="auto"/>
                <w:w w:val="91"/>
              </w:rPr>
              <w:t>Amended and Restated Deferred Compensation Agreement Between Daktronics, Inc. and James Morgan.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92"/>
              </w:rPr>
              <w:t>10.4  Amended and Restated Deferred Compensation Agreement Between Daktronics, Inc. and Duane Sander.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rPr>
              <w:t>21.1  Subsidiaries of the Company.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23.1</w:t>
            </w:r>
          </w:p>
        </w:tc>
        <w:tc>
          <w:tcPr>
            <w:tcW w:w="8160" w:type="dxa"/>
            <w:vAlign w:val="bottom"/>
          </w:tcPr>
          <w:p>
            <w:pPr>
              <w:ind w:left="80"/>
              <w:spacing w:after="0"/>
              <w:rPr>
                <w:sz w:val="20"/>
                <w:szCs w:val="20"/>
                <w:color w:val="auto"/>
              </w:rPr>
            </w:pPr>
            <w:r>
              <w:rPr>
                <w:rFonts w:ascii="Arial" w:cs="Arial" w:eastAsia="Arial" w:hAnsi="Arial"/>
                <w:sz w:val="18"/>
                <w:szCs w:val="18"/>
                <w:color w:val="auto"/>
              </w:rPr>
              <w:t>Consent of Ernst &amp; Young LLP. (7)</w:t>
            </w:r>
          </w:p>
        </w:tc>
      </w:tr>
    </w:tbl>
    <w:p>
      <w:pPr>
        <w:spacing w:after="0" w:line="115"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of Attorney. (7)</w:t>
      </w:r>
    </w:p>
    <w:p>
      <w:pPr>
        <w:spacing w:after="0" w:line="117" w:lineRule="exact"/>
        <w:rPr>
          <w:sz w:val="20"/>
          <w:szCs w:val="20"/>
          <w:color w:val="auto"/>
        </w:rPr>
      </w:pPr>
    </w:p>
    <w:p>
      <w:pPr>
        <w:ind w:left="460" w:right="40" w:hanging="466"/>
        <w:spacing w:after="0" w:line="268" w:lineRule="auto"/>
        <w:tabs>
          <w:tab w:leader="none" w:pos="44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and Exchange Act of 1934, as adopted pursuant to Section 302 of the Sarbanes-Oxley Act of 2002. (7)</w:t>
      </w:r>
    </w:p>
    <w:p>
      <w:pPr>
        <w:spacing w:after="0" w:line="91" w:lineRule="exact"/>
        <w:rPr>
          <w:sz w:val="20"/>
          <w:szCs w:val="20"/>
          <w:color w:val="auto"/>
        </w:rPr>
      </w:pPr>
    </w:p>
    <w:p>
      <w:pPr>
        <w:ind w:left="460" w:right="100" w:hanging="466"/>
        <w:spacing w:after="0" w:line="268" w:lineRule="auto"/>
        <w:tabs>
          <w:tab w:leader="none" w:pos="44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and Exchange Act of 1934, as adopted pursuant to Section 302 of the Sarbanes-Oxley Act of 2002. (7)</w:t>
      </w:r>
    </w:p>
    <w:p>
      <w:pPr>
        <w:spacing w:after="0" w:line="1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(7)</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(7)</w:t>
      </w:r>
    </w:p>
    <w:p>
      <w:pPr>
        <w:spacing w:after="0" w:line="158" w:lineRule="exact"/>
        <w:rPr>
          <w:sz w:val="20"/>
          <w:szCs w:val="20"/>
          <w:color w:val="auto"/>
        </w:rPr>
      </w:pPr>
    </w:p>
    <w:p>
      <w:pPr>
        <w:ind w:left="940" w:hanging="472"/>
        <w:spacing w:after="0" w:line="26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 as Commission File No. 33-72466.</w:t>
      </w:r>
    </w:p>
    <w:p>
      <w:pPr>
        <w:spacing w:after="0" w:line="91" w:lineRule="exact"/>
        <w:rPr>
          <w:rFonts w:ascii="Arial" w:cs="Arial" w:eastAsia="Arial" w:hAnsi="Arial"/>
          <w:sz w:val="18"/>
          <w:szCs w:val="18"/>
          <w:color w:val="auto"/>
        </w:rPr>
      </w:pPr>
    </w:p>
    <w:p>
      <w:pPr>
        <w:ind w:left="940" w:right="40" w:hanging="472"/>
        <w:spacing w:after="0" w:line="26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number with the same exhibit number filed with our Annual Report on From 10-K on July 28, 1999 as Commission File No.0-23246.</w:t>
      </w:r>
    </w:p>
    <w:p>
      <w:pPr>
        <w:spacing w:after="0" w:line="104" w:lineRule="exact"/>
        <w:rPr>
          <w:rFonts w:ascii="Arial" w:cs="Arial" w:eastAsia="Arial" w:hAnsi="Arial"/>
          <w:sz w:val="18"/>
          <w:szCs w:val="18"/>
          <w:color w:val="auto"/>
        </w:rPr>
      </w:pPr>
    </w:p>
    <w:p>
      <w:pPr>
        <w:ind w:left="940" w:right="140" w:hanging="472"/>
        <w:spacing w:after="0" w:line="26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spacing w:after="0" w:line="91" w:lineRule="exact"/>
        <w:rPr>
          <w:rFonts w:ascii="Arial" w:cs="Arial" w:eastAsia="Arial" w:hAnsi="Arial"/>
          <w:sz w:val="18"/>
          <w:szCs w:val="18"/>
          <w:color w:val="auto"/>
        </w:rPr>
      </w:pPr>
    </w:p>
    <w:p>
      <w:pPr>
        <w:ind w:left="940" w:right="240" w:hanging="472"/>
        <w:spacing w:after="0" w:line="268"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91" w:lineRule="exact"/>
        <w:rPr>
          <w:rFonts w:ascii="Arial" w:cs="Arial" w:eastAsia="Arial" w:hAnsi="Arial"/>
          <w:sz w:val="18"/>
          <w:szCs w:val="18"/>
          <w:color w:val="auto"/>
        </w:rPr>
      </w:pPr>
    </w:p>
    <w:p>
      <w:pPr>
        <w:ind w:left="940" w:hanging="472"/>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940" w:hanging="472"/>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396" w:lineRule="exact"/>
        <w:rPr>
          <w:rFonts w:ascii="Arial" w:cs="Arial" w:eastAsia="Arial" w:hAnsi="Arial"/>
          <w:sz w:val="16"/>
          <w:szCs w:val="16"/>
          <w:color w:val="auto"/>
        </w:rPr>
      </w:pPr>
    </w:p>
    <w:p>
      <w:pPr>
        <w:ind w:left="940" w:hanging="47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74" w:lineRule="exact"/>
        <w:rPr>
          <w:sz w:val="20"/>
          <w:szCs w:val="20"/>
          <w:color w:val="auto"/>
        </w:rPr>
      </w:pPr>
    </w:p>
    <w:p>
      <w:pPr>
        <w:ind w:left="940" w:hanging="47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ectPr>
          <w:pgSz w:w="11900" w:h="16838" w:orient="portrait"/>
          <w:cols w:equalWidth="0" w:num="1">
            <w:col w:w="10420"/>
          </w:cols>
          <w:pgMar w:left="1180" w:top="127" w:right="299" w:bottom="1026" w:gutter="0" w:footer="0" w:header="0"/>
        </w:sect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420"/>
          </w:cols>
          <w:pgMar w:left="1180" w:top="127" w:right="299" w:bottom="1026" w:gutter="0" w:footer="0" w:header="0"/>
          <w:type w:val="continuous"/>
        </w:sectPr>
      </w:pPr>
    </w:p>
    <w:bookmarkStart w:id="39" w:name="page40"/>
    <w:bookmarkEnd w:id="39"/>
    <w:p>
      <w:pPr>
        <w:ind w:left="7060"/>
        <w:spacing w:after="0"/>
        <w:rPr>
          <w:sz w:val="20"/>
          <w:szCs w:val="20"/>
          <w:color w:val="auto"/>
        </w:rPr>
      </w:pPr>
      <w:r>
        <w:rPr>
          <w:rFonts w:ascii="Courier New" w:cs="Courier New" w:eastAsia="Courier New" w:hAnsi="Courier New"/>
          <w:sz w:val="16"/>
          <w:szCs w:val="16"/>
          <w:color w:val="auto"/>
        </w:rPr>
        <w:t>EXHIBIT 21.1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of Company</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right="960"/>
        <w:spacing w:after="0" w:line="272" w:lineRule="auto"/>
        <w:rPr>
          <w:sz w:val="20"/>
          <w:szCs w:val="20"/>
          <w:color w:val="auto"/>
        </w:rPr>
      </w:pPr>
      <w:r>
        <w:rPr>
          <w:rFonts w:ascii="Courier New" w:cs="Courier New" w:eastAsia="Courier New" w:hAnsi="Courier New"/>
          <w:sz w:val="16"/>
          <w:szCs w:val="16"/>
          <w:color w:val="auto"/>
        </w:rPr>
        <w:t>Name of Subsidiary Star Circuits, Inc. MSC Technologies, Inc. Sports Link, Ltd. Daktronics Canada, Inc. Daktronics, GmbH Daktronics UK, Ltd Daktronics Hong Kong Ltd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Dakota</w:t>
      </w:r>
    </w:p>
    <w:p>
      <w:pPr>
        <w:spacing w:after="0" w:line="238" w:lineRule="auto"/>
        <w:rPr>
          <w:sz w:val="20"/>
          <w:szCs w:val="20"/>
          <w:color w:val="auto"/>
        </w:rPr>
      </w:pPr>
      <w:r>
        <w:rPr>
          <w:rFonts w:ascii="Courier New" w:cs="Courier New" w:eastAsia="Courier New" w:hAnsi="Courier New"/>
          <w:sz w:val="18"/>
          <w:szCs w:val="18"/>
          <w:color w:val="auto"/>
        </w:rPr>
        <w:t>South Dakota</w:t>
      </w:r>
    </w:p>
    <w:p>
      <w:pPr>
        <w:spacing w:after="0"/>
        <w:rPr>
          <w:sz w:val="20"/>
          <w:szCs w:val="20"/>
          <w:color w:val="auto"/>
        </w:rPr>
      </w:pPr>
      <w:r>
        <w:rPr>
          <w:rFonts w:ascii="Courier New" w:cs="Courier New" w:eastAsia="Courier New" w:hAnsi="Courier New"/>
          <w:sz w:val="18"/>
          <w:szCs w:val="18"/>
          <w:color w:val="auto"/>
        </w:rPr>
        <w:t>South Dakota</w:t>
      </w:r>
    </w:p>
    <w:p>
      <w:pPr>
        <w:spacing w:after="0" w:line="237" w:lineRule="auto"/>
        <w:rPr>
          <w:sz w:val="20"/>
          <w:szCs w:val="20"/>
          <w:color w:val="auto"/>
        </w:rPr>
      </w:pPr>
      <w:r>
        <w:rPr>
          <w:rFonts w:ascii="Courier New" w:cs="Courier New" w:eastAsia="Courier New" w:hAnsi="Courier New"/>
          <w:sz w:val="18"/>
          <w:szCs w:val="18"/>
          <w:color w:val="auto"/>
        </w:rPr>
        <w:t>Canada</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Great Britain</w:t>
      </w:r>
    </w:p>
    <w:p>
      <w:pPr>
        <w:spacing w:after="0" w:line="237" w:lineRule="auto"/>
        <w:rPr>
          <w:sz w:val="20"/>
          <w:szCs w:val="20"/>
          <w:color w:val="auto"/>
        </w:rPr>
      </w:pPr>
      <w:r>
        <w:rPr>
          <w:rFonts w:ascii="Courier New" w:cs="Courier New" w:eastAsia="Courier New" w:hAnsi="Courier New"/>
          <w:sz w:val="18"/>
          <w:szCs w:val="18"/>
          <w:color w:val="auto"/>
        </w:rPr>
        <w:t>Hong Kong</w:t>
      </w:r>
    </w:p>
    <w:p>
      <w:pPr>
        <w:sectPr>
          <w:pgSz w:w="11900" w:h="16838" w:orient="portrait"/>
          <w:cols w:equalWidth="0" w:num="2">
            <w:col w:w="3500" w:space="720"/>
            <w:col w:w="5999"/>
          </w:cols>
          <w:pgMar w:left="240" w:top="142" w:right="1440" w:bottom="1440" w:gutter="0" w:footer="0" w:header="0"/>
          <w:type w:val="continuous"/>
        </w:sectPr>
      </w:pPr>
    </w:p>
    <w:bookmarkStart w:id="40" w:name="page41"/>
    <w:bookmarkEnd w:id="40"/>
    <w:p>
      <w:pPr>
        <w:jc w:val="right"/>
        <w:ind w:right="199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on Form S-8 (Nos. 333-100842, 333-72990 and 333-109962) and the Registration Statement on Form S-3 (No. 333-54006), respectively, of our reports dated July 1, 2005, with respect to the consolidated financial statements of Daktronics, Inc., Daktronics, Inc.'s management's assessment of the effectiveness of internal control over financial reporting of Daktonics, Inc., included in this Annual Report (Form 10-K) for the year ended April 30, 2005.</w:t>
      </w:r>
    </w:p>
    <w:p>
      <w:pPr>
        <w:spacing w:after="0" w:line="188"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Our audits also included the financial statement schedule of Daktronics, Inc. listed in Item 15(a).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Ernst &amp; Young,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July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41" w:name="page42"/>
    <w:bookmarkEnd w:id="41"/>
    <w:p>
      <w:pPr>
        <w:ind w:left="70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KNOW ALL BY THESE PRESENTS, that each person whose signature appears below constitutes and appoints each of James B. Morgan and William R. Retterath, with full power to each act without the other, his or her true and lawful attorney-in-fact and agent, with full power of substitution, for him or her and in his or her name, place and stead, in any and all capacities, to sign the Annual Report on Form 10-K of Daktronics, Inc. (the "Company") for the Company's fiscal year ended April 30, 2005,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by the following persons on the dates indicated below their names.</w:t>
      </w:r>
    </w:p>
    <w:p>
      <w:pPr>
        <w:spacing w:after="0" w:line="203"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4"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Robert G. Dutcher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 Dutcher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Nancy D. Frame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Nancy D. Frame</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Roland J. Jensen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Roland J. Jensen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Aelred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Aelred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Frank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B. Morgan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Morgan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John L. Mulligan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Mulligan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Duane E. Sander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Duane E. Sander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A. Vellenga</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2005</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Vellenga</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31.1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B. Morgan, certify that:</w:t>
      </w:r>
    </w:p>
    <w:p>
      <w:pPr>
        <w:spacing w:after="0" w:line="201"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byt 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B. Morgan</w:t>
      </w:r>
    </w:p>
    <w:p>
      <w:pPr>
        <w:ind w:left="5060"/>
        <w:spacing w:after="0" w:line="238" w:lineRule="auto"/>
        <w:rPr>
          <w:sz w:val="20"/>
          <w:szCs w:val="20"/>
          <w:color w:val="auto"/>
        </w:rPr>
      </w:pPr>
      <w:r>
        <w:rPr>
          <w:rFonts w:ascii="Courier New" w:cs="Courier New" w:eastAsia="Courier New" w:hAnsi="Courier New"/>
          <w:sz w:val="18"/>
          <w:szCs w:val="18"/>
          <w:color w:val="auto"/>
        </w:rPr>
        <w:t>James B. Morgan</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July 1, 2005</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31.2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15 U.S.C. SECTION 7241,</w:t>
      </w:r>
    </w:p>
    <w:p>
      <w:pPr>
        <w:sectPr>
          <w:pgSz w:w="11900" w:h="16838" w:orient="portrait"/>
          <w:cols w:equalWidth="0" w:num="1">
            <w:col w:w="10219"/>
          </w:cols>
          <w:pgMar w:left="240" w:top="136" w:right="1440" w:bottom="0" w:gutter="0" w:footer="0" w:header="0"/>
        </w:sectPr>
      </w:pPr>
    </w:p>
    <w:bookmarkStart w:id="43" w:name="page44"/>
    <w:bookmarkEnd w:id="43"/>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R. Retterath, certify that:</w:t>
      </w:r>
    </w:p>
    <w:p>
      <w:pPr>
        <w:spacing w:after="0" w:line="201" w:lineRule="exact"/>
        <w:rPr>
          <w:sz w:val="20"/>
          <w:szCs w:val="20"/>
          <w:color w:val="auto"/>
        </w:rPr>
      </w:pPr>
    </w:p>
    <w:p>
      <w:pPr>
        <w:ind w:left="320" w:hanging="312"/>
        <w:spacing w:after="0"/>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byt 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William R. Retterath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R. Retterath</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 July 1, 2005</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and subsidiaries (the "Company") for the annual period ending April 30, 2005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James B. Morgan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B. Morgan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640"/>
        <w:spacing w:after="0"/>
        <w:rPr>
          <w:sz w:val="20"/>
          <w:szCs w:val="20"/>
          <w:color w:val="auto"/>
        </w:rPr>
      </w:pPr>
      <w:r>
        <w:rPr>
          <w:rFonts w:ascii="Courier New" w:cs="Courier New" w:eastAsia="Courier New" w:hAnsi="Courier New"/>
          <w:sz w:val="18"/>
          <w:szCs w:val="18"/>
          <w:color w:val="auto"/>
        </w:rPr>
        <w:t>July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In connection with the Annual Report on Form 10-K of Daktronics, Inc. and subsidiaries (the "Company") for the annual period ending April 30, 2005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86" w:lineRule="exact"/>
        <w:rPr>
          <w:sz w:val="20"/>
          <w:szCs w:val="20"/>
          <w:color w:val="auto"/>
        </w:rPr>
      </w:pPr>
    </w:p>
    <w:p>
      <w:pPr>
        <w:ind w:left="540" w:right="199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R. Retterath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R. Retterath</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640"/>
        <w:spacing w:after="0"/>
        <w:rPr>
          <w:sz w:val="20"/>
          <w:szCs w:val="20"/>
          <w:color w:val="auto"/>
        </w:rPr>
      </w:pPr>
      <w:r>
        <w:rPr>
          <w:rFonts w:ascii="Courier New" w:cs="Courier New" w:eastAsia="Courier New" w:hAnsi="Courier New"/>
          <w:sz w:val="18"/>
          <w:szCs w:val="18"/>
          <w:color w:val="auto"/>
        </w:rPr>
        <w:t>Junly 1, 2005</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38"/>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2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4"/>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2019-12-14T02:48:37Z</dcterms:created>
  <dcterms:modified xsi:type="dcterms:W3CDTF">2019-12-14T02:48:37Z</dcterms:modified>
</cp:coreProperties>
</file>