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160" w:right="3060" w:hanging="4143"/>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February 1, 2020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1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2"/>
              </w:rPr>
              <w:t>Daktronics, Inc.</w:t>
            </w:r>
          </w:p>
        </w:tc>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340" w:type="dxa"/>
            <w:vAlign w:val="bottom"/>
          </w:tcPr>
          <w:p>
            <w:pPr>
              <w:spacing w:after="0"/>
              <w:rPr>
                <w:sz w:val="17"/>
                <w:szCs w:val="17"/>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c>
          <w:tcPr>
            <w:tcW w:w="240" w:type="dxa"/>
            <w:vAlign w:val="bottom"/>
          </w:tcPr>
          <w:p>
            <w:pPr>
              <w:spacing w:after="0"/>
              <w:rPr>
                <w:sz w:val="17"/>
                <w:szCs w:val="17"/>
                <w:color w:val="auto"/>
              </w:rPr>
            </w:pPr>
          </w:p>
        </w:tc>
      </w:tr>
      <w:tr>
        <w:trPr>
          <w:trHeight w:val="540"/>
        </w:trPr>
        <w:tc>
          <w:tcPr>
            <w:tcW w:w="340" w:type="dxa"/>
            <w:vAlign w:val="bottom"/>
          </w:tcPr>
          <w:p>
            <w:pPr>
              <w:spacing w:after="0"/>
              <w:rPr>
                <w:sz w:val="24"/>
                <w:szCs w:val="24"/>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b w:val="1"/>
                <w:bCs w:val="1"/>
                <w:color w:val="auto"/>
                <w:w w:val="91"/>
              </w:rPr>
              <w:t>South Dakota</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jc w:val="right"/>
              <w:ind w:right="2159"/>
              <w:spacing w:after="0"/>
              <w:rPr>
                <w:sz w:val="20"/>
                <w:szCs w:val="20"/>
                <w:color w:val="auto"/>
              </w:rPr>
            </w:pPr>
            <w:r>
              <w:rPr>
                <w:rFonts w:ascii="Arial" w:cs="Arial" w:eastAsia="Arial" w:hAnsi="Arial"/>
                <w:sz w:val="16"/>
                <w:szCs w:val="16"/>
                <w:b w:val="1"/>
                <w:bCs w:val="1"/>
                <w:color w:val="auto"/>
              </w:rPr>
              <w:t>46-0306862</w:t>
            </w:r>
          </w:p>
        </w:tc>
        <w:tc>
          <w:tcPr>
            <w:tcW w:w="240" w:type="dxa"/>
            <w:vAlign w:val="bottom"/>
          </w:tcPr>
          <w:p>
            <w:pPr>
              <w:spacing w:after="0"/>
              <w:rPr>
                <w:sz w:val="24"/>
                <w:szCs w:val="24"/>
                <w:color w:val="auto"/>
              </w:rPr>
            </w:pPr>
          </w:p>
        </w:tc>
      </w:tr>
      <w:tr>
        <w:trPr>
          <w:trHeight w:val="33"/>
        </w:trPr>
        <w:tc>
          <w:tcPr>
            <w:tcW w:w="3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3"/>
        </w:trPr>
        <w:tc>
          <w:tcPr>
            <w:tcW w:w="340" w:type="dxa"/>
            <w:vAlign w:val="bottom"/>
          </w:tcPr>
          <w:p>
            <w:pPr>
              <w:spacing w:after="0"/>
              <w:rPr>
                <w:sz w:val="18"/>
                <w:szCs w:val="18"/>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color w:val="auto"/>
                <w:w w:val="93"/>
              </w:rPr>
              <w:t>(State or Other Jurisdiction of</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center"/>
              <w:ind w:right="819"/>
              <w:spacing w:after="0"/>
              <w:rPr>
                <w:sz w:val="20"/>
                <w:szCs w:val="20"/>
                <w:color w:val="auto"/>
              </w:rPr>
            </w:pPr>
            <w:r>
              <w:rPr>
                <w:rFonts w:ascii="Arial" w:cs="Arial" w:eastAsia="Arial" w:hAnsi="Arial"/>
                <w:sz w:val="16"/>
                <w:szCs w:val="16"/>
                <w:color w:val="auto"/>
                <w:w w:val="95"/>
              </w:rPr>
              <w:t>(I.R.S. Employer Identification No.)</w:t>
            </w:r>
          </w:p>
        </w:tc>
        <w:tc>
          <w:tcPr>
            <w:tcW w:w="240" w:type="dxa"/>
            <w:vAlign w:val="bottom"/>
          </w:tcPr>
          <w:p>
            <w:pPr>
              <w:spacing w:after="0"/>
              <w:rPr>
                <w:sz w:val="18"/>
                <w:szCs w:val="18"/>
                <w:color w:val="auto"/>
              </w:rPr>
            </w:pPr>
          </w:p>
        </w:tc>
      </w:tr>
      <w:tr>
        <w:trPr>
          <w:trHeight w:val="206"/>
        </w:trPr>
        <w:tc>
          <w:tcPr>
            <w:tcW w:w="340" w:type="dxa"/>
            <w:vAlign w:val="bottom"/>
          </w:tcPr>
          <w:p>
            <w:pPr>
              <w:spacing w:after="0"/>
              <w:rPr>
                <w:sz w:val="17"/>
                <w:szCs w:val="17"/>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color w:val="auto"/>
                <w:w w:val="94"/>
              </w:rPr>
              <w:t>Incorporation or Organization)</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05"/>
        </w:trPr>
        <w:tc>
          <w:tcPr>
            <w:tcW w:w="340" w:type="dxa"/>
            <w:vAlign w:val="bottom"/>
          </w:tcPr>
          <w:p>
            <w:pPr>
              <w:spacing w:after="0"/>
              <w:rPr>
                <w:sz w:val="24"/>
                <w:szCs w:val="24"/>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b w:val="1"/>
                <w:bCs w:val="1"/>
                <w:color w:val="auto"/>
                <w:w w:val="92"/>
              </w:rPr>
              <w:t>201 Daktronics Drive</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b w:val="1"/>
                <w:bCs w:val="1"/>
                <w:color w:val="auto"/>
                <w:w w:val="90"/>
              </w:rPr>
              <w:t>Brookings, SD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right"/>
              <w:ind w:right="2359"/>
              <w:spacing w:after="0"/>
              <w:rPr>
                <w:sz w:val="20"/>
                <w:szCs w:val="20"/>
                <w:color w:val="auto"/>
              </w:rPr>
            </w:pPr>
            <w:r>
              <w:rPr>
                <w:rFonts w:ascii="Arial" w:cs="Arial" w:eastAsia="Arial" w:hAnsi="Arial"/>
                <w:sz w:val="16"/>
                <w:szCs w:val="16"/>
                <w:b w:val="1"/>
                <w:bCs w:val="1"/>
                <w:color w:val="auto"/>
              </w:rPr>
              <w:t>57006</w:t>
            </w:r>
          </w:p>
        </w:tc>
        <w:tc>
          <w:tcPr>
            <w:tcW w:w="24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color w:val="auto"/>
                <w:w w:val="93"/>
              </w:rPr>
              <w:t>(Address of Principal Executive Offices)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center"/>
              <w:ind w:right="819"/>
              <w:spacing w:after="0"/>
              <w:rPr>
                <w:sz w:val="20"/>
                <w:szCs w:val="20"/>
                <w:color w:val="auto"/>
              </w:rPr>
            </w:pPr>
            <w:r>
              <w:rPr>
                <w:rFonts w:ascii="Arial" w:cs="Arial" w:eastAsia="Arial" w:hAnsi="Arial"/>
                <w:sz w:val="16"/>
                <w:szCs w:val="16"/>
                <w:color w:val="auto"/>
                <w:w w:val="95"/>
              </w:rPr>
              <w:t>(Zip Code)</w:t>
            </w:r>
          </w:p>
        </w:tc>
        <w:tc>
          <w:tcPr>
            <w:tcW w:w="240" w:type="dxa"/>
            <w:vAlign w:val="bottom"/>
          </w:tcPr>
          <w:p>
            <w:pPr>
              <w:spacing w:after="0"/>
              <w:rPr>
                <w:sz w:val="18"/>
                <w:szCs w:val="18"/>
                <w:color w:val="auto"/>
              </w:rPr>
            </w:pPr>
          </w:p>
        </w:tc>
      </w:tr>
      <w:tr>
        <w:trPr>
          <w:trHeight w:val="428"/>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3"/>
              </w:rPr>
              <w:t>(605) 692-0200</w:t>
            </w: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6"/>
        </w:trPr>
        <w:tc>
          <w:tcPr>
            <w:tcW w:w="340" w:type="dxa"/>
            <w:vAlign w:val="bottom"/>
          </w:tcPr>
          <w:p>
            <w:pPr>
              <w:spacing w:after="0"/>
              <w:rPr>
                <w:sz w:val="17"/>
                <w:szCs w:val="17"/>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(Registrant’s Telephone Number, Including Area Code)</w:t>
            </w:r>
          </w:p>
        </w:tc>
        <w:tc>
          <w:tcPr>
            <w:tcW w:w="240" w:type="dxa"/>
            <w:vAlign w:val="bottom"/>
          </w:tcPr>
          <w:p>
            <w:pPr>
              <w:spacing w:after="0"/>
              <w:rPr>
                <w:sz w:val="17"/>
                <w:szCs w:val="17"/>
                <w:color w:val="auto"/>
              </w:rPr>
            </w:pPr>
          </w:p>
        </w:tc>
      </w:tr>
      <w:tr>
        <w:trPr>
          <w:trHeight w:val="378"/>
        </w:trPr>
        <w:tc>
          <w:tcPr>
            <w:tcW w:w="340" w:type="dxa"/>
            <w:vAlign w:val="bottom"/>
          </w:tcPr>
          <w:p>
            <w:pPr>
              <w:spacing w:after="0"/>
              <w:rPr>
                <w:sz w:val="24"/>
                <w:szCs w:val="24"/>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40" w:type="dxa"/>
            <w:vAlign w:val="bottom"/>
          </w:tcPr>
          <w:p>
            <w:pPr>
              <w:spacing w:after="0"/>
              <w:rPr>
                <w:sz w:val="24"/>
                <w:szCs w:val="24"/>
                <w:color w:val="auto"/>
              </w:rPr>
            </w:pPr>
          </w:p>
        </w:tc>
      </w:tr>
      <w:tr>
        <w:trPr>
          <w:trHeight w:val="128"/>
        </w:trPr>
        <w:tc>
          <w:tcPr>
            <w:tcW w:w="34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220" w:type="dxa"/>
            <w:vAlign w:val="bottom"/>
            <w:tcBorders>
              <w:right w:val="single" w:sz="8" w:color="auto"/>
            </w:tcBorders>
          </w:tcPr>
          <w:p>
            <w:pPr>
              <w:ind w:left="1340"/>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2"/>
              </w:rPr>
              <w:t>Trading Symbol(s)</w:t>
            </w:r>
          </w:p>
        </w:tc>
        <w:tc>
          <w:tcPr>
            <w:tcW w:w="4380" w:type="dxa"/>
            <w:vAlign w:val="bottom"/>
          </w:tcPr>
          <w:p>
            <w:pPr>
              <w:jc w:val="center"/>
              <w:ind w:left="139"/>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240" w:type="dxa"/>
            <w:vAlign w:val="bottom"/>
            <w:tcBorders>
              <w:right w:val="single" w:sz="8" w:color="auto"/>
            </w:tcBorders>
          </w:tcPr>
          <w:p>
            <w:pPr>
              <w:spacing w:after="0"/>
              <w:rPr>
                <w:sz w:val="18"/>
                <w:szCs w:val="18"/>
                <w:color w:val="auto"/>
              </w:rPr>
            </w:pPr>
          </w:p>
        </w:tc>
      </w:tr>
      <w:tr>
        <w:trPr>
          <w:trHeight w:val="33"/>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Common Stock, No Par Value</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4380" w:type="dxa"/>
            <w:vAlign w:val="bottom"/>
          </w:tcPr>
          <w:p>
            <w:pPr>
              <w:jc w:val="center"/>
              <w:ind w:left="119"/>
              <w:spacing w:after="0"/>
              <w:rPr>
                <w:sz w:val="20"/>
                <w:szCs w:val="20"/>
                <w:color w:val="auto"/>
              </w:rPr>
            </w:pPr>
            <w:r>
              <w:rPr>
                <w:rFonts w:ascii="Arial" w:cs="Arial" w:eastAsia="Arial" w:hAnsi="Arial"/>
                <w:sz w:val="16"/>
                <w:szCs w:val="16"/>
                <w:color w:val="auto"/>
                <w:w w:val="95"/>
              </w:rPr>
              <w:t>NASDAQ Global Select Market</w:t>
            </w:r>
          </w:p>
        </w:tc>
        <w:tc>
          <w:tcPr>
            <w:tcW w:w="240" w:type="dxa"/>
            <w:vAlign w:val="bottom"/>
            <w:tcBorders>
              <w:right w:val="single" w:sz="8" w:color="auto"/>
            </w:tcBorders>
          </w:tcPr>
          <w:p>
            <w:pPr>
              <w:spacing w:after="0"/>
              <w:rPr>
                <w:sz w:val="18"/>
                <w:szCs w:val="18"/>
                <w:color w:val="auto"/>
              </w:rPr>
            </w:pPr>
          </w:p>
        </w:tc>
      </w:tr>
      <w:tr>
        <w:trPr>
          <w:trHeight w:val="33"/>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Preferred Stock Purchase Rights</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4380" w:type="dxa"/>
            <w:vAlign w:val="bottom"/>
          </w:tcPr>
          <w:p>
            <w:pPr>
              <w:jc w:val="center"/>
              <w:ind w:left="119"/>
              <w:spacing w:after="0"/>
              <w:rPr>
                <w:sz w:val="20"/>
                <w:szCs w:val="20"/>
                <w:color w:val="auto"/>
              </w:rPr>
            </w:pPr>
            <w:r>
              <w:rPr>
                <w:rFonts w:ascii="Arial" w:cs="Arial" w:eastAsia="Arial" w:hAnsi="Arial"/>
                <w:sz w:val="16"/>
                <w:szCs w:val="16"/>
                <w:color w:val="auto"/>
                <w:w w:val="95"/>
              </w:rPr>
              <w:t>NASDAQ Global Select Market</w:t>
            </w:r>
          </w:p>
        </w:tc>
        <w:tc>
          <w:tcPr>
            <w:tcW w:w="240" w:type="dxa"/>
            <w:vAlign w:val="bottom"/>
            <w:tcBorders>
              <w:right w:val="single" w:sz="8" w:color="auto"/>
            </w:tcBorders>
          </w:tcPr>
          <w:p>
            <w:pPr>
              <w:spacing w:after="0"/>
              <w:rPr>
                <w:sz w:val="18"/>
                <w:szCs w:val="18"/>
                <w:color w:val="auto"/>
              </w:rPr>
            </w:pPr>
          </w:p>
        </w:tc>
      </w:tr>
      <w:tr>
        <w:trPr>
          <w:trHeight w:val="33"/>
        </w:trPr>
        <w:tc>
          <w:tcPr>
            <w:tcW w:w="340" w:type="dxa"/>
            <w:vAlign w:val="bottom"/>
            <w:tcBorders>
              <w:left w:val="single" w:sz="8" w:color="auto"/>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5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41"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41"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41"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41"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24, 2020 was 45,075,748.</w:t>
      </w:r>
    </w:p>
    <w:p>
      <w:pPr>
        <w:sectPr>
          <w:pgSz w:w="11900" w:h="16838" w:orient="portrait"/>
          <w:cols w:equalWidth="0" w:num="1">
            <w:col w:w="11420"/>
          </w:cols>
          <w:pgMar w:left="240" w:top="441"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February 1, 2020</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4"/>
          </w:tcPr>
          <w:p>
            <w:pPr>
              <w:ind w:left="9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20" w:type="dxa"/>
            <w:vAlign w:val="bottom"/>
            <w:gridSpan w:val="15"/>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20" w:type="dxa"/>
            <w:vAlign w:val="bottom"/>
            <w:gridSpan w:val="3"/>
          </w:tcPr>
          <w:p>
            <w:pPr>
              <w:ind w:left="9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February 1, 2020 and April 27, 2019</w:t>
              </w:r>
            </w:hyperlink>
          </w:p>
        </w:tc>
        <w:tc>
          <w:tcPr>
            <w:tcW w:w="1120" w:type="dxa"/>
            <w:vAlign w:val="bottom"/>
            <w:gridSpan w:val="3"/>
          </w:tcPr>
          <w:p>
            <w:pPr>
              <w:ind w:left="9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Nine Months Ended February</w:t>
              </w:r>
            </w:hyperlink>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1, 2020 and January 26, 2019</w:t>
              </w:r>
            </w:hyperlink>
          </w:p>
        </w:tc>
        <w:tc>
          <w:tcPr>
            <w:tcW w:w="594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Nine Months</w:t>
              </w:r>
            </w:hyperlink>
          </w:p>
        </w:tc>
        <w:tc>
          <w:tcPr>
            <w:tcW w:w="120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Ended February 1, 2020 and January 26, 2019</w:t>
              </w:r>
            </w:hyperlink>
          </w:p>
        </w:tc>
        <w:tc>
          <w:tcPr>
            <w:tcW w:w="474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Shareholders' Equity for the Three and Nine Months Ended</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February 1, 2020 and January 26, 2019</w:t>
              </w:r>
            </w:hyperlink>
          </w:p>
        </w:tc>
        <w:tc>
          <w:tcPr>
            <w:tcW w:w="4320" w:type="dxa"/>
            <w:vAlign w:val="bottom"/>
            <w:tcBorders>
              <w:top w:val="single" w:sz="8" w:color="0000EE"/>
            </w:tcBorders>
            <w:gridSpan w:val="8"/>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Nine Months Ended February 1, 2020</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and January 26, 2019</w:t>
              </w:r>
            </w:hyperlink>
          </w:p>
        </w:tc>
        <w:tc>
          <w:tcPr>
            <w:tcW w:w="5460" w:type="dxa"/>
            <w:vAlign w:val="bottom"/>
            <w:tcBorders>
              <w:top w:val="single" w:sz="8" w:color="0000EE"/>
            </w:tcBorders>
            <w:gridSpan w:val="11"/>
          </w:tcPr>
          <w:p>
            <w:pPr>
              <w:spacing w:after="0"/>
              <w:rPr>
                <w:sz w:val="17"/>
                <w:szCs w:val="17"/>
                <w:color w:val="auto"/>
              </w:rPr>
            </w:pPr>
          </w:p>
        </w:tc>
        <w:tc>
          <w:tcPr>
            <w:tcW w:w="10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the Condensed Consolidated Financial Statements</w:t>
              </w:r>
            </w:hyperlink>
          </w:p>
        </w:tc>
        <w:tc>
          <w:tcPr>
            <w:tcW w:w="3800" w:type="dxa"/>
            <w:vAlign w:val="bottom"/>
            <w:gridSpan w:val="6"/>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620" w:type="dxa"/>
            <w:vAlign w:val="bottom"/>
            <w:gridSpan w:val="2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280" w:type="dxa"/>
            <w:vAlign w:val="bottom"/>
            <w:gridSpan w:val="4"/>
          </w:tcPr>
          <w:p>
            <w:pPr>
              <w:ind w:left="940"/>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62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280" w:type="dxa"/>
            <w:vAlign w:val="bottom"/>
            <w:gridSpan w:val="4"/>
          </w:tcPr>
          <w:p>
            <w:pPr>
              <w:ind w:left="94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280" w:type="dxa"/>
            <w:vAlign w:val="bottom"/>
            <w:tcBorders>
              <w:left w:val="single" w:sz="8" w:color="0000FF"/>
            </w:tcBorders>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862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280" w:type="dxa"/>
            <w:vAlign w:val="bottom"/>
            <w:gridSpan w:val="4"/>
          </w:tcPr>
          <w:p>
            <w:pPr>
              <w:ind w:left="94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w:t>
              </w:r>
            </w:hyperlink>
          </w:p>
        </w:tc>
        <w:tc>
          <w:tcPr>
            <w:tcW w:w="8620" w:type="dxa"/>
            <w:vAlign w:val="bottom"/>
            <w:gridSpan w:val="2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Other Information</w:t>
              </w:r>
            </w:hyperlink>
          </w:p>
        </w:tc>
        <w:tc>
          <w:tcPr>
            <w:tcW w:w="1280" w:type="dxa"/>
            <w:vAlign w:val="bottom"/>
            <w:gridSpan w:val="4"/>
          </w:tcPr>
          <w:p>
            <w:pPr>
              <w:ind w:left="94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Item 1.</w:t>
              </w:r>
            </w:hyperlink>
          </w:p>
        </w:tc>
        <w:tc>
          <w:tcPr>
            <w:tcW w:w="80" w:type="dxa"/>
            <w:vAlign w:val="bottom"/>
            <w:tcBorders>
              <w:bottom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Legal Proceedings</w:t>
              </w:r>
            </w:hyperlink>
          </w:p>
        </w:tc>
        <w:tc>
          <w:tcPr>
            <w:tcW w:w="120" w:type="dxa"/>
            <w:vAlign w:val="bottom"/>
          </w:tcPr>
          <w:p>
            <w:pPr>
              <w:spacing w:after="0"/>
              <w:rPr>
                <w:sz w:val="21"/>
                <w:szCs w:val="21"/>
                <w:color w:val="auto"/>
              </w:rPr>
            </w:pPr>
          </w:p>
        </w:tc>
        <w:tc>
          <w:tcPr>
            <w:tcW w:w="7180" w:type="dxa"/>
            <w:vAlign w:val="bottom"/>
            <w:gridSpan w:val="16"/>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Risk Factors</w:t>
              </w:r>
            </w:hyperlink>
          </w:p>
        </w:tc>
        <w:tc>
          <w:tcPr>
            <w:tcW w:w="7720" w:type="dxa"/>
            <w:vAlign w:val="bottom"/>
            <w:gridSpan w:val="19"/>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62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1280" w:type="dxa"/>
            <w:vAlign w:val="bottom"/>
            <w:gridSpan w:val="4"/>
          </w:tcPr>
          <w:p>
            <w:pPr>
              <w:ind w:left="94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862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50"/>
        </w:trPr>
        <w:tc>
          <w:tcPr>
            <w:tcW w:w="820" w:type="dxa"/>
            <w:vAlign w:val="bottom"/>
            <w:tcBorders>
              <w:top w:val="single" w:sz="8" w:color="0000FF"/>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2300" w:type="dxa"/>
            <w:vAlign w:val="bottom"/>
            <w:tcBorders>
              <w:top w:val="single" w:sz="8" w:color="0000FF"/>
            </w:tcBorders>
            <w:gridSpan w:val="1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6320" w:type="dxa"/>
            <w:vAlign w:val="bottom"/>
            <w:gridSpan w:val="12"/>
          </w:tcPr>
          <w:p>
            <w:pPr>
              <w:spacing w:after="0"/>
              <w:rPr>
                <w:sz w:val="21"/>
                <w:szCs w:val="21"/>
                <w:color w:val="auto"/>
              </w:rPr>
            </w:pPr>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5.</w:t>
              </w:r>
            </w:hyperlink>
          </w:p>
        </w:tc>
        <w:tc>
          <w:tcPr>
            <w:tcW w:w="862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8620" w:type="dxa"/>
            <w:vAlign w:val="bottom"/>
            <w:gridSpan w:val="2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4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7">
              <w:r>
                <w:rPr>
                  <w:rFonts w:ascii="Arial" w:cs="Arial" w:eastAsia="Arial" w:hAnsi="Arial"/>
                  <w:sz w:val="18"/>
                  <w:szCs w:val="18"/>
                  <w:b w:val="1"/>
                  <w:bCs w:val="1"/>
                  <w:color w:val="0000FF"/>
                  <w:w w:val="83"/>
                </w:rPr>
                <w:t>Signatures</w:t>
              </w:r>
            </w:hyperlink>
          </w:p>
        </w:tc>
        <w:tc>
          <w:tcPr>
            <w:tcW w:w="8620" w:type="dxa"/>
            <w:vAlign w:val="bottom"/>
            <w:gridSpan w:val="22"/>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8">
              <w:r>
                <w:rPr>
                  <w:rFonts w:ascii="Arial" w:cs="Arial" w:eastAsia="Arial" w:hAnsi="Arial"/>
                  <w:sz w:val="18"/>
                  <w:szCs w:val="18"/>
                  <w:b w:val="1"/>
                  <w:bCs w:val="1"/>
                  <w:color w:val="0000FF"/>
                  <w:w w:val="90"/>
                </w:rPr>
                <w:t>Index to Exhibits</w:t>
              </w:r>
            </w:hyperlink>
          </w:p>
        </w:tc>
        <w:tc>
          <w:tcPr>
            <w:tcW w:w="8120" w:type="dxa"/>
            <w:vAlign w:val="bottom"/>
            <w:gridSpan w:val="21"/>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53"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84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1000" w:type="dxa"/>
            <w:vAlign w:val="bottom"/>
          </w:tcPr>
          <w:p>
            <w:pPr>
              <w:spacing w:after="0"/>
              <w:rPr>
                <w:sz w:val="24"/>
                <w:szCs w:val="24"/>
                <w:color w:val="auto"/>
              </w:rPr>
            </w:pPr>
          </w:p>
        </w:tc>
        <w:tc>
          <w:tcPr>
            <w:tcW w:w="7440" w:type="dxa"/>
            <w:vAlign w:val="bottom"/>
          </w:tcPr>
          <w:p>
            <w:pPr>
              <w:jc w:val="center"/>
              <w:ind w:left="1710"/>
              <w:spacing w:after="0"/>
              <w:rPr>
                <w:sz w:val="20"/>
                <w:szCs w:val="20"/>
                <w:color w:val="auto"/>
              </w:rPr>
            </w:pPr>
            <w:r>
              <w:rPr>
                <w:rFonts w:ascii="Arial" w:cs="Arial" w:eastAsia="Arial" w:hAnsi="Arial"/>
                <w:sz w:val="18"/>
                <w:szCs w:val="18"/>
                <w:b w:val="1"/>
                <w:bCs w:val="1"/>
                <w:color w:val="auto"/>
              </w:rPr>
              <w:t>DAKTRONICS, INC. AND SUBSIDIARIES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744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440" w:type="dxa"/>
            <w:vAlign w:val="bottom"/>
          </w:tcPr>
          <w:p>
            <w:pPr>
              <w:jc w:val="center"/>
              <w:ind w:left="1730"/>
              <w:spacing w:after="0"/>
              <w:rPr>
                <w:sz w:val="20"/>
                <w:szCs w:val="20"/>
                <w:color w:val="auto"/>
              </w:rPr>
            </w:pPr>
            <w:r>
              <w:rPr>
                <w:rFonts w:ascii="Arial" w:cs="Arial" w:eastAsia="Arial" w:hAnsi="Arial"/>
                <w:sz w:val="18"/>
                <w:szCs w:val="18"/>
                <w:color w:val="auto"/>
                <w:w w:val="87"/>
              </w:rPr>
              <w:t>(in thousands, except per share data)</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7440" w:type="dxa"/>
            <w:vAlign w:val="bottom"/>
          </w:tcPr>
          <w:p>
            <w:pPr>
              <w:jc w:val="center"/>
              <w:ind w:left="173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0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20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65,487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Contract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33,704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and other assets available for sale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253,673</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358,725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349,216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49,870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84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139,798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134,072</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contract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Other long-term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4" w:right="419" w:bottom="1440" w:gutter="0" w:footer="0" w:header="0"/>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240" w:top="114" w:right="41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115,000,000 shares; 45,722,110 and 45,317,267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at February 1, 2020 and April 27, 2019,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59,276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57,699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88,407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93,593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681,776 and 303,957 shares at February 1, 2020 and April 27, 2019,</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358,725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349,216</w:t>
            </w:r>
          </w:p>
        </w:tc>
      </w:tr>
      <w:tr>
        <w:trPr>
          <w:trHeight w:val="163"/>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122" w:right="4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26,</w:t>
            </w: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127,657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441,949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103,175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90,200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372,750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336,076</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24,482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105,873</w:t>
            </w: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16,552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48,040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25,685</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8,442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29,063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26,611</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100,336</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5,537</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77"/>
        </w:trPr>
        <w:tc>
          <w:tcPr>
            <w:tcW w:w="50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3,497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(4,120)</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9,861</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45,189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45,018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44,834</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45,189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45,139</w:t>
            </w: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0"/>
        </w:trPr>
        <w:tc>
          <w:tcPr>
            <w:tcW w:w="5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26,</w:t>
            </w:r>
          </w:p>
        </w:tc>
      </w:tr>
      <w:tr>
        <w:trPr>
          <w:trHeight w:val="234"/>
        </w:trPr>
        <w:tc>
          <w:tcPr>
            <w:tcW w:w="52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February 1, 2020</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9,861</w:t>
            </w:r>
          </w:p>
        </w:tc>
      </w:tr>
      <w:tr>
        <w:trPr>
          <w:trHeight w:val="284"/>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Unrealized gain (loss) on available-for-sale securities,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8,349</w:t>
            </w: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($0.05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Treasury stock purchase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192,193</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($0.05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purchase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2, 2019</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59,276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103,397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198,011</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($0.05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purchase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February 1,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59,276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44,096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88,407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182,975</w:t>
            </w:r>
          </w:p>
        </w:tc>
      </w:tr>
      <w:tr>
        <w:trPr>
          <w:trHeight w:val="311"/>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197,616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199,445</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27, 2018</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114,033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204,737</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January 26,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57,699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41,949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107,563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201,151</w:t>
            </w:r>
          </w:p>
        </w:tc>
      </w:tr>
      <w:tr>
        <w:trPr>
          <w:trHeight w:val="311"/>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Loss on sale of property, equipment and other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Contingent consideration adjustment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32,187</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(25,337)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and loans to equity investment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10,034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35,742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40,376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33,307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paid (received) for: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62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624"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disclosures normally included in financial statements prepared in accordance with GAAP have been condensed or omitted. The balance sheet at April 27, 2019,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April 27, 2019,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April 27, 2019 consisted of 52 weeks. Fiscal 2020 will be a 53-week year; therefore, the nine months ended February 1, 2020 contains operating results for 40 weeks while the nine months ended January 26, 2019 contains operating results for 39 weeks.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 of cash flows: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33,281</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cash, cash equivalents, and restricted cash shown in the condensed consolidated statement of cash</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40,376</w:t>
            </w:r>
          </w:p>
        </w:tc>
        <w:tc>
          <w:tcPr>
            <w:tcW w:w="2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33,307</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April 27, 2019, other than described in the Accounting Standards Adopted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7"/>
          <w:szCs w:val="17"/>
          <w:i w:val="1"/>
          <w:iCs w:val="1"/>
          <w:color w:val="auto"/>
        </w:rPr>
        <w:t xml:space="preserve">Codification Improvements to Topic 842 (Leases) </w:t>
      </w:r>
      <w:r>
        <w:rPr>
          <w:rFonts w:ascii="Arial" w:cs="Arial" w:eastAsia="Arial" w:hAnsi="Arial"/>
          <w:sz w:val="17"/>
          <w:szCs w:val="17"/>
          <w:color w:val="auto"/>
        </w:rPr>
        <w:t>and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which provide (i) narrow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how to apply certain aspects of the new lease standard, (ii) entities with an additional transition method to adopt the new standard, and (iii) lessors with a practical expedient for separating components of a contract.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adopted ASU 2016-02 and its related guidance during the first quarter of fiscal 2020 for all agreements existing as of April 28, 2019. We elected the "comparatives under Accounting Standards Codification ("ASC") 840 option" as a transitional method, which allows us to initially apply the new lease requirements at the effective date. Comparative periods were not adjusted and will continue to be reported in accordance with prior lease guidance under ASC</w:t>
      </w:r>
    </w:p>
    <w:p>
      <w:pPr>
        <w:jc w:val="both"/>
        <w:ind w:firstLine="8"/>
        <w:spacing w:after="0" w:line="287"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elected the package of practical expedients, which permits us not to reassess our prior conclusions about lease identification, lease classification and initial direct costs. In addition, we have elected the short-term lease recognition whereby we will not recognize operating leases related assets or liabilities for leases with a lease term of less than one year. We have also elected the practical expedient to not separate lease and non-lease components in the lease payments for all asset classes. This adoption did not have an impact on our condensed consolidated statements of operations, shareholders' equity and cash flows, and there was no adjustment to retained earnings. As of April 28, 2019, we recognized a right of use asset for operating leases of $11,101 and a current and non-current lease liability for operating leases of $2,745 and $8,356, respectively. The right of use operating assets are included in the "Investment in affiliates and other assets" line item, the current lease liabilities are included in the "Accrued expenses" line item, and the non-current lease liabilities are included in the "Other long-term obligations" line item in our condensed consolidated balance sheet. See "Note 12. Leases"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condensed consolidated financial statements and related disclosures.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including all subsequent amendments and improvements to ASC Topic 326 issued by FASB, will have on our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Investments in affiliates over which we have significant influence are accounted for under the equity method of accounting in accordance with the provisions of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affiliates over which we do not have the ability to exert significant influence over the affiliate's operating and financing activities are accounted for under the cost method of accounting in accordance with the provisions of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We have evaluated our relationships with our affiliates and have determined that these entities are not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aggregate amount of investments accounted for under the equity method was $3,268 and $3,657 at February 1, 2020 and April 27, 2019, respectively. The equity method requires us to report our share of losses up to our equity investment amount. Cash paid for investments in affiliates and loans to affiliates are included in the "Purchases of and loans to equity investment" line item in our condensed consolidated statements of cash flows. Our proportional share of the respective affiliates' earnings or losses is included in the "Other income (expense), net" line item in our condensed consolidated statements of operations. For the nine months ended February 1, 2020 and January 26, 2019, our share of the losses of our affiliates was $430 and $392,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follow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net (loss) income and common share amounts used in the calculation of basic and diluted EPS for the three and nine months ended February 1, 2020 and January 26,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Net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Per share (loss)</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February 1, 2020</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45,189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45,189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26, 2019</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45,018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45,018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February 1, 2020</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45,139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45,412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26, 2019</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44,834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45,139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2,193 shares of common stock with a weighted average exercise price of $9.92 for the three months ended February 1, 2020 and 2,308 shares of common stock with a weighted average exercise price of $9.98 for the three months ended January 26, 2019 were not included in the computation of diluted (loss)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2,223 shares of common stock with a weighted average exercise price of $9.95 for the nine months ended February 1, 2020 and 2,328 shares of common stock with a weighted average exercise price of $9.98 for the nine months ended January 26, 2019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2"/>
              </w:rPr>
              <w:t>Three Months Ended February 1, 2020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27,459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53,231</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26,304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61,351</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13,075</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36,880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127,657</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26,555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8,614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11,008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62,940</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64,717</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36,880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127,657</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8"/>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2"/>
              </w:rPr>
              <w:t>Nine Months Ended February 1, 2020</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114,459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223,955</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80,193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60,349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19,550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219,417</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39,452</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120,566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159,196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75,433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74,365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482,824</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81,562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30,903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55,791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19,901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222,853</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39,004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259,971</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120,566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159,196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75,433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74,365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482,824</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1"/>
              </w:rPr>
              <w:t>Three Months Ended January 26, 2019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44,379</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57,688</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13,002</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115,069</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28,105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60,028</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55,041</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115,069</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8"/>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1"/>
              </w:rPr>
              <w:t>Nine Months Ended January 26, 2019</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95,695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198,709</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82,605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53,964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208,060</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35,180</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113,797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134,566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74,498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68,464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441,949</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84,584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26,796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48,932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19,410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31,364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211,086</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230,863</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113,797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134,566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74,498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68,464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441,949</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April 27, 2019</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Dollar Change</w:t>
            </w:r>
          </w:p>
        </w:tc>
        <w:tc>
          <w:tcPr>
            <w:tcW w:w="1420" w:type="dxa"/>
            <w:vAlign w:val="bottom"/>
          </w:tcPr>
          <w:p>
            <w:pPr>
              <w:ind w:left="100"/>
              <w:spacing w:after="0"/>
              <w:rPr>
                <w:sz w:val="20"/>
                <w:szCs w:val="20"/>
                <w:color w:val="auto"/>
              </w:rPr>
            </w:pPr>
            <w:r>
              <w:rPr>
                <w:rFonts w:ascii="Arial" w:cs="Arial" w:eastAsia="Arial" w:hAnsi="Arial"/>
                <w:sz w:val="18"/>
                <w:szCs w:val="18"/>
                <w:b w:val="1"/>
                <w:bCs w:val="1"/>
                <w:color w:val="auto"/>
                <w:w w:val="94"/>
              </w:rPr>
              <w:t>Percent Change</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4.6%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color w:val="auto"/>
              </w:rPr>
              <w:t>5.7</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6.2</w:t>
            </w:r>
          </w:p>
        </w:tc>
      </w:tr>
      <w:tr>
        <w:trPr>
          <w:trHeight w:val="27"/>
        </w:trPr>
        <w:tc>
          <w:tcPr>
            <w:tcW w:w="3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changes in our contract assets and contract liabilities from April 27, 2019 to February 1, 2020 were due to the timing of billing schedules and revenue recognition, which can vary significantly depending on the contractual payment terms and the seasonality of the sports markets. We had no material impairments of contract assets for the nine months ended February 1, 2020.</w:t>
      </w:r>
    </w:p>
    <w:p>
      <w:pPr>
        <w:sectPr>
          <w:pgSz w:w="11900" w:h="16838" w:orient="portrait"/>
          <w:cols w:equalWidth="0" w:num="1">
            <w:col w:w="11420"/>
          </w:cols>
          <w:pgMar w:left="240" w:top="122"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27, 2019, we had six contracts in progress that were identified as loss contracts, for which we recorded a provision for losses of $2,353 and two remaining contracts with loss estimates of $44 as of February 1, 2020. These were included in the "Accrued expenses" line item in our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February 1, 2020, we recognized revenue of $43,394 related to our contract liabilities as of April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February 1, 2020, the aggregate amount of the transaction price allocated to the remaining performance obligations was $247,332. We expect approximately $209,949 of our remaining performance obligations to be recognized over the next 12 months with the remainder recognized thereafter. Remaining performance obligations related to product and service agreements are $187,423 and $59,909,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organize and manage our business by the following five segments which meet the definition of reportable segments under ASC 280-10,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Commercial, Live Events, High School Park and Recreation, Transportation, and International. These segments are based on the customer type or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geography and are the same as our business units. We evaluate segment performance based on operating results through contribution margin, which is comprised of gross profit less selling expense. We exclude general and administration expense, product design and development expense, non-operating income and expense, and income tax expense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36,880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113,797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40,571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159,196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134,566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14,775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74,498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13,916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53,264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50,624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74,365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68,464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127,657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115,069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482,824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441,949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4,316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24,482</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24,869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110,074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105,873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4,055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3,258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14,245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7,930</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59,048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57,833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26,698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25,685</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29,063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(12,734)</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(1) Contribution margin consists of gross profit less selling expense.</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361,679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82,911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80,270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441,949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February 1,</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27,</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59,192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6,122</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 the condensed consolidated balance sheets. As it relates to fixed income marketable securities, it is not likely we will be required to sell any of these investments before recovery of the entire amortized cost basis. In addition, as of February 1, 2020,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2020 and April 27, 2019,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February 1, 2020</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67"/>
        </w:trPr>
        <w:tc>
          <w:tcPr>
            <w:tcW w:w="4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3,464</w:t>
            </w:r>
          </w:p>
        </w:tc>
        <w:tc>
          <w:tcPr>
            <w:tcW w:w="1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10,510</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26,379</w:t>
            </w:r>
          </w:p>
        </w:tc>
        <w:tc>
          <w:tcPr>
            <w:tcW w:w="1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condensed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nine months ended February 1, 2020 and January 26, 2019, the reclassifications from accumulated other comprehensive loss to net earnings were immaterial.</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February 1, 2020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Less than 12</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months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37"/>
        </w:trPr>
        <w:tc>
          <w:tcPr>
            <w:tcW w:w="60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w:t>
            </w:r>
          </w:p>
        </w:tc>
      </w:tr>
      <w:tr>
        <w:trPr>
          <w:trHeight w:val="27"/>
        </w:trPr>
        <w:tc>
          <w:tcPr>
            <w:tcW w:w="6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AJT Systems, Inc.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the net assets of AJT Systems, Inc. ("AJT"), a Florida-based company, on June 21, 2018. The results of its operations have been included in our condensed consolidated financial statements since the date of acquisition. We have not made pro forma disclosures about our acquisition of AJT because the results of its operations are not material to our condensed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 and with payments made over a three-year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February 1, 2020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February 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7,934</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November 4, 2019 and concluded no goodwill impairment existed.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9. Selected Financial Statement Data</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30,789</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11,468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36,657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39,804</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80,206</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7"/>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68,208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66,403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96,486</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6,160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53,067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55,460</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8,060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246,668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241,706</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180,300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176,392</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0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66,368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$2,466 and $2,208 at February 1, 2020 and April 27, 2019, respectively. Included in accounts receivable as of February 1, 2020 and April 27, 2019 was $265 and $440, respectively, of retainage on construction-type contracts, all of which is expected to be collected within one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contracts with customers, we agree to installment payments exceeding 12 months. The present value of these contracts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$6,858 and $3,514 as of February 1, 2020 and April 27, 2019, respectively. Contract receivables bearing annual interest rates of 5.0 to 9.0 percent are due in varying annual installments through 2024. The face value of long-term receivables was $7,990 as of February 1, 2020 and $3,271 as of April 27,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January 26, 2019, we had no repurchases of shares of our outstanding common stock. During the nine months ended February 1, 2020, we repurchased 378 shares of common stock at a total cost of $2,329. As of February 1, 2020, we had $35,846 of remaining capacity under our current share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facilities and various equipment to manufacture products and provide employee collaboration space and tools. These are all classified as operating leases and have initial lease terms ranging from one to five years. These operating leases do not contain material</w:t>
      </w:r>
    </w:p>
    <w:p>
      <w:pPr>
        <w:sectPr>
          <w:pgSz w:w="11900" w:h="16838" w:orient="portrait"/>
          <w:cols w:equalWidth="0" w:num="1">
            <w:col w:w="11420"/>
          </w:cols>
          <w:pgMar w:left="240" w:top="114"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4"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residual value guarantees or material restrictive covenants. Our lease in Sioux Falls, SD has a purchase option. We do not have any financing leases.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determine if an arrangement is a lease at inception.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commencement date based on the present value of lease payments over the lease term. As our leases do not provide an implicit rate, we use the incremental borrowing rate based on the information available at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lease cost is recognized on a straight-line basis over the lease term, and short-term lease cost is recognized when paid. During the three and nine months ended February 1, 2020, the operating lease cost was $886 and $2,748, respectively, which includes immaterial short-term leases. Both are recognized in cost of sales and operating expenses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2020, the weighted average remaining lease term and discount rate related to operating leases was 5.1 years and 3.5%.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Supplemental unaudited cash flow information related to operating leases include:</w:t>
            </w: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0"/>
        </w:trPr>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February 1, 2020</w:t>
            </w:r>
          </w:p>
        </w:tc>
        <w:tc>
          <w:tcPr>
            <w:tcW w:w="180" w:type="dxa"/>
            <w:vAlign w:val="bottom"/>
          </w:tcPr>
          <w:p>
            <w:pPr>
              <w:spacing w:after="0"/>
              <w:rPr>
                <w:sz w:val="20"/>
                <w:szCs w:val="20"/>
                <w:color w:val="auto"/>
              </w:rPr>
            </w:pPr>
          </w:p>
        </w:tc>
        <w:tc>
          <w:tcPr>
            <w:tcW w:w="19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1, 2020</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250"/>
              <w:spacing w:after="0"/>
              <w:rPr>
                <w:sz w:val="20"/>
                <w:szCs w:val="20"/>
                <w:color w:val="auto"/>
              </w:rPr>
            </w:pPr>
            <w:r>
              <w:rPr>
                <w:rFonts w:ascii="Arial" w:cs="Arial" w:eastAsia="Arial" w:hAnsi="Arial"/>
                <w:sz w:val="18"/>
                <w:szCs w:val="18"/>
                <w:color w:val="auto"/>
              </w:rPr>
              <w:t>823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2,426</w:t>
            </w:r>
          </w:p>
        </w:tc>
      </w:tr>
      <w:tr>
        <w:trPr>
          <w:trHeight w:val="459"/>
        </w:trPr>
        <w:tc>
          <w:tcPr>
            <w:tcW w:w="9120" w:type="dxa"/>
            <w:vAlign w:val="bottom"/>
            <w:gridSpan w:val="4"/>
          </w:tcPr>
          <w:p>
            <w:pPr>
              <w:spacing w:after="0"/>
              <w:rPr>
                <w:sz w:val="20"/>
                <w:szCs w:val="20"/>
                <w:color w:val="auto"/>
              </w:rPr>
            </w:pPr>
            <w:r>
              <w:rPr>
                <w:rFonts w:ascii="Arial" w:cs="Arial" w:eastAsia="Arial" w:hAnsi="Arial"/>
                <w:sz w:val="18"/>
                <w:szCs w:val="18"/>
                <w:color w:val="auto"/>
                <w:w w:val="96"/>
              </w:rPr>
              <w:t>Future minimum operating lease payments as of, and subsequent to, February 1, 2020 under ASC 842 are as follows:</w:t>
            </w: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Operating Leases</w:t>
            </w:r>
            <w:r>
              <w:rPr>
                <w:rFonts w:ascii="Arial" w:cs="Arial" w:eastAsia="Arial" w:hAnsi="Arial"/>
                <w:sz w:val="25"/>
                <w:szCs w:val="25"/>
                <w:b w:val="1"/>
                <w:bCs w:val="1"/>
                <w:color w:val="auto"/>
                <w:w w:val="86"/>
                <w:vertAlign w:val="superscript"/>
              </w:rPr>
              <w:t>(1)</w:t>
            </w:r>
          </w:p>
        </w:tc>
      </w:tr>
      <w:tr>
        <w:trPr>
          <w:trHeight w:val="237"/>
        </w:trPr>
        <w:tc>
          <w:tcPr>
            <w:tcW w:w="220" w:type="dxa"/>
            <w:vAlign w:val="bottom"/>
          </w:tcPr>
          <w:p>
            <w:pPr>
              <w:spacing w:after="0"/>
              <w:rPr>
                <w:sz w:val="20"/>
                <w:szCs w:val="20"/>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Fiscal years ending</w:t>
            </w: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6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2,768</w:t>
            </w:r>
          </w:p>
        </w:tc>
      </w:tr>
      <w:tr>
        <w:trPr>
          <w:trHeight w:val="27"/>
        </w:trPr>
        <w:tc>
          <w:tcPr>
            <w:tcW w:w="6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r>
      <w:tr>
        <w:trPr>
          <w:trHeight w:val="243"/>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6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r>
      <w:tr>
        <w:trPr>
          <w:trHeight w:val="243"/>
        </w:trPr>
        <w:tc>
          <w:tcPr>
            <w:tcW w:w="2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2,398</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10,231</w:t>
            </w:r>
          </w:p>
        </w:tc>
      </w:tr>
      <w:tr>
        <w:trPr>
          <w:trHeight w:val="243"/>
        </w:trPr>
        <w:tc>
          <w:tcPr>
            <w:tcW w:w="2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9,368</w:t>
            </w:r>
          </w:p>
        </w:tc>
      </w:tr>
      <w:tr>
        <w:trPr>
          <w:trHeight w:val="20"/>
        </w:trPr>
        <w:tc>
          <w:tcPr>
            <w:tcW w:w="2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Includes $3,879 to extend the term of our Sioux Falls, South Dakota manufacturing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1, 2020 and April 27, 2019, $2,025 and $1,072, respectively, were included in the "Accrued expenses" line item in our condensed consolidated balance sheets for a probable and reasonably estimated cost to settle a patent litigation claim. The costs are included in cost of sales in the High School Park and Recreation business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other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Changes in our warranty obligation for the nine months ended February 1, 2020 consisted of the following:</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1, 2020</w:t>
            </w:r>
          </w:p>
        </w:tc>
      </w:tr>
      <w:tr>
        <w:trPr>
          <w:trHeight w:val="27"/>
        </w:trPr>
        <w:tc>
          <w:tcPr>
            <w:tcW w:w="5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8,623</w:t>
            </w:r>
          </w:p>
        </w:tc>
      </w:tr>
      <w:tr>
        <w:trPr>
          <w:trHeight w:val="27"/>
        </w:trPr>
        <w:tc>
          <w:tcPr>
            <w:tcW w:w="5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(7,466)</w:t>
            </w:r>
          </w:p>
        </w:tc>
      </w:tr>
      <w:tr>
        <w:trPr>
          <w:trHeight w:val="229"/>
        </w:trPr>
        <w:tc>
          <w:tcPr>
            <w:tcW w:w="566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6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25,715</w:t>
            </w:r>
          </w:p>
        </w:tc>
      </w:tr>
      <w:tr>
        <w:trPr>
          <w:trHeight w:val="20"/>
        </w:trPr>
        <w:tc>
          <w:tcPr>
            <w:tcW w:w="5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February 1, 2020, we had outstanding letters of credit and surety bonds in the amount of $14,760 and $5,335,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February 1, 2020, we were not aware of any indemnification claim from a customer.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cloud-based information systems,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and various other products and services over periods that extend beyond one year. As of February 1, 2020, we were obligated under the following unconditional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and operating in multiple state and foreign jurisdictions, our effective tax rate is subject to fluctuation.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nine months ended February 1, 2020 increased to 51.6 percent as compared to a negative 71.8 percent for the nine months ended January 26, 2019. The quarterly change in the effective tax rate was caused by discrete one-time impacts of $3,255 recognized in the third quarter of fiscal 2019 due to the release of a tax reserve for a lapse of the statute and a valuation allowance reversal related to foreign net operating loss carryforwards. The estimated effective tax rate for fiscal 2020 of 51.6 percent is the result of the expected net taxes and credits being higher as a proportion of expected pre-tax earnings.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Fiscal years 2017, 2018 and 2019 remain open to federal tax examinations, and fiscal years 2016, 2017, 2018 and 2019 remain open for various state income tax examinations. Certain subsidiaries are also subject to income tax in several foreign jurisdictions which have open tax years varying by jurisdiction beginning in fiscal 2009. In the event of any future tax assessments, we have elected to record the income taxes and any related interest and penalties as income tax expense in our condensed consolidated statement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1, 2020, undistributed earnings of our foreign subsidiaries are considered to be reinvested indefinitely. Additionally, we had $576 of unrecognized tax benefits which would reduce our effective tax rate if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February 1, 2020 and April 27, 2019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February 1, 2020</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40,316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40,376</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41,197</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35,383</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10,774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46,516</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2"/>
              </w:rPr>
              <w:t>A roll forward of the Level 3 contingent liabilities, both short- and long-term, for the nine months ended February 1, 2020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 as of April 27, 2019</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w w:val="97"/>
              </w:rPr>
              <w:t>Acquisition-related contingent consideration as of February 1, 2020</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2019. For additional information, see our Annual Report on Form 10-K for the fiscal year ended April 27, 2019 for the methods and assumptions used to estimate the fair value of each class of financial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condensed consolidated balance sheets within accounts receivable or accounts payable measured at fair value, and changes in fair values are recognized in earnings unless specific hedge accounting criteria are met for cash flow or net investment hedges. As of February 1, 2020 and April 27, 2019, we had not designated any of our derivative instruments as accounting hedges, and thus we recorded the changes in fair value in the "Other income (expense), net" line item in the condensed consolidated statements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February 1, 2020 and April 27, 2019 were as follows: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February 1, 2020</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3,377</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Dollars/Swiss Franc</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Dollars/Malaysian Ringgit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1, 2020, there was an asset and liability of $50 and $227, respectively; and as of April 27, 2019, there was an asset and liability of $91 and $4, respectively, representing the fair value of foreign currency exchange forward contracts, which were determined using Level 2 inputs from a third-party bank. As of February 1, 2020, all contracts mature within 13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February 25, 2020, our Board of Directors declared a dividend of $0.05 per share payable on March 19, 2020 to shareholders of record of our common stock on March 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and (xiv.)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2019 in the section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 sales can be impacted by outdoor weather conditions and the construction season. Our third fiscal quarter tends to be a slower quarter because it includes two holidays, it is affected by sports seasonality, and generally less outdoor construction work occurs due to weather conditions.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tend to fluctuate more on uniquely configured orders than on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GAAP, and our methodology for determining backlog may vary from the methodology used by other companies in determining their backlog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5. Segment Reporting" of the Notes to the Condensed Consolidated Financial Statements included elsewhere in this Report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measure our success using a variety of measures including:</w:t>
      </w:r>
    </w:p>
    <w:p>
      <w:pPr>
        <w:spacing w:after="0" w:line="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percentage of market share by comparing our estimated revenue to the total estimated global digital display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order growth compared to the overall digital market order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metrics such as annual order volume and profit change as compared to our previous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retention and expansion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profits over the long-term to provide a shareholder return.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 In the near-term, orders and sales timing may be impacted by the coronavirus situation ("COVID-19") potentially causing customer order delays and supply chain disruptions.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the sports business can also be seriously impacted.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can be impacted by short-term events like the U.S. Administrative trade actions in 2018 or a number of other factors that are disclosed in "Item 1A. Risk Factors" included in our Annual Report on Form 10-K for the fiscal year ended April 27,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outlook and unique key growth drivers and challenges by our business units include: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accounts standard display market opportunities due to customers' desire to communicate their message, advertising and content consistently across the country. Increased demand is possible from national retailers, quick serve restaurants, petroleum retailers, and other nationwide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standard display offerings using micro-light emitting diode ("LED")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use of LED technologies replacing signage previously using liquid crystal display ("LCD") technology by existing and new customers.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expanded use of this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Out-of-Home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Dynamic messaging system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in and surrounding live events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system costs driving the use of more sophisticated displays in school athletic facilities, such as large integrated video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control system options tailored for the markets' needs.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use in public transport and airport terminals due to expanded market usage and displays, with LED technology replacing prior LCD installations and additional display offerings using micro-LEDs.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OOH advertising products, and architectural lighting market opportunities and the factors listed in each of the other business units to the extent they apply outside of the United States and Canada. Additional opportunities exist with expanded market usage of LED technology due to price considerations, usage of LED technology replacing prior LCD installations and additional display offerings using micro-LEDs.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April 27, 2019 consisted of 52 weeks. Fiscal 2020 will be a 53-week year; therefore, the nine months ended February 1, 2020 contains operating results for 40 weeks while the nine months ended January 26, 2019 contains operating results for 39 weeks.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FEBRUARY 1, 2020 AND JANUARY 26,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40,571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29,995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10,576</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15,390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17,727</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127,657</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115,069</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12,588</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36,898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41,114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(4,216)</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45,767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17,034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3,413</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19,973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135,429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the three months ended February 1, 2020 compared to the same period one year ago was primarily due to a lighter</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in the on-premise niche, which was offset by increases in the OOH and spectacular niches due to the timing of projects.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decrease in orders for the three months ended February 1, 2020 compared to the same period one year ago was primarily due to a decrease in large orders in the spectacular niche, while the on-premise and OOH niches remained relatively flat compared to the same period last year.</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February 1, 2020 compared to the same period one year ago was primarily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demand for upgraded or new solutions for professional sports stadiums and college and university venues.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Orders decreased for the three months ended February 1, 2020 compared to the same period one year ago due to a decrease in the number of projects for professional sports stadiums.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Net sales for the three months ended February 1, 2020 compared to the same period one year ago remained relatively flat.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Orders increased for the three months ended February 1, 2020 compared to the same period one year ago due to the variability in order timing.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the three months ended February 1, 2020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variability of large order production timing caused by customer project schedules.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three months ended February 1, 2020 compared to the same period one year ago due to the variability of timing caused by large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February 1, 2020 compared to the same period one year ago increased primarily due to the variability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timing caused by spectacular and OOH projects.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three months ended February 1, 2020 compared to the same period one year ago primarily due to general variations in the timing of account-based order 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product order backlog as of February 1, 2020 was $187 million as compared to $168 million as of January 26, 2019 and $182 million at the end of the second quarter of fiscal 2020. Historically, our product order backlog varies due to the seasonality of our business, the timing of large projects, and customer delivery schedules for these orders. The product order backlog as of February 1, 2020 increased in the Live Events, High School Park and Recreation, Transportation, and International business units and remained relatively flat in the Commercial business unit from January 26,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February 1, 2020</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14.6%</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24.1%</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7,815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19.3</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13.2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21.5</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18.5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4,316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31.0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38.2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17.5</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19.0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24,482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19.2%</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24,869</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21.6%</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logistics related costs including tariffs and duties, consumables,</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our gross profit percentage for the three months ended February 1, 2020 compared to the same period one year ago was due to an increase in tariff related expenses of approximately $0.6 million, or a 0.5% impact to gross profit, as last year at this time tariffs were just being introduced on US imports of aluminum, steel, and components from China. We also experienced additional expenses of approximately $1.1 million for project delivery costs. Total warranty as a percent of sales decreased to 1.3% for the three months ended February 1, 2020 as compared to 1.6% during the three months ended January 26, 2019. The following describes the overall impact by business unit for the three months ended February 1, 2020 compared to the same period one year ago:</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gross profit percent decreased in the Commercial business unit primarily due to higher warranty expense, product mix, and additional project delivery costs. The gross profit percent decreased in the Transportation business unit primarily due to lower sales volumes over relatively fixed infrastructure costs, which was partially offset by lower warranty expense. The gross profit percent decreased in the International business unit primarily due to a change in sales mix, which was partially offset by lower warranty expense and higher sales volumes over relatively fixed infrastructure costs. The gross profit percent increased in the Live Events business unit primarily due to higher sales volumes over relatively fixed infrastructure costs and lower warranty expense. The gross profit percent increased in the High School Park and Recreation business unit primarily due to lower warranty expense and a non-recurring litigation claim that was recorded during the same period one year ago.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23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01"/>
        </w:trPr>
        <w:tc>
          <w:tcPr>
            <w:tcW w:w="3380" w:type="dxa"/>
            <w:vAlign w:val="bottom"/>
            <w:gridSpan w:val="4"/>
          </w:tcPr>
          <w:p>
            <w:pPr>
              <w:spacing w:after="0"/>
              <w:rPr>
                <w:sz w:val="20"/>
                <w:szCs w:val="20"/>
                <w:color w:val="auto"/>
              </w:rPr>
            </w:pPr>
            <w:r>
              <w:rPr>
                <w:rFonts w:ascii="Arial" w:cs="Arial" w:eastAsia="Arial" w:hAnsi="Arial"/>
                <w:sz w:val="18"/>
                <w:szCs w:val="18"/>
                <w:b w:val="1"/>
                <w:bCs w:val="1"/>
                <w:color w:val="auto"/>
              </w:rPr>
              <w:t>Contribution Margin</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February 1, 2020</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3380" w:type="dxa"/>
            <w:vAlign w:val="bottom"/>
            <w:gridSpan w:val="4"/>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4,055</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1,068.6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3,258</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23.4</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4,959</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32.2</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(248.0)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57"/>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9,332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consists of gross profit less selling expenses. 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Contribution margin is impacted by the previously discussed sales and gross margin for each business unit. Each business unit's contribution margin was impacted by an increase in selling expenses in the third quarter of fiscal 2020 compared to the same quarter a year ago due to personnel related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February 1, 2020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8,280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third quarter of fiscal 2020 increased as compared to the same period one year ago primarily due to an increase in personnel related expenses, which is partially offset by a decrease in professional fees.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Product design and development expenses in the third quarter of fiscal 2020 increased as compared to the same period one year ago primarily due to increased labor costs and professional services assigned to product design and development projects. To deliver value to our customers and meet the markets' needs, we expect an increase in expenditures for new or enhanced customer solutions and to develop leading production technologies in the evolving micro-LED space.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30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01"/>
        </w:trPr>
        <w:tc>
          <w:tcPr>
            <w:tcW w:w="4080" w:type="dxa"/>
            <w:vAlign w:val="bottom"/>
            <w:gridSpan w:val="4"/>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February 1, 2020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4"/>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080" w:type="dxa"/>
            <w:vAlign w:val="bottom"/>
            <w:gridSpan w:val="4"/>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63.1 %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the third quarter of fiscal 2020 compared to the same period one year ago was primarily due to the change in investment levels caused by the volatility of working capital needs.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third quarter of fiscal 2020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tax rate is subject to fluctuation.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recorded an effective tax rate of negative 37.9 percent for the third quarter of fiscal 2020 as compared to an effective tax rate of 55.4 percent for the third quarter of fiscal 2019. The quarterly change in the effective tax rate was caused by discrete one-time impacts of $3.3 million recognized in the third quarter of fiscal 2019 due to the release of a tax reserve for a lapse of the statute and a valuation allowance reversal related to foreign net operating loss carryforwards. The estimated effective tax rate for fiscal 2020 is the result of the expected net taxes and credits being higher as a proportion of expected pre-tax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FEBRUARY 1, 2020 AND JANUARY 26,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February 1,</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120,566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113,797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159,196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134,566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24,630</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74,498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53,264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50,624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74,365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68,464</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5,901</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482,824</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441,949</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40,875</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119,059</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123,637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(4,578)</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149,461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128,803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73,852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73,928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55,410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54,736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75,827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65,291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10,536</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473,609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446,395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27,214</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orders in all business units were impacted as a result of the nine months ended February 1, 2020 including 40 weeks compared to the more common 39 weeks. The nine months ended January 26, 2019 contained 39 weeks.</w:t>
      </w:r>
    </w:p>
    <w:p>
      <w:pPr>
        <w:sectPr>
          <w:pgSz w:w="11900" w:h="16838" w:orient="portrait"/>
          <w:cols w:equalWidth="0" w:num="1">
            <w:col w:w="11420"/>
          </w:cols>
          <w:pgMar w:left="240" w:top="114"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4"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net sales, during the first nine months ended February 1, 2020, we achieved a $12.1 million per week average run rate as compared to $11.3 million per week during the first nine months ended January 26, 2019, or an approximate 6.5% increase. This change was driven by the order volume reasons described below and the timing of conversion related to the seasonality in our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orders, during the first nine months ended February 1, 2020, we achieved a $11.8 million per week average run rate as compared to $11.4 million per week during the first nine months ended January 26, 2019, or an approximate 3.5% increase. We had an increase in orders placed during the first nine months ended February 1, 2020 related to new releases of our product offerings.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Net sales for the nine months ended February 1, 2020 compared to the same period one year ago increased as a result of the timing of projects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spectacular and OOH niches, which was partly offset by a decrease in net sales in the on-premise niche primarily due to lighter demand.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decreased for the nine months ended February 1, 2020 compared to the same period one year ago primarily due to a decrease in large orders in the spectacular niche and a softer market in the OOH niche.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nine months ended February 1, 2020 compared to the same period one year ago was primarily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demand for upgraded or new solutions for arenas and professional sports stadiums.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nine months ended February 1, 2020 compared to the same period one year ago due to an increase in the number of projects for college and university venues, minor league sports stadiums, and arena venues.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nine months ended February 1, 2020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timing of converting orders and backlog into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Orders for the nine months ended February 1, 2020 compared to the same period one year ago remained relatively flat.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nine months ended February 1, 2020 compared to the same period one year ago was related to the variability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large order timing and continued demand for intelligent transportation 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nine months ended February 1, 2020 compared to the same period one year ago primarily due to the variability of timing caused by large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increased in our International business unit for the nine months ended February 1, 2020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the variability of timing caused by large spectacular and OOH projects.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Orders increased for the nine months ended February 1, 2020 compared to the same period one year ago primarily due to general variations in the timing of account-based order placements.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February 1, 2020</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18.6%</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24.2%</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32,486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20.4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26,495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19.7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30.0</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18,073</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33.9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17,471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34.5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19.4</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18.0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110,074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22.8%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105,873</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logistics related costs including tariffs and duties, consumables,</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our gross profit percentage for the nine months ended February 1, 2020 compared to the same period one year ago was primarily due to an increase in tariff related expenses of approximately $3.3 million, or a 0.7% impact to gross profit, as last year at this time tariffs were just being introduced on US imports of aluminum, steel, and components from China. We also experienced additional expenses of approximately $4.2 million for project delivery costs and for an existing litigation claim estimate. Total warranty as a percent</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sales decreased to 1.9% for the nine months ended February 1, 2020 as compared to 2.3% during the nine months ended January 26, 2019. The following describes the overall impact by business unit for the nine months ended February 1, 2020 compared to the same period one year ago:</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gross profit percent decreased in our Commercial business units for the reasons described above, which was partially offset by higher sales volumes over relatively fixed infrastructure costs. The gross profit percent decreased in the Transportation business unit primarily due to increased warranty expense, which was partially offset by higher sales volumes over relatively fixed infrastructure costs. The gross profit percent increased in the Live Events and High School Park and Recreation business units primarily due to higher sales volumes over relatively fixed infrastructure costs, which was partially offset by the reasons described above. The gross profit percent increased in the International business unit primarily due to lower warranty expense and higher sales volumes over relatively fixed infrastructure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February 1, 2020</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21,289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13.4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16,250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12.1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14,605</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27.4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14,245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28.1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3,094</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544.6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59,048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57,833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consists of gross profit less selling expenses. 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unit's contribution margin are as follows: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areas of selling expenses were impacted as a result of the nine months ended February 1, 2020 including 40 weeks compared to the more common 39 weeks. The nine months ended January 26, 2019 contained 39 weeks. Selling expense in our Commercial, Live Events, High School Park and Recreation, and Transportation business units increased in the nine months ended February 1, 2020 compared to the same period a year ago primarily due to personnel related expenses and increased marketing efforts. Selling expenses in our International business unit decreased in the nine months ended February 1, 2020 compared to the same period one year ago primarily due to bad debt recovery and a decrease in third-party commissions.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February 1, 2020</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29,063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26,611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areas of operating expenses were impacted as a result of the nine months ended February 1, 2020 including 40 weeks compared to the more common 39 weeks. The nine months ended January 26, 2019 contained 39 weeks.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 and administrative expenses in the nine months ended February 1, 2020 increased as compared to the same period one year ago primarily due to an increase in professional fees and personnel related expenses, which was partially offset by a decrease in IT related systems.</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design and development expenses in the nine months ended February 1, 2020 as compared to the same period one year ago increased primarily due to increased labor costs and professional services assigned to product design and development projects. To deliver value to our customers and meet the markets' needs, we expect an increase in expenditures for new or enhanced customer solutions.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February 1, 2020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26, 2019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in the nine months ended February 1, 2020 compared to the same period one year ago was primarily due to the change in investment levels caused by the volatility of working capital needs.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nine months ended February 1, 2020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was 51.6 percent for the nine months ended February 1, 2020 as compared to an effective tax rate of negative 71.8 percent for the nine months ended January 26, 2019. The quarterly change in the effective tax rate was caused by discrete one-time impacts of $3.3 million recognized during the third quarter of fiscal 2019 due to the release of a tax reserve for a lapse of the statute and a valuation allowance reversal related to foreign net operating loss carryforwards. The estimated effective tax rate for fiscal 2020 of 51.6 percent is the result of the expected net taxes and credits being higher as a proportion of expected pre-tax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gridSpan w:val="4"/>
          </w:tcPr>
          <w:p>
            <w:pPr>
              <w:ind w:left="200"/>
              <w:spacing w:after="0"/>
              <w:rPr>
                <w:sz w:val="20"/>
                <w:szCs w:val="20"/>
                <w:color w:val="auto"/>
              </w:rPr>
            </w:pPr>
            <w:r>
              <w:rPr>
                <w:rFonts w:ascii="Arial" w:cs="Arial" w:eastAsia="Arial" w:hAnsi="Arial"/>
                <w:sz w:val="18"/>
                <w:szCs w:val="18"/>
                <w:b w:val="1"/>
                <w:bCs w:val="1"/>
                <w:color w:val="auto"/>
                <w:w w:val="92"/>
              </w:rPr>
              <w:t>Nine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February 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26,</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10,034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(19,926)</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3,552</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increased by $4.6 million for the first nine months of fiscal 2020 as compared to $3.6 million in the first nine months of fiscal 2019, which is primarily due to the conversion of marketable securities to cash for working capital needs.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Operating cash flows consist primarily of net income adjusted for non-cash items, including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stock-based compensation, deferred income taxes, and the effect of changes in operating assets and liabilities. 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provided by operating activities was $6.2 million for the first nine months of fiscal 2020 compared to net cash provided by operating activities of $32.2 million in the first nine months of fiscal 2019. The $26.0 million decrease in cash used in operating activities from the first nine months of fiscal 2019 to the first nine months of fiscal 2020 was the result of changes in net operating assets and liabilities of $17.4 million, $8.3 million decrease in net income, $0.9 million in depreciation and amortization, and $0.4 million in other non-cash items, net, adjusted by a $1.0 million change in a contingent liability.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Year-to-date cash provided from operations differed as compared to last year primarily due to order volatility in Live Events and Transportation business units, which had large dollar projects this year as compared to last year. This accounted for most of the changes in accounts receivable, contract assets, long-term receivables, and contract liabilities and equates to $29.8 million of the change in net cash provided by operating activities as compared to last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14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(14,253)</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(1,602)</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884</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12,104</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0" w:type="dxa"/>
            <w:vAlign w:val="bottom"/>
          </w:tcPr>
          <w:p>
            <w:pPr>
              <w:spacing w:after="0"/>
              <w:rPr>
                <w:sz w:val="22"/>
                <w:szCs w:val="22"/>
                <w:color w:val="auto"/>
              </w:rPr>
            </w:pPr>
          </w:p>
        </w:tc>
        <w:tc>
          <w:tcPr>
            <w:tcW w:w="68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(10,035)</w:t>
            </w:r>
          </w:p>
        </w:tc>
        <w:tc>
          <w:tcPr>
            <w:tcW w:w="2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Net cash provided by (used in) investing activities: </w:t>
      </w:r>
      <w:r>
        <w:rPr>
          <w:rFonts w:ascii="Arial" w:cs="Arial" w:eastAsia="Arial" w:hAnsi="Arial"/>
          <w:sz w:val="16"/>
          <w:szCs w:val="16"/>
          <w:color w:val="auto"/>
        </w:rPr>
        <w:t>Net cash provided by investing activities totaled $10.0 million in the first nine months of fiscal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cash used in investing activities of $19.9 million in the first nine months of fiscal 2019. During the first nine months of fiscal 2020, we had no purchases of marketable securities compared to $25.3 million in the first nine months of fiscal 2019. Proceeds from sales or maturities of marketable securities totaled $24.7 million in the first nine months of fiscal 2020 as compared to $22.3 million in the first nine months of fiscal 2019. Net proceeds of marketable securities in fiscal 2020 were utilized to cover working capital needs for changes in operating assets and liabilities described above. Purchases of property and equipment totaled $13.6 million in the first nine months of fiscal 2020 compared to $14.1 million in the first nine months of fiscal 2019. Purchases of and loans to an equity investment totaled $1.2 million in the first nine months of fiscal 2020 as compared to $0.9 million in the first nine months of fiscal 2019. During the first nine months of fiscal 2019, we had a net cash outflow of $2.3 million for the acquisition of assets of AJT Systems, Inc.</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$11.4 million for the nine months ended February 1, 2020 compared to $8.8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Principal payments on long-term obligations for the first nine months of fiscal 2020 were $2.1 million compared to $0.4 million during the first nine months of fiscal 2019, which was mostly related to contingent liability payments. Dividends of $6.8 million, or $0.15 per share, were paid to Daktronics shareholders during the first nine months of fiscal 2020, as compared to dividends of $9.4 million, or $0.21 per share, paid to Daktronics shareholders during the first nine months of fiscal 2019. During the first nine months of fiscal 2020, we repurchased $2.3 million of shares as part of the $40.0 million share</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 plan authorized by our Board of Directors. There were no share repurchases in the first nine months of fiscal 2019. Proceeds from the exercise of stock options during the first nine months of fiscal 2019 were $1.3 million and there were no proceeds from the exercise of stock options in the first nine months of fiscal 2020.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 program,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impact our liquidity.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Working capital was $113.2 million and $119.6 million at February 1, 2020 and April 27, 2019,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$3.2 million of retainage on long-term contracts included in receivables and contract assets as of February 1, 2020, which has an impact on our liquidity. We expect to collect these amounts within one year. When working capital is needed, we have historically financed our cash needs through a combination of cash flow from operations and borrowings under bank credit agreements. During the third quarter of fiscal 2020 and the fourth quarter of fiscal 2019, we violated one of our bank covenants, but we received a waiver from our banking institution for the quarter ended February 1, 2020 and year ended April 27,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The revolving amount of the agreement and note remains at $35.0 million, including up to $15.0 million for commercial and standby letters of credit. The credit agreement is unsecured and requires us to be in compliance with certain financial ratios and other covenants. As of February 1, 2020, there were no advances to us under the loan portion of the line of credit, and the balance of letters of credit outstanding was approximately $6.3 million.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and we have a global banking relationship to provide such instruments. If we are unable to meet the terms of the arrangement, our customer would draw on the banking arrangement, and the bank would subrogate its loss to Daktronics. As of February 1, 2020, we had $8.5 million of such instruments outstanding.</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February 1, 2020, we had $5.3 million of bonded work outstanding against this line.</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growth and profitability improvement strategies depend on investments in capital expenditures and strategic investments. We are projecting capital expenditures and an investment in a technology company to be approximately $33 million for fiscal 2020. Projected capital expenditures include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our off-balance sheet arrangements and contractual obligations since the end of our 2019 fiscal year on April 27,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Annual Report on Form 10-K for the fiscal year ended April 27,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27, 2019. We discuss our critical accounting estimates in "Part II, Item 7. Management’s Discussion and Analysis of Financial Condition and Results of Operations" in our Annual Report on Form 10-K for the fiscal year ended April 27, 2019. In the first quarter of fiscal 2020, we adopted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new lease guidance, as described in "Note 1. Basis of Presentation" of the Notes to the Condensed Consolidated Financial Statements included elsewhere in this Report. There have been no other significant changes in our significant accounting policies or critical accounting estimates since the end of fiscal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April 27, 2019. There have been no material changes in our exposure to these risks during the first nine months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February 1, 2020, which is the end of the period covered by this Report. Based upon that evaluation, the Chief Executive Officer and Chief Financial Officer concluded that as of February 1, 2020,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February 1, 2020,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27, 2019.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of common stock during the third quarter of fiscal 2020:</w:t>
      </w:r>
    </w:p>
    <w:p>
      <w:pPr>
        <w:spacing w:after="0" w:line="38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may yet be purchased</w:t>
            </w:r>
          </w:p>
        </w:tc>
      </w:tr>
      <w:tr>
        <w:trPr>
          <w:trHeight w:val="216"/>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under the share</w:t>
            </w:r>
          </w:p>
        </w:tc>
      </w:tr>
      <w:tr>
        <w:trPr>
          <w:trHeight w:val="216"/>
        </w:trPr>
        <w:tc>
          <w:tcPr>
            <w:tcW w:w="3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97"/>
              </w:rPr>
              <w:t>Total number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paid per 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repurchase</w:t>
            </w:r>
          </w:p>
        </w:tc>
      </w:tr>
      <w:tr>
        <w:trPr>
          <w:trHeight w:val="234"/>
        </w:trPr>
        <w:tc>
          <w:tcPr>
            <w:tcW w:w="3160" w:type="dxa"/>
            <w:vAlign w:val="bottom"/>
          </w:tcPr>
          <w:p>
            <w:pPr>
              <w:ind w:left="1320"/>
              <w:spacing w:after="0"/>
              <w:rPr>
                <w:sz w:val="20"/>
                <w:szCs w:val="20"/>
                <w:color w:val="auto"/>
              </w:rPr>
            </w:pPr>
            <w:r>
              <w:rPr>
                <w:rFonts w:ascii="Arial" w:cs="Arial" w:eastAsia="Arial" w:hAnsi="Arial"/>
                <w:sz w:val="18"/>
                <w:szCs w:val="18"/>
                <w:b w:val="1"/>
                <w:bCs w:val="1"/>
                <w:color w:val="auto"/>
              </w:rPr>
              <w:t>Period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(including fees)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program(1)</w:t>
            </w:r>
          </w:p>
        </w:tc>
      </w:tr>
      <w:tr>
        <w:trPr>
          <w:trHeight w:val="27"/>
        </w:trPr>
        <w:tc>
          <w:tcPr>
            <w:tcW w:w="3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December 1, 2019 - December 28, 2019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36,328,333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w w:val="99"/>
              </w:rPr>
              <w:t>December 29, 2019 - February 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80,520</w:t>
            </w:r>
          </w:p>
        </w:tc>
        <w:tc>
          <w:tcPr>
            <w:tcW w:w="1340" w:type="dxa"/>
            <w:vAlign w:val="bottom"/>
          </w:tcPr>
          <w:p>
            <w:pPr>
              <w:jc w:val="right"/>
              <w:spacing w:after="0"/>
              <w:rPr>
                <w:sz w:val="20"/>
                <w:szCs w:val="20"/>
                <w:color w:val="auto"/>
              </w:rPr>
            </w:pPr>
            <w:r>
              <w:rPr>
                <w:rFonts w:ascii="Arial" w:cs="Arial" w:eastAsia="Arial" w:hAnsi="Arial"/>
                <w:sz w:val="18"/>
                <w:szCs w:val="18"/>
                <w:color w:val="auto"/>
              </w:rPr>
              <w:t>5.99</w:t>
            </w:r>
          </w:p>
        </w:tc>
        <w:tc>
          <w:tcPr>
            <w:tcW w:w="1520" w:type="dxa"/>
            <w:vAlign w:val="bottom"/>
          </w:tcPr>
          <w:p>
            <w:pPr>
              <w:jc w:val="right"/>
              <w:spacing w:after="0"/>
              <w:rPr>
                <w:sz w:val="20"/>
                <w:szCs w:val="20"/>
                <w:color w:val="auto"/>
              </w:rPr>
            </w:pPr>
            <w:r>
              <w:rPr>
                <w:rFonts w:ascii="Arial" w:cs="Arial" w:eastAsia="Arial" w:hAnsi="Arial"/>
                <w:sz w:val="18"/>
                <w:szCs w:val="18"/>
                <w:color w:val="auto"/>
              </w:rPr>
              <w:t>80,520</w:t>
            </w:r>
          </w:p>
        </w:tc>
        <w:tc>
          <w:tcPr>
            <w:tcW w:w="1820" w:type="dxa"/>
            <w:vAlign w:val="bottom"/>
          </w:tcPr>
          <w:p>
            <w:pPr>
              <w:jc w:val="right"/>
              <w:spacing w:after="0"/>
              <w:rPr>
                <w:sz w:val="20"/>
                <w:szCs w:val="20"/>
                <w:color w:val="auto"/>
              </w:rPr>
            </w:pPr>
            <w:r>
              <w:rPr>
                <w:rFonts w:ascii="Arial" w:cs="Arial" w:eastAsia="Arial" w:hAnsi="Arial"/>
                <w:sz w:val="18"/>
                <w:szCs w:val="18"/>
                <w:color w:val="auto"/>
              </w:rPr>
              <w:t>35,846,217</w:t>
            </w:r>
          </w:p>
        </w:tc>
      </w:tr>
      <w:tr>
        <w:trPr>
          <w:trHeight w:val="27"/>
        </w:trPr>
        <w:tc>
          <w:tcPr>
            <w:tcW w:w="3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108,001</w:t>
            </w:r>
          </w:p>
        </w:tc>
        <w:tc>
          <w:tcPr>
            <w:tcW w:w="13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108,001</w:t>
            </w:r>
          </w:p>
        </w:tc>
        <w:tc>
          <w:tcPr>
            <w:tcW w:w="1820" w:type="dxa"/>
            <w:vAlign w:val="bottom"/>
            <w:tcBorders>
              <w:bottom w:val="single" w:sz="8" w:color="CCEEFF"/>
            </w:tcBorders>
            <w:shd w:val="clear" w:color="auto" w:fill="CCEEFF"/>
          </w:tcPr>
          <w:p>
            <w:pPr>
              <w:spacing w:after="0"/>
              <w:rPr>
                <w:sz w:val="22"/>
                <w:szCs w:val="22"/>
                <w:color w:val="auto"/>
              </w:rPr>
            </w:pPr>
          </w:p>
        </w:tc>
      </w:tr>
      <w:tr>
        <w:trPr>
          <w:trHeight w:val="20"/>
        </w:trPr>
        <w:tc>
          <w:tcPr>
            <w:tcW w:w="3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ind w:firstLine="8"/>
        <w:spacing w:after="0" w:line="261"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 repurchases described in the above table were made pursuant to the $40.0 million share repurchase program authorized by the Board of Directors on June 17,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6"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5">
        <w:r>
          <w:rPr>
            <w:rFonts w:ascii="Arial" w:cs="Arial" w:eastAsia="Arial" w:hAnsi="Arial"/>
            <w:sz w:val="18"/>
            <w:szCs w:val="18"/>
            <w:u w:val="single" w:color="auto"/>
            <w:color w:val="0000FF"/>
          </w:rPr>
          <w:t>Amended and Restated Articles of Incorporation of the Company. (Incorporated by reference to Exhibit 3.1 of the Current Report on Form 10-Q/A</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(Amendment No. 1) of Daktronics, Inc. filed on December 21, 2018).</w:t>
        </w:r>
      </w:hyperlink>
    </w:p>
    <w:p>
      <w:pPr>
        <w:spacing w:after="0" w:line="224"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reference to Exhibit 4.1 of the Current Report on Form 8-K of Daktronics, Inc. filed on November 16, 2018).</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Exhibit 10.1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Second Amendment to Credit Agreement dated as of November 15, 2019 by and between the Company and U.S. Bank National Association</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Schedule 14A filed on July 14, 2015).</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25">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5">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8-K on September 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7">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our Current Report 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0">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42">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2">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40" w:hanging="685"/>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February 1, 2020 formatted in Extensible Business Reporting Language (XBRL): (i) the Condensed Consolidated Balance Sheets, (ii) the Condensed Consolidated Statements of Operations,</w:t>
      </w:r>
    </w:p>
    <w:p>
      <w:pPr>
        <w:ind w:left="720" w:right="40" w:firstLine="4"/>
        <w:spacing w:after="0" w:line="261" w:lineRule="auto"/>
        <w:tabs>
          <w:tab w:leader="none" w:pos="10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Condensed Consolidated Statements of Comprehensive Income, (iv) the Condensed Consolidated Statements of Cash Flows, (v) Notes to Condensed Consolidated Financial Statements, and (vii) document and entity information. (1)</w:t>
      </w:r>
    </w:p>
    <w:p>
      <w:pPr>
        <w:spacing w:after="0" w:line="21" w:lineRule="exact"/>
        <w:rPr>
          <w:rFonts w:ascii="Arial" w:cs="Arial" w:eastAsia="Arial" w:hAnsi="Arial"/>
          <w:sz w:val="18"/>
          <w:szCs w:val="18"/>
          <w:color w:val="auto"/>
        </w:rPr>
      </w:pPr>
    </w:p>
    <w:p>
      <w:pPr>
        <w:ind w:left="1180" w:hanging="358"/>
        <w:spacing w:after="0"/>
        <w:tabs>
          <w:tab w:leader="none" w:pos="1180" w:val="left"/>
        </w:tabs>
        <w:numPr>
          <w:ilvl w:val="2"/>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February 1, 2020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2/28/2020</w:t>
      </w:r>
    </w:p>
    <w:p>
      <w:pPr>
        <w:sectPr>
          <w:pgSz w:w="11900" w:h="16838" w:orient="portrait"/>
          <w:cols w:equalWidth="0" w:num="1">
            <w:col w:w="11420"/>
          </w:cols>
          <w:pgMar w:left="240" w:top="55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February 1, 2020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2/28/2020</w:t>
      </w:r>
    </w:p>
    <w:p>
      <w:pPr>
        <w:sectPr>
          <w:pgSz w:w="11900" w:h="16838" w:orient="portrait"/>
          <w:cols w:equalWidth="0" w:num="1">
            <w:col w:w="11420"/>
          </w:cols>
          <w:pgMar w:left="240" w:top="55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February 1, 2020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2/28/2020</w:t>
      </w:r>
    </w:p>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February 1, 2020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2/28/2020</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840"/>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lvl w:ilvl="1">
      <w:lvlJc w:val="left"/>
      <w:lvlText w:val="(%2)"/>
      <w:numFmt w:val="lowerRoman"/>
      <w:start w:val="3"/>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15" Type="http://schemas.openxmlformats.org/officeDocument/2006/relationships/hyperlink" Target="http://www.sec.gov/Archives/edgar/data/915779/000091577918000119/exhibit31.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8000089/dakt_20181116x8-kxex41.htm" TargetMode="External"/><Relationship Id="rId19" Type="http://schemas.openxmlformats.org/officeDocument/2006/relationships/hyperlink" Target="http://www.sec.gov/Archives/edgar/data/915779/000091577916000233/dakt_20161115xex101.htm" TargetMode="External"/><Relationship Id="rId21" Type="http://schemas.openxmlformats.org/officeDocument/2006/relationships/hyperlink" Target="http://www.sec.gov/Archives/edgar/data/915779/000091577916000233/dakt_20161115xex102.htm" TargetMode="External"/><Relationship Id="rId22" Type="http://schemas.openxmlformats.org/officeDocument/2006/relationships/hyperlink" Target="http://www.sec.gov/Archives/edgar/data/915779/000091577919000079/dakt_20191115xex101.htm" TargetMode="External"/><Relationship Id="rId24" Type="http://schemas.openxmlformats.org/officeDocument/2006/relationships/hyperlink" Target="http://www.sec.gov/Archives/edgar/data/915779/000091577915000046/dakt-20150501_defx14a.htm#s4b4ce7db85924a1dba35b799a722a4cd" TargetMode="External"/><Relationship Id="rId25" Type="http://schemas.openxmlformats.org/officeDocument/2006/relationships/hyperlink" Target="http://www.sec.gov/Archives/edgar/data/915779/000091577915000068/dakt_ex102x8-kxsomx2015.htm" TargetMode="External"/><Relationship Id="rId27" Type="http://schemas.openxmlformats.org/officeDocument/2006/relationships/hyperlink" Target="http://www.sec.gov/Archives/edgar/data/915779/000091577915000068/dakt_ex103x8-kxsomx2015.htm" TargetMode="External"/><Relationship Id="rId28" Type="http://schemas.openxmlformats.org/officeDocument/2006/relationships/hyperlink" Target="http://www.sec.gov/Archives/edgar/data/915779/000091577915000068/dakt_ex104x8-kxsomx2015.htm" TargetMode="External"/><Relationship Id="rId30"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2020-02-28T16:16:17Z</dcterms:created>
  <dcterms:modified xsi:type="dcterms:W3CDTF">2020-02-28T16:16:17Z</dcterms:modified>
</cp:coreProperties>
</file>