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740"/>
          </w:cols>
          <w:pgMar w:left="240" w:top="553" w:right="91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380" w:space="720"/>
            <w:col w:w="6640"/>
          </w:cols>
          <w:pgMar w:left="240" w:top="553" w:right="91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740"/>
          </w:cols>
          <w:pgMar w:left="240" w:top="553" w:right="91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60" w:space="420"/>
            <w:col w:w="10060"/>
          </w:cols>
          <w:pgMar w:left="240" w:top="553" w:right="919" w:bottom="1440" w:gutter="0" w:footer="0" w:header="0"/>
          <w:type w:val="continuous"/>
        </w:sectPr>
      </w:pPr>
    </w:p>
    <w:p>
      <w:pPr>
        <w:ind w:left="680" w:hanging="672"/>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0740"/>
          </w:cols>
          <w:pgMar w:left="240" w:top="553" w:right="91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420"/>
            <w:col w:w="10060"/>
          </w:cols>
          <w:pgMar w:left="240" w:top="553" w:right="919" w:bottom="1440" w:gutter="0" w:footer="0" w:header="0"/>
          <w:type w:val="continuous"/>
        </w:sectPr>
      </w:pP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 and 0-11.</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computer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80" w:right="220" w:hanging="672"/>
        <w:spacing w:after="0" w:line="342"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3"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68649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4985" cy="38735"/>
                    </a:xfrm>
                    <a:prstGeom prst="rect">
                      <a:avLst/>
                    </a:prstGeom>
                    <a:noFill/>
                  </pic:spPr>
                </pic:pic>
              </a:graphicData>
            </a:graphic>
          </wp:anchor>
        </w:drawing>
      </w:r>
    </w:p>
    <w:p>
      <w:pPr>
        <w:sectPr>
          <w:pgSz w:w="11900" w:h="16838" w:orient="portrait"/>
          <w:cols w:equalWidth="0" w:num="1">
            <w:col w:w="10740"/>
          </w:cols>
          <w:pgMar w:left="240" w:top="553" w:right="9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DAKTRONICS,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 Daktronics Drive</w:t>
      </w:r>
    </w:p>
    <w:p>
      <w:pPr>
        <w:jc w:val="center"/>
        <w:spacing w:after="0"/>
        <w:rPr>
          <w:sz w:val="20"/>
          <w:szCs w:val="20"/>
          <w:color w:val="auto"/>
        </w:rPr>
      </w:pPr>
      <w:r>
        <w:rPr>
          <w:rFonts w:ascii="Arial" w:cs="Arial" w:eastAsia="Arial" w:hAnsi="Arial"/>
          <w:sz w:val="22"/>
          <w:szCs w:val="22"/>
          <w:color w:val="auto"/>
        </w:rPr>
        <w:t>Brookings, South Dakota 57006</w:t>
      </w:r>
    </w:p>
    <w:p>
      <w:pPr>
        <w:spacing w:after="0" w:line="21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TO BE HELD ON WEDNESDAY, AUGUST 25, 2010</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NOTICE IS HEREBY GIVEN that the Annual Meeting of Shareholders (the “Annual Meeting”) of Daktronics, Inc. (the “Company”) will be held at the Company’s headquarters, 201 Daktronics Drive, Brookings, South Dakota 57006 on Wednesday, August 25, 2010, at 7:00 p.m. Central Daylight Time, for the following purposes:</w:t>
      </w:r>
    </w:p>
    <w:p>
      <w:pPr>
        <w:spacing w:after="0" w:line="208" w:lineRule="exact"/>
        <w:rPr>
          <w:sz w:val="20"/>
          <w:szCs w:val="20"/>
          <w:color w:val="auto"/>
        </w:rPr>
      </w:pPr>
    </w:p>
    <w:p>
      <w:pPr>
        <w:ind w:left="340" w:hanging="23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serve for a three-year term that expires on the date of the Annual Meeting of Shareholders in 2013 or until their successors are duly elected;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Employee Stock Purchase Plan;</w:t>
      </w:r>
    </w:p>
    <w:p>
      <w:pPr>
        <w:spacing w:after="0" w:line="252"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2011; and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Only the shareholders of record of our common stock at the close of business on June 28, 2010 (the “Record Date”) are entitled to notice of and to vote at the Annual Meeting or any adjournment or postponement of the Annual Meeting. If an insufficient number of votes is present for a quorum or is cast to approve or ratify any of the foregoing proposals at the time of the Annual Meeting, the Annual Meeting may be adjourned or postponed to allow further solicitation of proxies by the Company.</w:t>
      </w:r>
    </w:p>
    <w:p>
      <w:pPr>
        <w:spacing w:after="0" w:line="210" w:lineRule="exact"/>
        <w:rPr>
          <w:sz w:val="20"/>
          <w:szCs w:val="20"/>
          <w:color w:val="auto"/>
        </w:rPr>
      </w:pPr>
    </w:p>
    <w:p>
      <w:pPr>
        <w:jc w:val="both"/>
        <w:ind w:right="20"/>
        <w:spacing w:after="0" w:line="300" w:lineRule="auto"/>
        <w:rPr>
          <w:sz w:val="20"/>
          <w:szCs w:val="20"/>
          <w:color w:val="auto"/>
        </w:rPr>
      </w:pPr>
      <w:r>
        <w:rPr>
          <w:rFonts w:ascii="Arial" w:cs="Arial" w:eastAsia="Arial" w:hAnsi="Arial"/>
          <w:sz w:val="16"/>
          <w:szCs w:val="16"/>
          <w:b w:val="1"/>
          <w:bCs w:val="1"/>
          <w:color w:val="auto"/>
        </w:rPr>
        <w:t>All shareholders are invited to attend the Annual Meeting in person. However, to ensure your representation at the Annual Meeting, you are urged to vote as soon as possible. Shareholders may vote their shares over the Internet or via a toll-free telephone number. If shareholders have received a paper copy of a proxy card by mail, they may vote by completing, signing, dating and returning the proxy card as promptly as possible in the postage-prepaid envelope provided for that purpose. Any shareholder attending the Annual Meeting has the right to revoke that shareholder’s proxy card and vote in person even if he or she has previously returned a proxy. For specific information on how to vote shares, please refer to the section heading “How Votes are Submitted” an</w:t>
      </w:r>
      <w:r>
        <w:rPr>
          <w:rFonts w:ascii="Arial" w:cs="Arial" w:eastAsia="Arial" w:hAnsi="Arial"/>
          <w:sz w:val="16"/>
          <w:szCs w:val="16"/>
          <w:b w:val="1"/>
          <w:bCs w:val="1"/>
          <w:color w:val="auto"/>
          <w:strike w:val="1"/>
        </w:rPr>
        <w:t>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0;Revocability of Proxies”.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2010</w:t>
      </w:r>
    </w:p>
    <w:p>
      <w:pPr>
        <w:spacing w:after="0" w:line="23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IMPORTANT: WHETHER OR NOT YOU PLAN TO ATTEND THE MEETING, PLEASE VOTE BY PHONE OR BY INTERNET, OR IF YOU HAVE RECEIVED A PAPER COPY OF THE PROXY CARD, BY SIGNING, DATING AND RETURNING THE PROXY CARD AS PROMPTLY AS POSSIBLE IN THE ENVELOPE PROVIDED FOR THAT PURPOSE.</w:t>
      </w:r>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25, 2010:</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notice, the accompanying proxy statement and our fiscal 2010 Annual Report to Shareholders, which includes our Annual Report on Form 10-K for the year ended May 1, 2010, are available at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339090</wp:posOffset>
            </wp:positionV>
            <wp:extent cx="6882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Daktronics, Inc.</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Pages</w:t>
            </w:r>
          </w:p>
        </w:tc>
      </w:tr>
      <w:tr>
        <w:trPr>
          <w:trHeight w:val="392"/>
        </w:trPr>
        <w:tc>
          <w:tcPr>
            <w:tcW w:w="100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Procedural Matters</w:t>
              </w:r>
            </w:hyperlink>
          </w:p>
        </w:tc>
        <w:tc>
          <w:tcPr>
            <w:tcW w:w="7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3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49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Security Ownership of Certain Beneficial Owners and Management</w:t>
              </w:r>
            </w:hyperlink>
          </w:p>
        </w:tc>
        <w:tc>
          <w:tcPr>
            <w:tcW w:w="5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412"/>
        </w:trPr>
        <w:tc>
          <w:tcPr>
            <w:tcW w:w="26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One – Election of Directors</w:t>
              </w:r>
            </w:hyperlink>
          </w:p>
        </w:tc>
        <w:tc>
          <w:tcPr>
            <w:tcW w:w="73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bl>
    <w:p>
      <w:pPr>
        <w:sectPr>
          <w:pgSz w:w="11900" w:h="16838" w:orient="portrait"/>
          <w:cols w:equalWidth="0" w:num="1">
            <w:col w:w="10820"/>
          </w:cols>
          <w:pgMar w:left="240" w:top="504" w:right="8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Corporate Governance</w:t>
              </w:r>
            </w:hyperlink>
          </w:p>
        </w:tc>
        <w:tc>
          <w:tcPr>
            <w:tcW w:w="20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880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Fiscal Year 2010 Director Compensation</w:t>
              </w:r>
            </w:hyperlink>
          </w:p>
        </w:tc>
        <w:tc>
          <w:tcPr>
            <w:tcW w:w="2020" w:type="dxa"/>
            <w:vAlign w:val="bottom"/>
            <w:gridSpan w:val="4"/>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280" w:type="dxa"/>
            <w:vAlign w:val="bottom"/>
            <w:gridSpan w:val="8"/>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Section 16(a) Beneficial Ownership Reporting Compliance</w:t>
              </w:r>
            </w:hyperlink>
          </w:p>
        </w:tc>
        <w:tc>
          <w:tcPr>
            <w:tcW w:w="4520" w:type="dxa"/>
            <w:vAlign w:val="bottom"/>
            <w:gridSpan w:val="3"/>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28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Compensation Discussion and Analysis</w:t>
              </w:r>
            </w:hyperlink>
          </w:p>
        </w:tc>
        <w:tc>
          <w:tcPr>
            <w:tcW w:w="4520" w:type="dxa"/>
            <w:vAlign w:val="bottom"/>
            <w:gridSpan w:val="3"/>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800" w:type="dxa"/>
            <w:vAlign w:val="bottom"/>
            <w:gridSpan w:val="2"/>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Executive Compensation</w:t>
              </w:r>
            </w:hyperlink>
          </w:p>
        </w:tc>
        <w:tc>
          <w:tcPr>
            <w:tcW w:w="1060" w:type="dxa"/>
            <w:vAlign w:val="bottom"/>
            <w:gridSpan w:val="2"/>
          </w:tcPr>
          <w:p>
            <w:pPr>
              <w:spacing w:after="0"/>
              <w:rPr>
                <w:sz w:val="24"/>
                <w:szCs w:val="24"/>
                <w:color w:val="auto"/>
              </w:rPr>
            </w:pPr>
          </w:p>
        </w:tc>
        <w:tc>
          <w:tcPr>
            <w:tcW w:w="5940" w:type="dxa"/>
            <w:vAlign w:val="bottom"/>
            <w:gridSpan w:val="7"/>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18</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80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Committee Report</w:t>
              </w:r>
            </w:hyperlink>
          </w:p>
        </w:tc>
        <w:tc>
          <w:tcPr>
            <w:tcW w:w="20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24</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80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Two – Approval of an Amendment to the Employee Stock Purchase Plan</w:t>
              </w:r>
            </w:hyperlink>
          </w:p>
        </w:tc>
        <w:tc>
          <w:tcPr>
            <w:tcW w:w="20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25</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7060" w:type="dxa"/>
            <w:vAlign w:val="bottom"/>
            <w:gridSpan w:val="10"/>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Proposal Three – Ratification of Appointment of Independent Registered Public Accounting Firm</w:t>
              </w:r>
            </w:hyperlink>
          </w:p>
        </w:tc>
        <w:tc>
          <w:tcPr>
            <w:tcW w:w="1740" w:type="dxa"/>
            <w:vAlign w:val="bottom"/>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27</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800" w:type="dxa"/>
            <w:vAlign w:val="bottom"/>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Audit Committee Report</w:t>
              </w:r>
            </w:hyperlink>
          </w:p>
        </w:tc>
        <w:tc>
          <w:tcPr>
            <w:tcW w:w="526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27</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80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Householding of Annual Disclosure Documents</w:t>
              </w:r>
            </w:hyperlink>
          </w:p>
        </w:tc>
        <w:tc>
          <w:tcPr>
            <w:tcW w:w="202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29</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600" w:type="dxa"/>
            <w:vAlign w:val="bottom"/>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Available Information</w:t>
              </w:r>
            </w:hyperlink>
          </w:p>
        </w:tc>
        <w:tc>
          <w:tcPr>
            <w:tcW w:w="1860" w:type="dxa"/>
            <w:vAlign w:val="bottom"/>
            <w:gridSpan w:val="6"/>
          </w:tcPr>
          <w:p>
            <w:pPr>
              <w:spacing w:after="0"/>
              <w:rPr>
                <w:sz w:val="24"/>
                <w:szCs w:val="24"/>
                <w:color w:val="auto"/>
              </w:rPr>
            </w:pPr>
          </w:p>
        </w:tc>
        <w:tc>
          <w:tcPr>
            <w:tcW w:w="5340" w:type="dxa"/>
            <w:vAlign w:val="bottom"/>
            <w:gridSpan w:val="4"/>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29</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3320" w:type="dxa"/>
            <w:vAlign w:val="bottom"/>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Appendix A – Employee Stock Purchase Plan</w:t>
              </w:r>
            </w:hyperlink>
          </w:p>
        </w:tc>
        <w:tc>
          <w:tcPr>
            <w:tcW w:w="5480" w:type="dxa"/>
            <w:vAlign w:val="bottom"/>
            <w:gridSpan w:val="5"/>
          </w:tcPr>
          <w:p>
            <w:pPr>
              <w:spacing w:after="0"/>
              <w:rPr>
                <w:sz w:val="24"/>
                <w:szCs w:val="24"/>
                <w:color w:val="auto"/>
              </w:rPr>
            </w:pPr>
          </w:p>
        </w:tc>
        <w:tc>
          <w:tcPr>
            <w:tcW w:w="202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A-1</w:t>
              </w:r>
            </w:hyperlink>
          </w:p>
        </w:tc>
      </w:tr>
      <w:tr>
        <w:trPr>
          <w:trHeight w:val="20"/>
        </w:trPr>
        <w:tc>
          <w:tcPr>
            <w:tcW w:w="1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DAKTRONICS,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2010 ANNUAL MEETING OF SHAREHOLDERS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enclosed proxy is solicited by and on behalf of the Board of Directors of Daktronics, Inc., a South Dakota corporation (the “Company”), for use at our Annual Meeting of Shareholders to be held on Wednesday, August 25, 2010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2010 Annual Report to Shareholders, are being made available to shareholders on the Internet or are being mailed on or about July 9, 2010 to all shareholders entitled to vote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Only shareholders of record at the close of business on June 28, 2010 (the “Record Date”) are entitled to notice of and to vote at the meeting. As of the Record Date, there were 41,244,411 shares of our common stock outstanding and entitled to vote held by 505 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xml:space="preserve"> by selecting “Investors 221; and then “Proxy Materials.” We are providing some of our shareholders, including shareholders who have previously requested to receive paper copies of the proxy materials, with paper copies of the proxy materials instead of a notice about the Internet availability of the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Requirements</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w:t>
      </w:r>
    </w:p>
    <w:p>
      <w:pPr>
        <w:sectPr>
          <w:pgSz w:w="11900" w:h="16838" w:orient="portrait"/>
          <w:cols w:equalWidth="0" w:num="1">
            <w:col w:w="10820"/>
          </w:cols>
          <w:pgMar w:left="240" w:top="108" w:right="839" w:bottom="0" w:gutter="0" w:footer="0" w:header="0"/>
        </w:sectPr>
      </w:pPr>
    </w:p>
    <w:bookmarkStart w:id="3" w:name="page4"/>
    <w:bookmarkEnd w:id="3"/>
    <w:p>
      <w:pPr>
        <w:jc w:val="both"/>
        <w:ind w:right="20"/>
        <w:spacing w:after="0" w:line="259" w:lineRule="auto"/>
        <w:rPr>
          <w:sz w:val="20"/>
          <w:szCs w:val="20"/>
          <w:color w:val="auto"/>
        </w:rPr>
      </w:pPr>
      <w:r>
        <w:rPr>
          <w:rFonts w:ascii="Arial" w:cs="Arial" w:eastAsia="Arial" w:hAnsi="Arial"/>
          <w:sz w:val="18"/>
          <w:szCs w:val="18"/>
          <w:color w:val="auto"/>
        </w:rPr>
        <w:t>The affirmative vote of a majority of the shares of common stock represented at the Annual Meeting, either in person or by proxy, assuming a quorum is present, is required to approve the proposed amendment to our Employee Stock Purchase Plan and to ratify the appointment of Ernst &amp; Young LLP as our independent registered public accounting firm for fiscal 2011. Abstentions and, if applicable, broker non-votes, are not counted as votes “for” or “against” these proposals.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the shares of our common stock are held directly in the name of the shareholder, he or she can vote on matters to come before the meeting as follows:</w:t>
      </w:r>
    </w:p>
    <w:p>
      <w:pPr>
        <w:spacing w:after="0" w:line="211" w:lineRule="exact"/>
        <w:rPr>
          <w:sz w:val="20"/>
          <w:szCs w:val="20"/>
          <w:color w:val="auto"/>
        </w:rPr>
      </w:pPr>
    </w:p>
    <w:p>
      <w:pPr>
        <w:ind w:left="660" w:right="20" w:hanging="202"/>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shareholder has received a paper copy of a proxy card, by completing, dating and signing the proxy and returning it to us in the postage-paid envelope provided for that purpose; or</w:t>
      </w:r>
    </w:p>
    <w:p>
      <w:pPr>
        <w:spacing w:after="0" w:line="1" w:lineRule="exact"/>
        <w:rPr>
          <w:rFonts w:ascii="Arial" w:cs="Arial" w:eastAsia="Arial" w:hAnsi="Arial"/>
          <w:sz w:val="18"/>
          <w:szCs w:val="18"/>
          <w:color w:val="auto"/>
        </w:rPr>
      </w:pPr>
    </w:p>
    <w:p>
      <w:pPr>
        <w:ind w:left="660" w:hanging="20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written ballot at the meeting; or</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 at http://www.proxyvote.com.</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7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 either:</w:t>
      </w:r>
    </w:p>
    <w:p>
      <w:pPr>
        <w:spacing w:after="0" w:line="211" w:lineRule="exact"/>
        <w:rPr>
          <w:sz w:val="20"/>
          <w:szCs w:val="20"/>
          <w:color w:val="auto"/>
        </w:rPr>
      </w:pPr>
    </w:p>
    <w:p>
      <w:pPr>
        <w:ind w:left="660" w:hanging="20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of revocation,</w:t>
      </w:r>
    </w:p>
    <w:p>
      <w:pPr>
        <w:spacing w:after="0" w:line="23" w:lineRule="exact"/>
        <w:rPr>
          <w:rFonts w:ascii="Arial" w:cs="Arial" w:eastAsia="Arial" w:hAnsi="Arial"/>
          <w:sz w:val="18"/>
          <w:szCs w:val="18"/>
          <w:color w:val="auto"/>
        </w:rPr>
      </w:pPr>
    </w:p>
    <w:p>
      <w:pPr>
        <w:ind w:left="660" w:hanging="20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by telephone or via the Internet after your prior telephone or Internet vote, or</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will not itself revoke a proxy).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If you hold your shares in street name, it is critical that you cast your vote if you want it to count in the election of Directors (Proposal 1 of this Proxy Statement). In the past, if you held your shares in street name and you did not indicate how you wanted your shares voted in the election of Directors, your bank or broker was allowed to vote those shares on your behalf in the election of Directors as the bank or broker felt appropriate.</w:t>
      </w:r>
    </w:p>
    <w:p>
      <w:pPr>
        <w:spacing w:after="0" w:line="15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Recent changes in regulation eliminated the ability of your bank or broker to vote your uninstructed shares in the election of Directors on a discretionary basis. Therefore, if you hold your shares in street name and you do not instruct your bank or broker how to vote in the election of Directors, no votes will be cast on your behalf in the election of Directors. Your bank or broker will, however, continue to have discretion to vote any uninstructed shares on the proposed amendment to our Employee Stock Purchase Plan (Proposal 2 of this Proxy Statement) and the ratification of the appointment of the Company’s independent registered public accounting firm (Proposal 3 of this Proxy Statement). If you are a shareholder of record and you do not cast your vote, no votes will be cast on your behalf on any proposals at the Annual Meetin 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12, 2011 and must otherwise comply with the requirements of Rule 14a-8 under the Securities Exchange Act of 1934.</w:t>
      </w:r>
    </w:p>
    <w:p>
      <w:pPr>
        <w:sectPr>
          <w:pgSz w:w="11900" w:h="16838" w:orient="portrait"/>
          <w:cols w:equalWidth="0" w:num="1">
            <w:col w:w="10820"/>
          </w:cols>
          <w:pgMar w:left="240" w:top="125" w:right="839" w:bottom="0" w:gutter="0" w:footer="0" w:header="0"/>
        </w:sectPr>
      </w:pPr>
    </w:p>
    <w:bookmarkStart w:id="4" w:name="page5"/>
    <w:bookmarkEnd w:id="4"/>
    <w:p>
      <w:pPr>
        <w:jc w:val="both"/>
        <w:ind w:right="40"/>
        <w:spacing w:after="0" w:line="288" w:lineRule="auto"/>
        <w:rPr>
          <w:sz w:val="20"/>
          <w:szCs w:val="20"/>
          <w:color w:val="auto"/>
        </w:rPr>
      </w:pPr>
      <w:r>
        <w:rPr>
          <w:rFonts w:ascii="Arial" w:cs="Arial" w:eastAsia="Arial" w:hAnsi="Arial"/>
          <w:sz w:val="16"/>
          <w:szCs w:val="16"/>
          <w:color w:val="auto"/>
        </w:rPr>
        <w:t>For any proposal that is not submitted for inclusion in next year’s Proxy Statement but is instead sought to be presented directly at the 2011 annual meeting of shareholders, management may vote proxies in its discretion if we: (a) receive notice of the proposal before the close of business on May 25, 2011 and advise shareholders in the 2011 Proxy Statement about the nature of the matter and how management intends to vote on such matter or</w:t>
      </w:r>
    </w:p>
    <w:p>
      <w:pPr>
        <w:ind w:right="40" w:firstLine="8"/>
        <w:spacing w:after="0" w:line="323" w:lineRule="auto"/>
        <w:tabs>
          <w:tab w:leader="none" w:pos="262" w:val="left"/>
        </w:tabs>
        <w:numPr>
          <w:ilvl w:val="0"/>
          <w:numId w:val="8"/>
        </w:numPr>
        <w:rPr>
          <w:rFonts w:ascii="Arial" w:cs="Arial" w:eastAsia="Arial" w:hAnsi="Arial"/>
          <w:sz w:val="16"/>
          <w:szCs w:val="16"/>
          <w:color w:val="auto"/>
        </w:rPr>
      </w:pPr>
      <w:r>
        <w:rPr>
          <w:rFonts w:ascii="Arial" w:cs="Arial" w:eastAsia="Arial" w:hAnsi="Arial"/>
          <w:sz w:val="16"/>
          <w:szCs w:val="16"/>
          <w:color w:val="auto"/>
        </w:rPr>
        <w:t>do not receive notice of the proposal before the close of business on May 25, 2011. Notices of intention to present proposals at the 2011 annual meeting of shareholders should be addressed to Corporate Secretary, Daktronics, Inc., 201 Daktronics Drive, Brookings, South Dakota 57006.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Our fiscal 2010 Annual Report to Shareholders, including, but not limited to, the consolidated balance sheets as of May 1, 2010 and May 2, 2009 and the related consolidated statements of operations, stockholders’ equity, and cash flows for each of the three years in the period ended May 1, 2010, accompanies these materials. A copy of the fiscal 2010 Annual Report to Shareholders may be obtained without charge upon request to the Company. The fiscal year 2010 Annual Report to Shareholders can also be accessed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 xml:space="preserve"> by selecting “Investors,” then “Financials” and then “Annual Reports.” In addition, we will provide without charge to any shareholder, upon the shareholder’s written request, a copy of our Annual Report on Form 10-K for the year ended May 1, 2010 filed with the Securities and Exchange Commission. Requests should be directed to Investor Relations, Daktronics, Inc., 201 Daktronics Drive, Brookings, South Dakota 57006.</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28, 2010,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Amount and Nature of</w:t>
            </w:r>
          </w:p>
        </w:tc>
        <w:tc>
          <w:tcPr>
            <w:tcW w:w="2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Percentage of</w:t>
            </w:r>
          </w:p>
        </w:tc>
        <w:tc>
          <w:tcPr>
            <w:tcW w:w="20" w:type="dxa"/>
            <w:vAlign w:val="bottom"/>
          </w:tcPr>
          <w:p>
            <w:pPr>
              <w:spacing w:after="0"/>
              <w:rPr>
                <w:sz w:val="18"/>
                <w:szCs w:val="18"/>
                <w:color w:val="auto"/>
              </w:rPr>
            </w:pPr>
          </w:p>
        </w:tc>
      </w:tr>
      <w:tr>
        <w:trPr>
          <w:trHeight w:val="241"/>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600" w:type="dxa"/>
            <w:vAlign w:val="bottom"/>
            <w:gridSpan w:val="2"/>
          </w:tcPr>
          <w:p>
            <w:pPr>
              <w:jc w:val="center"/>
              <w:ind w:right="120"/>
              <w:spacing w:after="0" w:line="234"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2380" w:type="dxa"/>
            <w:vAlign w:val="bottom"/>
            <w:gridSpan w:val="2"/>
          </w:tcPr>
          <w:p>
            <w:pPr>
              <w:jc w:val="right"/>
              <w:ind w:right="360"/>
              <w:spacing w:after="0" w:line="234" w:lineRule="exact"/>
              <w:rPr>
                <w:sz w:val="20"/>
                <w:szCs w:val="20"/>
                <w:color w:val="auto"/>
              </w:rPr>
            </w:pPr>
            <w:r>
              <w:rPr>
                <w:rFonts w:ascii="Arial" w:cs="Arial" w:eastAsia="Arial" w:hAnsi="Arial"/>
                <w:sz w:val="18"/>
                <w:szCs w:val="18"/>
                <w:b w:val="1"/>
                <w:bCs w:val="1"/>
                <w:color w:val="auto"/>
              </w:rPr>
              <w:t>Outstanding Shares</w:t>
            </w:r>
            <w:r>
              <w:rPr>
                <w:rFonts w:ascii="Arial" w:cs="Arial" w:eastAsia="Arial" w:hAnsi="Arial"/>
                <w:sz w:val="25"/>
                <w:szCs w:val="25"/>
                <w:b w:val="1"/>
                <w:bCs w:val="1"/>
                <w:color w:val="auto"/>
                <w:vertAlign w:val="superscript"/>
              </w:rPr>
              <w:t>(2)</w:t>
            </w:r>
          </w:p>
        </w:tc>
        <w:tc>
          <w:tcPr>
            <w:tcW w:w="20" w:type="dxa"/>
            <w:vAlign w:val="bottom"/>
          </w:tcPr>
          <w:p>
            <w:pPr>
              <w:spacing w:after="0"/>
              <w:rPr>
                <w:sz w:val="20"/>
                <w:szCs w:val="20"/>
                <w:color w:val="auto"/>
              </w:rPr>
            </w:pPr>
          </w:p>
        </w:tc>
      </w:tr>
      <w:tr>
        <w:trPr>
          <w:trHeight w:val="202"/>
        </w:trPr>
        <w:tc>
          <w:tcPr>
            <w:tcW w:w="45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5% Beneficial Owners:</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BlackRock, Inc.</w:t>
            </w:r>
          </w:p>
        </w:tc>
        <w:tc>
          <w:tcPr>
            <w:tcW w:w="1160" w:type="dxa"/>
            <w:vAlign w:val="bottom"/>
            <w:gridSpan w:val="2"/>
          </w:tcPr>
          <w:p>
            <w:pPr>
              <w:jc w:val="center"/>
              <w:ind w:left="49"/>
              <w:spacing w:after="0"/>
              <w:rPr>
                <w:sz w:val="20"/>
                <w:szCs w:val="20"/>
                <w:color w:val="auto"/>
              </w:rPr>
            </w:pPr>
            <w:r>
              <w:rPr>
                <w:rFonts w:ascii="Arial" w:cs="Arial" w:eastAsia="Arial" w:hAnsi="Arial"/>
                <w:sz w:val="18"/>
                <w:szCs w:val="18"/>
                <w:color w:val="auto"/>
                <w:w w:val="93"/>
              </w:rPr>
              <w:t>(15)</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2,747,180</w:t>
            </w:r>
          </w:p>
        </w:tc>
        <w:tc>
          <w:tcPr>
            <w:tcW w:w="120" w:type="dxa"/>
            <w:vAlign w:val="bottom"/>
          </w:tcPr>
          <w:p>
            <w:pPr>
              <w:spacing w:after="0"/>
              <w:rPr>
                <w:sz w:val="18"/>
                <w:szCs w:val="18"/>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ind w:left="20"/>
              <w:spacing w:after="0" w:line="216" w:lineRule="exact"/>
              <w:rPr>
                <w:sz w:val="20"/>
                <w:szCs w:val="20"/>
                <w:color w:val="auto"/>
              </w:rPr>
            </w:pPr>
            <w:r>
              <w:rPr>
                <w:rFonts w:ascii="Arial" w:cs="Arial" w:eastAsia="Arial" w:hAnsi="Arial"/>
                <w:sz w:val="18"/>
                <w:szCs w:val="18"/>
                <w:color w:val="auto"/>
              </w:rPr>
              <w:t>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New York, NY 10022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FMR LLC</w:t>
            </w:r>
          </w:p>
        </w:tc>
        <w:tc>
          <w:tcPr>
            <w:tcW w:w="1160" w:type="dxa"/>
            <w:vAlign w:val="bottom"/>
            <w:gridSpan w:val="2"/>
          </w:tcPr>
          <w:p>
            <w:pPr>
              <w:jc w:val="center"/>
              <w:ind w:left="49"/>
              <w:spacing w:after="0"/>
              <w:rPr>
                <w:sz w:val="20"/>
                <w:szCs w:val="20"/>
                <w:color w:val="auto"/>
              </w:rPr>
            </w:pPr>
            <w:r>
              <w:rPr>
                <w:rFonts w:ascii="Arial" w:cs="Arial" w:eastAsia="Arial" w:hAnsi="Arial"/>
                <w:sz w:val="18"/>
                <w:szCs w:val="18"/>
                <w:color w:val="auto"/>
                <w:w w:val="93"/>
              </w:rPr>
              <w:t>(16)</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2,225,800</w:t>
            </w:r>
          </w:p>
        </w:tc>
        <w:tc>
          <w:tcPr>
            <w:tcW w:w="120" w:type="dxa"/>
            <w:vAlign w:val="bottom"/>
          </w:tcPr>
          <w:p>
            <w:pPr>
              <w:spacing w:after="0"/>
              <w:rPr>
                <w:sz w:val="18"/>
                <w:szCs w:val="18"/>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82 Devonshire Street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Boston, MA 02109</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Named Officers and Directors: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Dr. Aelred J. Kurtenbach</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(3)</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2,746,835</w:t>
            </w:r>
          </w:p>
        </w:tc>
        <w:tc>
          <w:tcPr>
            <w:tcW w:w="120" w:type="dxa"/>
            <w:vAlign w:val="bottom"/>
          </w:tcPr>
          <w:p>
            <w:pPr>
              <w:spacing w:after="0"/>
              <w:rPr>
                <w:sz w:val="18"/>
                <w:szCs w:val="18"/>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James B. Morgan</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(4)</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1,512,689</w:t>
            </w:r>
          </w:p>
        </w:tc>
        <w:tc>
          <w:tcPr>
            <w:tcW w:w="120" w:type="dxa"/>
            <w:vAlign w:val="bottom"/>
          </w:tcPr>
          <w:p>
            <w:pPr>
              <w:spacing w:after="0"/>
              <w:rPr>
                <w:sz w:val="18"/>
                <w:szCs w:val="18"/>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Frank J. Kurtenbach</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(5)</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766,325</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Byron J. Anderson</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(6)</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35,413</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Robert G. Dutcher</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(7)</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48,675</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Nancy D. Frame</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(8)</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84,675</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John L. Mulligan</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90"/>
              </w:rPr>
              <w:t>(9)</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65,992</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96"/>
        </w:trPr>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22"/>
                <w:szCs w:val="22"/>
                <w:color w:val="auto"/>
              </w:rPr>
              <w:t>3</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6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gridSpan w:val="2"/>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46"/>
        </w:trPr>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Amount and Nature of</w:t>
            </w:r>
          </w:p>
        </w:tc>
        <w:tc>
          <w:tcPr>
            <w:tcW w:w="23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Percentage of</w:t>
            </w:r>
          </w:p>
        </w:tc>
        <w:tc>
          <w:tcPr>
            <w:tcW w:w="20" w:type="dxa"/>
            <w:vAlign w:val="bottom"/>
          </w:tcPr>
          <w:p>
            <w:pPr>
              <w:spacing w:after="0"/>
              <w:rPr>
                <w:sz w:val="24"/>
                <w:szCs w:val="24"/>
                <w:color w:val="auto"/>
              </w:rPr>
            </w:pPr>
          </w:p>
        </w:tc>
      </w:tr>
      <w:tr>
        <w:trPr>
          <w:trHeight w:val="241"/>
        </w:trPr>
        <w:tc>
          <w:tcPr>
            <w:tcW w:w="26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right"/>
              <w:ind w:right="130"/>
              <w:spacing w:after="0" w:line="234" w:lineRule="exact"/>
              <w:rPr>
                <w:sz w:val="20"/>
                <w:szCs w:val="20"/>
                <w:color w:val="auto"/>
              </w:rPr>
            </w:pPr>
            <w:r>
              <w:rPr>
                <w:rFonts w:ascii="Arial" w:cs="Arial" w:eastAsia="Arial" w:hAnsi="Arial"/>
                <w:sz w:val="18"/>
                <w:szCs w:val="18"/>
                <w:b w:val="1"/>
                <w:bCs w:val="1"/>
                <w:color w:val="auto"/>
                <w:w w:val="97"/>
              </w:rPr>
              <w:t>Outstanding Shares</w:t>
            </w:r>
            <w:r>
              <w:rPr>
                <w:rFonts w:ascii="Arial" w:cs="Arial" w:eastAsia="Arial" w:hAnsi="Arial"/>
                <w:sz w:val="25"/>
                <w:szCs w:val="25"/>
                <w:b w:val="1"/>
                <w:bCs w:val="1"/>
                <w:color w:val="auto"/>
                <w:w w:val="97"/>
                <w:vertAlign w:val="superscript"/>
              </w:rPr>
              <w:t>(2)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6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Dr. Duane E. Sander</w:t>
            </w:r>
          </w:p>
        </w:tc>
        <w:tc>
          <w:tcPr>
            <w:tcW w:w="12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7"/>
                <w:szCs w:val="17"/>
                <w:color w:val="auto"/>
              </w:rPr>
            </w:pPr>
          </w:p>
        </w:tc>
        <w:tc>
          <w:tcPr>
            <w:tcW w:w="2480" w:type="dxa"/>
            <w:vAlign w:val="bottom"/>
          </w:tcPr>
          <w:p>
            <w:pPr>
              <w:jc w:val="right"/>
              <w:spacing w:after="0" w:line="201" w:lineRule="exact"/>
              <w:rPr>
                <w:sz w:val="20"/>
                <w:szCs w:val="20"/>
                <w:color w:val="auto"/>
              </w:rPr>
            </w:pPr>
            <w:r>
              <w:rPr>
                <w:rFonts w:ascii="Arial" w:cs="Arial" w:eastAsia="Arial" w:hAnsi="Arial"/>
                <w:sz w:val="18"/>
                <w:szCs w:val="18"/>
                <w:color w:val="auto"/>
              </w:rPr>
              <w:t>873,739</w:t>
            </w:r>
          </w:p>
        </w:tc>
        <w:tc>
          <w:tcPr>
            <w:tcW w:w="120" w:type="dxa"/>
            <w:vAlign w:val="bottom"/>
          </w:tcPr>
          <w:p>
            <w:pPr>
              <w:spacing w:after="0"/>
              <w:rPr>
                <w:sz w:val="17"/>
                <w:szCs w:val="17"/>
                <w:color w:val="auto"/>
              </w:rPr>
            </w:pPr>
          </w:p>
        </w:tc>
        <w:tc>
          <w:tcPr>
            <w:tcW w:w="23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James A. Vellenga</w:t>
            </w:r>
          </w:p>
        </w:tc>
        <w:tc>
          <w:tcPr>
            <w:tcW w:w="1160" w:type="dxa"/>
            <w:vAlign w:val="bottom"/>
            <w:gridSpan w:val="2"/>
          </w:tcPr>
          <w:p>
            <w:pPr>
              <w:jc w:val="center"/>
              <w:ind w:left="29"/>
              <w:spacing w:after="0"/>
              <w:rPr>
                <w:sz w:val="20"/>
                <w:szCs w:val="20"/>
                <w:color w:val="auto"/>
              </w:rPr>
            </w:pPr>
            <w:r>
              <w:rPr>
                <w:rFonts w:ascii="Arial" w:cs="Arial" w:eastAsia="Arial" w:hAnsi="Arial"/>
                <w:sz w:val="18"/>
                <w:szCs w:val="18"/>
                <w:color w:val="auto"/>
                <w:w w:val="87"/>
              </w:rPr>
              <w:t>(11)</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90,413</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William R. Retterath</w:t>
            </w:r>
          </w:p>
        </w:tc>
        <w:tc>
          <w:tcPr>
            <w:tcW w:w="1160" w:type="dxa"/>
            <w:vAlign w:val="bottom"/>
            <w:gridSpan w:val="2"/>
          </w:tcPr>
          <w:p>
            <w:pPr>
              <w:jc w:val="center"/>
              <w:ind w:left="49"/>
              <w:spacing w:after="0"/>
              <w:rPr>
                <w:sz w:val="20"/>
                <w:szCs w:val="20"/>
                <w:color w:val="auto"/>
              </w:rPr>
            </w:pPr>
            <w:r>
              <w:rPr>
                <w:rFonts w:ascii="Arial" w:cs="Arial" w:eastAsia="Arial" w:hAnsi="Arial"/>
                <w:sz w:val="18"/>
                <w:szCs w:val="18"/>
                <w:color w:val="auto"/>
                <w:w w:val="93"/>
              </w:rPr>
              <w:t>(12)</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95,188</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Reece A. K</w:t>
            </w:r>
            <w:r>
              <w:rPr>
                <w:rFonts w:ascii="Arial" w:cs="Arial" w:eastAsia="Arial" w:hAnsi="Arial"/>
                <w:sz w:val="14"/>
                <w:szCs w:val="14"/>
                <w:color w:val="auto"/>
              </w:rPr>
              <w:t>urtenbach</w:t>
            </w:r>
          </w:p>
        </w:tc>
        <w:tc>
          <w:tcPr>
            <w:tcW w:w="1160" w:type="dxa"/>
            <w:vAlign w:val="bottom"/>
            <w:gridSpan w:val="2"/>
          </w:tcPr>
          <w:p>
            <w:pPr>
              <w:jc w:val="center"/>
              <w:ind w:left="49"/>
              <w:spacing w:after="0"/>
              <w:rPr>
                <w:sz w:val="20"/>
                <w:szCs w:val="20"/>
                <w:color w:val="auto"/>
              </w:rPr>
            </w:pPr>
            <w:r>
              <w:rPr>
                <w:rFonts w:ascii="Arial" w:cs="Arial" w:eastAsia="Arial" w:hAnsi="Arial"/>
                <w:sz w:val="18"/>
                <w:szCs w:val="18"/>
                <w:color w:val="auto"/>
                <w:w w:val="93"/>
              </w:rPr>
              <w:t>(13)</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400,914</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Bradley T. Wiemann</w:t>
            </w:r>
          </w:p>
        </w:tc>
        <w:tc>
          <w:tcPr>
            <w:tcW w:w="1160" w:type="dxa"/>
            <w:vAlign w:val="bottom"/>
            <w:gridSpan w:val="2"/>
          </w:tcPr>
          <w:p>
            <w:pPr>
              <w:jc w:val="center"/>
              <w:ind w:left="49"/>
              <w:spacing w:after="0"/>
              <w:rPr>
                <w:sz w:val="20"/>
                <w:szCs w:val="20"/>
                <w:color w:val="auto"/>
              </w:rPr>
            </w:pPr>
            <w:r>
              <w:rPr>
                <w:rFonts w:ascii="Arial" w:cs="Arial" w:eastAsia="Arial" w:hAnsi="Arial"/>
                <w:sz w:val="18"/>
                <w:szCs w:val="18"/>
                <w:color w:val="auto"/>
                <w:w w:val="93"/>
              </w:rPr>
              <w:t>(14)</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180,929</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60" w:type="dxa"/>
            <w:vAlign w:val="bottom"/>
            <w:gridSpan w:val="2"/>
          </w:tcPr>
          <w:p>
            <w:pPr>
              <w:ind w:left="140"/>
              <w:spacing w:after="0"/>
              <w:rPr>
                <w:sz w:val="20"/>
                <w:szCs w:val="20"/>
                <w:color w:val="auto"/>
              </w:rPr>
            </w:pPr>
            <w:r>
              <w:rPr>
                <w:rFonts w:ascii="Arial" w:cs="Arial" w:eastAsia="Arial" w:hAnsi="Arial"/>
                <w:sz w:val="18"/>
                <w:szCs w:val="18"/>
                <w:b w:val="1"/>
                <w:bCs w:val="1"/>
                <w:color w:val="auto"/>
              </w:rPr>
              <w:t>(12 persons, consisting of those named above)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6,901,787</w:t>
            </w:r>
          </w:p>
        </w:tc>
        <w:tc>
          <w:tcPr>
            <w:tcW w:w="12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-1487170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-1487170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389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1%</w:t>
      </w:r>
    </w:p>
    <w:p>
      <w:pPr>
        <w:ind w:left="640" w:right="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640" w:right="40" w:hanging="632"/>
        <w:spacing w:after="0" w:line="238" w:lineRule="auto"/>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Based on 41,244,411 shares of common stock outstanding as of June 28, 2010. Such number does not include 201,094 shares of common stock subject to stock options outstanding as of June 28, 2010. Each figure showing the percentage of outstanding shares owned beneficially has been calculated by treating as outstanding and owned the shares upon which could be purchased by the indicated person(s) on June 28, 2010 or within 60 days of June 28, 2010 upon the exercise of stock options.</w:t>
      </w:r>
    </w:p>
    <w:p>
      <w:pPr>
        <w:ind w:left="6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30,504 shares issuable pursuant to currently exercisable stock options, 2,019 shares held through the 401(k) Plan, 1,227,510 shares held by his</w:t>
      </w:r>
    </w:p>
    <w:p>
      <w:pPr>
        <w:ind w:left="640" w:right="40"/>
        <w:spacing w:after="0" w:line="221" w:lineRule="auto"/>
        <w:rPr>
          <w:rFonts w:ascii="Arial" w:cs="Arial" w:eastAsia="Arial" w:hAnsi="Arial"/>
          <w:sz w:val="14"/>
          <w:szCs w:val="14"/>
          <w:color w:val="auto"/>
        </w:rPr>
      </w:pPr>
      <w:r>
        <w:rPr>
          <w:rFonts w:ascii="Arial" w:cs="Arial" w:eastAsia="Arial" w:hAnsi="Arial"/>
          <w:sz w:val="14"/>
          <w:szCs w:val="14"/>
          <w:color w:val="auto"/>
        </w:rPr>
        <w:t>spouse and 50,000 shares held in the Al and Irene Kurtenbach Foundation (the “Kurtenbach Foundation”). The shares in the Kurtenbach Foundation are the same shares shown as being owned by Reece A. Kurtenbach through the Kurtenbach Foundation in footnote (13), as voting control is shared.</w:t>
      </w:r>
    </w:p>
    <w:p>
      <w:pPr>
        <w:ind w:left="640" w:right="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80,600 shares subject to options, 2,400 shares of restricted stock which vest 20% over five years as of each anniversary of the grant date and 42,659 shares held through the 401(k) Plan.</w:t>
      </w:r>
    </w:p>
    <w:p>
      <w:pPr>
        <w:ind w:left="6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2,715 shares held through the 401(k) Plan and 217,490 shares held by his spouse.</w:t>
      </w:r>
    </w:p>
    <w:p>
      <w:pPr>
        <w:ind w:left="640" w:hanging="632"/>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32,000 shares subject to options and 2,413 shares of restricted stock which vest on August 27, 2010.</w:t>
      </w:r>
    </w:p>
    <w:p>
      <w:pPr>
        <w:spacing w:after="0" w:line="9" w:lineRule="exact"/>
        <w:rPr>
          <w:rFonts w:ascii="Arial" w:cs="Arial" w:eastAsia="Arial" w:hAnsi="Arial"/>
          <w:sz w:val="14"/>
          <w:szCs w:val="14"/>
          <w:color w:val="auto"/>
        </w:rPr>
      </w:pPr>
    </w:p>
    <w:p>
      <w:pPr>
        <w:ind w:left="640" w:hanging="632"/>
        <w:spacing w:after="0" w:line="229"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30,494 shares subject to options and 2,413 shares of restricted stock which vest on August 27, 2010.</w:t>
      </w:r>
    </w:p>
    <w:p>
      <w:pPr>
        <w:ind w:left="6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30,494 shares subject to options and 2,413 shares of restricted stock which vest on August 27, 2010.</w:t>
      </w:r>
    </w:p>
    <w:p>
      <w:pPr>
        <w:ind w:left="6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37,661 shares subject to options and 2,413 shares of restricted stock which vest on August 27, 2010.</w:t>
      </w:r>
    </w:p>
    <w:p>
      <w:pPr>
        <w:ind w:left="640" w:right="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37,661 shares subject to options, 289,419 shares held in Phyllis A. Sander Living Trust, 524,335 held in trust for the benefit of Dr. Sander and 2,413 shares of restricted stock which vest on August 27, 2010.</w:t>
      </w:r>
    </w:p>
    <w:p>
      <w:pPr>
        <w:ind w:left="6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60,000 shares subject to options, 2,413 shares of restricted stock which vest on August 27, 2010 and 5,000 shares held by spouse.</w:t>
      </w:r>
    </w:p>
    <w:p>
      <w:pPr>
        <w:ind w:left="640" w:right="40" w:hanging="632"/>
        <w:spacing w:after="0" w:line="22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77,400 shares subject to options, 2,200 shares of restricted stock which vest 20% over five years as of each anniversary of the grant date and 10,148 shares held through the 401(k) Plan.</w:t>
      </w:r>
    </w:p>
    <w:p>
      <w:pPr>
        <w:jc w:val="both"/>
        <w:ind w:left="640" w:right="40" w:hanging="632"/>
        <w:spacing w:after="0" w:line="255" w:lineRule="auto"/>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53,900 shares subject to options, 2,100 shares of restricted stock which vest 20% over five years as of each anniversary of the grant date, 18,532 shares held through the 401(k) Plan, 17,400 shares held by his spouse, 44,800 shares held by his children, and 50,000 shares held in the Kurtenbach Foundation. The shares in the Kurtenbach Foundation are the same shares shown as being owned by Dr. Aelred J. Kurtenbach through the Kurtenbach Foundation in footnote (3), as voting control is shared.</w:t>
      </w:r>
    </w:p>
    <w:p>
      <w:pPr>
        <w:sectPr>
          <w:pgSz w:w="11900" w:h="16838" w:orient="portrait"/>
          <w:cols w:equalWidth="0" w:num="1">
            <w:col w:w="10840"/>
          </w:cols>
          <w:pgMar w:left="240" w:top="125" w:right="819" w:bottom="0" w:gutter="0" w:footer="0" w:header="0"/>
        </w:sectPr>
      </w:pPr>
    </w:p>
    <w:bookmarkStart w:id="5" w:name="page6"/>
    <w:bookmarkEnd w:id="5"/>
    <w:p>
      <w:pPr>
        <w:ind w:left="640" w:right="20" w:hanging="632"/>
        <w:spacing w:after="0" w:line="229"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99,900 shares subject to options, 2,100 shares of restricted stock which vest 20% over five years as of each anniversary of the grant date, 25,999 shares held through the 401(k) Plan and 400 shares held by his spouse.</w:t>
      </w:r>
    </w:p>
    <w:p>
      <w:pPr>
        <w:spacing w:after="0" w:line="1" w:lineRule="exact"/>
        <w:rPr>
          <w:rFonts w:ascii="Arial" w:cs="Arial" w:eastAsia="Arial" w:hAnsi="Arial"/>
          <w:sz w:val="14"/>
          <w:szCs w:val="14"/>
          <w:color w:val="auto"/>
        </w:rPr>
      </w:pPr>
    </w:p>
    <w:p>
      <w:pPr>
        <w:ind w:left="640" w:right="20" w:hanging="632"/>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information as of December 31, 2009 derived from an amendment to Schedule 13G filed with the SEC by BlackRock, Inc., on January 29, 2010. As set forth in the amendment to Schedule 13G, as amended, BlackRock, Inc. Investors has sole voting and dispositive power as to 2,747,180 shares.</w:t>
      </w:r>
    </w:p>
    <w:p>
      <w:pPr>
        <w:ind w:left="640" w:right="20" w:hanging="632"/>
        <w:spacing w:after="0" w:line="237"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information as of December 31, 2009 derived from a Schedule 13G filed with the SEC by FMR LLC, on February 16, 2010. As set forth in the Schedule 13G, FMR LLC has sole voting power as to 700 shares and sole dispositive power as to 2,225,800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and affairs are managed under the direction of our Board of Directors, which currently consists of nine individuals, divided into three classes serving staggered three-year terms of office. There are three Directors (James B. Morgan, John L. Mulligan and Dr. Duane E. Sander) whose terms expire at the 2010 Annual Meeting or until their successors are named, three Directors (Dr. Aelred J. Kurtenbach, Robert G. Dutcher and Nancy D. Frame) whose terms expire at the 2011 annual meeting of shareholders or until their successors are named, and three Directors (Byron J. Anderson, Frank J. Kurtenbach and James A. Vellenga) whose terms expire at the 2012 Annual Meeting or until their successors are named. The Nominating and Corporate Governance Committee has recommended to the Board of Directors that Mr. Morgan, Mr. Mulli gan and Dr. Sander be nominated as the Directors to be elected at the 2010 Annual Meeting, and the Board of Directors has approved that recommendation. All nominees have indicated a willingness to serve if elected. If any nominee becomes unable to serve before the Annual Meeting, the proxies received in response to this solicitation will be voted for a replacement nominee selected in accordance with the best judgment of the proxy holders named in the proxy.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“Procedural Matters – Vote Requirements” for a description of the votes required for the election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THE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20" w:type="dxa"/>
            <w:vAlign w:val="bottom"/>
          </w:tcPr>
          <w:p>
            <w:pPr>
              <w:spacing w:after="0"/>
              <w:rPr>
                <w:sz w:val="20"/>
                <w:szCs w:val="20"/>
                <w:color w:val="auto"/>
              </w:rPr>
            </w:pPr>
          </w:p>
        </w:tc>
        <w:tc>
          <w:tcPr>
            <w:tcW w:w="38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Principal Occupation</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Committees Served On</w:t>
            </w: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James B. Morgan</w:t>
            </w:r>
          </w:p>
        </w:tc>
        <w:tc>
          <w:tcPr>
            <w:tcW w:w="12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1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John L. Mulligan</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71</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Financial Advisor</w:t>
            </w: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Audit (Chairperson)</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Dr. Duane E. Sander</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72</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Retired</w:t>
            </w: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Nominating and Governance</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 Mr. Morgan brings to the Board his experience and knowledge of our business and industry derived from his current position as Chief Executive Officer and his experience of over 40 years working for the company.</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w:t>
      </w:r>
      <w:r>
        <w:rPr>
          <w:rFonts w:ascii="Arial" w:cs="Arial" w:eastAsia="Arial" w:hAnsi="Arial"/>
          <w:sz w:val="17"/>
          <w:szCs w:val="17"/>
          <w:color w:val="auto"/>
        </w:rPr>
        <w:t>has been a Director and has served as chairman of the Audit Committee since 1993. Since 1993, he has been employed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is also a certified public accountant. Mr. Mulligan brings to the Board a significant amount of financial expertise from his experience in the financial services industry as well as a deep understanding of shareholder issues and concerns based on his m ore than 20-year career as chief executive officer of a public company.</w:t>
      </w:r>
    </w:p>
    <w:p>
      <w:pPr>
        <w:spacing w:after="0" w:line="20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 xml:space="preserve">Duane E. Sander, Ph.D. </w:t>
      </w:r>
      <w:r>
        <w:rPr>
          <w:rFonts w:ascii="Arial" w:cs="Arial" w:eastAsia="Arial" w:hAnsi="Arial"/>
          <w:sz w:val="16"/>
          <w:szCs w:val="16"/>
          <w:color w:val="auto"/>
        </w:rPr>
        <w:t>is a co-founder of the Company and has served as a Director since its incorporation. He also served as Corporate Secretary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incorporation until 2001. From 1990 to 1999, he served as Dean of Engineering at South Dakota State University, where he taught electrical engineering courses and directed biomedical research projects. Dr. Sander has been retired since 1999. Dr. Sander’s background in developing engineering talent and his deep understanding of our business and industry make him an invaluable contributor to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Byron J. Anderson </w:t>
      </w:r>
      <w:r>
        <w:rPr>
          <w:rFonts w:ascii="Arial" w:cs="Arial" w:eastAsia="Arial" w:hAnsi="Arial"/>
          <w:sz w:val="17"/>
          <w:szCs w:val="17"/>
          <w:color w:val="auto"/>
        </w:rPr>
        <w:t>is currently retired. Before his retirement, from 1999 to 2004 he served at Agilent Technologies, Inc. 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 MBA from Harvard University and an electrical engineering degree from South Dakota State University. He has been a Director of the Company since 2005.</w:t>
      </w:r>
    </w:p>
    <w:p>
      <w:pPr>
        <w:spacing w:after="0" w:line="20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 xml:space="preserve">Robert G. Dutcher </w:t>
      </w:r>
      <w:r>
        <w:rPr>
          <w:rFonts w:ascii="Arial" w:cs="Arial" w:eastAsia="Arial" w:hAnsi="Arial"/>
          <w:sz w:val="17"/>
          <w:szCs w:val="17"/>
          <w:color w:val="auto"/>
        </w:rPr>
        <w:t>is currently Strategic Advisor Lead Member of MEDRAD, Inc. From April 2008 through March 2009, he was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the Cardiovascular Division of MEDRAD, Inc., an affiliate of Bayer AG. He was the Chairman, President and Chief Executive Officer of Possis Medical, Inc., a publicly-held medical device company located in Minneapolis, Minnesota, which was acquired by MEDRAD, Inc. in April 2008.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 and chairman of the Compensation Committee since 2005.</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Deputy Director of the U. S. Trade and Development Agency from 1986 to 1999, when she retired. As a senior executive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federal government agency, she was responsible for managing its day-to-day operations, budget, system of financial controls, and ethics program. From 1980 to 1986 she was Assistant General Counsel at the U.S. Agency for International Development in charge of all legal matters affecting</w:t>
      </w:r>
    </w:p>
    <w:p>
      <w:pPr>
        <w:sectPr>
          <w:pgSz w:w="11900" w:h="16838" w:orient="portrait"/>
          <w:cols w:equalWidth="0" w:num="1">
            <w:col w:w="10820"/>
          </w:cols>
          <w:pgMar w:left="240" w:top="121" w:right="839" w:bottom="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personnel, labor relations and ethics. Before that she held various legal positions in the areas of international trade and commercial law. She has a law degree from Georgetown University, Washington, D.C. and a BS degree from South Dakota State University. She has been a Director of the Company since 1999 and chairperson of the Nominating and Governance Committee since 2004.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Aelred J. Kurtenbach, Ph.D. </w:t>
      </w:r>
      <w:r>
        <w:rPr>
          <w:rFonts w:ascii="Arial" w:cs="Arial" w:eastAsia="Arial" w:hAnsi="Arial"/>
          <w:sz w:val="18"/>
          <w:szCs w:val="18"/>
          <w:color w:val="auto"/>
        </w:rPr>
        <w:t>is a co-founder of the Company and has served as a Director and Chairman of the Board since its incorporation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1968. He 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Frank J. Kurtenbach </w:t>
      </w:r>
      <w:r>
        <w:rPr>
          <w:rFonts w:ascii="Arial" w:cs="Arial" w:eastAsia="Arial" w:hAnsi="Arial"/>
          <w:sz w:val="18"/>
          <w:szCs w:val="18"/>
          <w:color w:val="auto"/>
        </w:rPr>
        <w:t>joined the Company in 1979 as Sales Manager of the Standard Scoreboard Division, which was expanded to include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1981. He served as Sales Manager for the Company from 1982 through 1993, as a Director since 1984 and as a Vice President since 1993. Currently Mr. Kurtenbach is employed on a part-time basis with the Company. Mr. Kurtenbach has an M.S. degree in Health Science and recreation from South Dakota State University. Aelred Kurtenbach and Frank Kurtenbach are brothers.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James A. Vellenga </w:t>
      </w:r>
      <w:r>
        <w:rPr>
          <w:rFonts w:ascii="Arial" w:cs="Arial" w:eastAsia="Arial" w:hAnsi="Arial"/>
          <w:sz w:val="18"/>
          <w:szCs w:val="18"/>
          <w:color w:val="auto"/>
        </w:rPr>
        <w:t>was elected as a Director in 1997 and is currently retired. He spent 46 years in the computer and integrated circuit industry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senior 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Governance Committee has determined that each of Messrs. Sander, Vellenga, Mulligan, Dutcher and Anderson and Ms. Frame are “independent,” as that term is defined in Rule 5605(a)(2) of the NASDAQ Listing Rules. Accordingly, the Board is composed of a majority of independent Directors as required by the NASDAQ Listing Rules.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of Directors adheres to governance principles that assure the integrity and continued viability of the Company. It strives continually for excellence in the execution of its duties. The Board has responsibility for management and risk oversight and for providing strategic guidance to the Company. The Board believes that it must continue to renew itself through continuing education and by ensuring that its members understand the industries and the markets in which the Company operates. The Board believes that it must stay well-informed about the issues, challenges and opportunities facing Daktronics so that the Board members can exercise their fiduciary responsibilities to Daktronics shareholders. As part of this, the Board is kept informed of our business through discussi on with the Chief Executive Officer and other officers, by reviewing material provided to them and by participating in meetings of the Board and its Committees.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Dr. Aelred Kurtenbach, one of our founders and our former chief executive officer, serves as Chairman of the Board. Mr. James Morgan, who joined Daktronics in 1969, was named chief executive officer in 2001. This separation of the positions of Chairman and Chief Executive Officer has served the Company and our shareholders well. In addition, Ms. Nancy Frame has served as our Lead Independent Director since 2005.</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believe that, like many U.S. companies, we are best served by separating the roles of the Chief Executive Officer and the Chairman of the Board. This separation has allowed us to benefit from the long-term history of managing the company that the Chairman brings to the discussion and which complements the understanding of the current challenges and opportunities that the Chief Executive Officer brings to the Board. It also ensures that our strategies and objectives are developed as a result of consideration of a wide array of alternative measures.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Chairman conducts the actual Board meetings, and the Lead Independent Director presides over the executive sessions of the independent directors. The Lead Independent Director also serves as chairperson of the Nominating and Governance Committee, which is the principal Board committee charged with responsibility for the Board’s governance structure.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97" w:lineRule="exact"/>
        <w:rPr>
          <w:sz w:val="20"/>
          <w:szCs w:val="20"/>
          <w:color w:val="auto"/>
        </w:rPr>
      </w:pPr>
    </w:p>
    <w:p>
      <w:pPr>
        <w:ind w:left="660" w:right="20" w:hanging="13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Governance Committee.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independent directors meet in conjunction with regularly scheduled quarterly Board meetings and at other appropriate times.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and all committees are authorized to hire their own advisors as necessary to fulfill their obligations.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During fiscal 2010, the Board of Directors held six meetings (including regularly scheduled and special meetings), the Audit Committee met five times, the Compensation Committee met three times, and the Nominating and Corporate Governance Committee met four times. All of the Directors attended at least 75% of the aggregate of all meetings of the Board of Directors and committees, if any, upon which they served. There was one</w:t>
      </w:r>
    </w:p>
    <w:p>
      <w:pPr>
        <w:sectPr>
          <w:pgSz w:w="11900" w:h="16838" w:orient="portrait"/>
          <w:cols w:equalWidth="0" w:num="1">
            <w:col w:w="10820"/>
          </w:cols>
          <w:pgMar w:left="240" w:top="125" w:right="839" w:bottom="0" w:gutter="0" w:footer="0" w:header="0"/>
        </w:sectPr>
      </w:pPr>
    </w:p>
    <w:bookmarkStart w:id="7" w:name="page8"/>
    <w:bookmarkEnd w:id="7"/>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 taken by the Board of Directors by unanimous written consent during the year. All Directors being nominated to serve as Directors attended the annual meeting of shareholders held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has formally adopted a policy of meeting in executive session, with only independent Directors being present, on a regular basis. During fiscal 2010, the independent Directors of the Board met in executive session three times.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Board takes an active role in risk oversight both as a full Board and through its Committees. Through detailed reviews, discussions and presentations by the heads of our various businesses, the Board reviews and advises with respect to our business strategies and financial plans, with attention and focus on the risks to achievement of these strategies and plans. Such risks include those inherent in our businesses as well as the risks from external sources such as competitors, the economy, credit markets and regulatory and legislative developments. In addition, the heads of certain of our key functional areas, such as Information Technology, Legal, Finance and Human Resources, regularly update the Board on risks in their areas.</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independent auditors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 ting and Governance Committee has oversight of corporate governance, including establishing practices and procedures that promote good governance and thus mitigate governance risk, and is also responsible for reviewing the performance of the Board, its Committees and their members. These committees report on these topics, including risks, as necessary to the full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The Board of Directors has adopted our Code of Conduct, which applies to all of our employees, officers and Directors as provided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 The Nominating and Governance Committee reviews the Code of Conduct annually and oversees its implementation.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5% of any class of our voting securities and any immediate family member of any of the foregoing persons.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the policy, prior notice must be provided to our Corporate Counsel of the facts and circumstances involved in the potential related person transaction. If the Corporate Counsel determines that the transaction is a related person transaction, he must submit it to the Audit Committee or the Chair of the Audit Committee for review and, if appropriate, approval. The policy provides that, on an annual basis, the Audit Committee shall review any previously approved related person transaction that is ongoing. The policy also provides that proposed charitable contributions or pledges of charitable contributions of at least $120,000 by the Company made to or at the request of a related person are subject to prior review by the Audit Committee or the Chair of the 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2010, our Audit Committee consisted of Mr. Mulligan (Chairperson), Ms. Frame and Mr. Vellenga.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Directors has determined that each Audit Committee member is independent under Rule 5605(a)(2) of the NASDAQ Listing Rules and Rule 10A-3 under the Securities Exchange Act of 1934 (“Exchange Act”). The Board has determined that Mr. Mulligan is qualified as an “audit committee financial expert,” as that term is defined in Item 407(d)(5)(ii) of Regulation S-K. The Audit Committee assists the Board of Directors in fulfilling its oversight responsibilities concerning the q uality and integrity of our financial reports and related filings with the Securities and Exchange Commission (the “SEC”). In fulfilling this role, the Audit Committee, among other things, oversees the accounting and financial reporting process and audits of the financial statements and related SEC filings, appoints and provides for the compensation of the independent registered public accounting firm, reviews the scope and findings of the completed audit, reviews the adequacy and effectiveness of our accounting policies and system of internal accounting controls and oversees our policy and procedures with respect to related person transactions. A copy of the Audit Committee’s Charter is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2010, our Compensation Committee consisted of Mr. Dutcher (Chairperson), Mr. Anderson and Mr.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Vellenga. All of the Compensation Committee members satisfy the independence requirements of the NASDAQ Listing Rules, as determined by the Board of Directors. The Compensation Committee annually reviews and acts upon the Chief Executive Officer’s compensation package, reviews and approves the compensation policy for the other executives, and acts upon management’s recommendations for executives concerning employee equity incentives, bonuses and other compensation and benefit plans. A copy of the Compen sation Committee’s Charter is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22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Nominating and Governance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2010, our Nominating and Governance Committee (the “Nominating Committee”)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Ms. Frame (Chairperson), Mr. Anderson and Dr. Sander. The Board of Directors has determined that all of the Nominating Committee members</w:t>
      </w:r>
    </w:p>
    <w:p>
      <w:pPr>
        <w:sectPr>
          <w:pgSz w:w="11900" w:h="16921" w:orient="portrait"/>
          <w:cols w:equalWidth="0" w:num="1">
            <w:col w:w="10820"/>
          </w:cols>
          <w:pgMar w:left="240" w:top="125" w:right="839" w:bottom="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 xml:space="preserve">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 ight with respect to corporate governance and ethical conduct. It also facilitates the annual review of the performance of the Board of Directors. The responsibilities of the Nominating Committee are set forth in the Nominating and Governance Committee Charter. Copies of the Nominating Committee’s Charter and our Corporate Governance Guidelines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Directors take a critical role in guiding our strategic direction, and they oversee the performance of our management team. 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in judgment and their willingness to be prepared and active participants at Board and committee meetings. The Nominating and Governance Committee and the Board seek to attract and attain highly qualified Directors who have sufficient time to attend to their duties and responsibilities to the Company. Recent developments in t he economy, as well as in corporate governance and financial reporting, have resulted in an increased demand for such highly-qualified and productive public company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Nominating and Governance Committee and the Board seek members who will contribute to our overall corporate goals, taking into account the company’s responsibility to its shareholders, industry leadership, customer success, positive working environment, community responsibility and integrity in financial reporting and business conduct. Candidates are selected based upon their potential contributions to the long-term interests of shareholders. Diversity of a candidate’s skills and experiences are considered as part of the nomination process.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Governance Committee then reviews selected candidates and makes a recommendation to the Board. The Nominating and Governance Committee may seek input from other Board members or senior management in identifying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52" w:lineRule="exact"/>
        <w:rPr>
          <w:sz w:val="20"/>
          <w:szCs w:val="20"/>
          <w:color w:val="auto"/>
        </w:rPr>
      </w:pPr>
    </w:p>
    <w:p>
      <w:pPr>
        <w:ind w:left="660" w:hanging="139"/>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candidate shall be an individual who has demonstrated integrity and ethics in his or her professional life and has established a record of professional accomplishment in his or her chosen field.</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candidate shall have any material personal, financial or professional interest in any present or potential competitor of the Company.</w:t>
      </w:r>
    </w:p>
    <w:p>
      <w:pPr>
        <w:spacing w:after="0" w:line="20" w:lineRule="exact"/>
        <w:rPr>
          <w:rFonts w:ascii="Arial" w:cs="Arial" w:eastAsia="Arial" w:hAnsi="Arial"/>
          <w:sz w:val="17"/>
          <w:szCs w:val="17"/>
          <w:color w:val="auto"/>
        </w:rPr>
      </w:pPr>
    </w:p>
    <w:p>
      <w:pPr>
        <w:jc w:val="both"/>
        <w:ind w:left="660" w:hanging="139"/>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candidate shall be prepared to participate fully in activities of the Board of Directors, including active membership in at least one committee of the Board of Directors and attendance at, and active participation in, meetings of the Board of Directors and the committee(s) of the Board of which he or she is a member.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The Nominating and Governance Committee will consider written proposals from shareholders for nominees for Director. Any such nominations should be submitted to the Nominating and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12, 2011 deadline described in this proxy statement under the caption, “Procedural Matters – Procedure for Submitting Shareholder Proposals” above.</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and Governance Committee. The candidate(s) will be evaluated by the Nominating and Governance Committee by reviewing the candidates’ biographical information and qualifications and, if necessary, by checking references. Qualified nominees shall meet with at least one member of the Nominating and Governance Committee and with at least one other member of the Board. The Nominating and Governance Committee will decide which of the prospective candidates to recommend to the Board for selection a s nominees to be presented for the approval of the shareholders or for appointment to fill a vacancy.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Annual Meeting</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nominees for this Annual Meeting – James B. Morgan, John L. Mulligan and Duane E. Sander – were selected by the Board of Directors unanimously in May 2010 upon the recommendation of the Nominating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Contact the Board of Directors</w:t>
      </w:r>
    </w:p>
    <w:p>
      <w:pPr>
        <w:sectPr>
          <w:pgSz w:w="11900" w:h="16838" w:orient="portrait"/>
          <w:cols w:equalWidth="0" w:num="1">
            <w:col w:w="10820"/>
          </w:cols>
          <w:pgMar w:left="240" w:top="125" w:right="839" w:bottom="0" w:gutter="0" w:footer="0" w:header="0"/>
          <w:type w:val="continuous"/>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2010, none of our executive officers served on the board of directors or compensation committee of another company that had an executive officer who served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compensation paid to and earned by our Directors for the fiscal year ended May 1, 2010:</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2010 DIRECTOR COMPENSATION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Fees Earned or</w:t>
            </w:r>
          </w:p>
        </w:tc>
        <w:tc>
          <w:tcPr>
            <w:tcW w:w="24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Option</w:t>
            </w:r>
          </w:p>
        </w:tc>
        <w:tc>
          <w:tcPr>
            <w:tcW w:w="2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37"/>
        </w:trPr>
        <w:tc>
          <w:tcPr>
            <w:tcW w:w="3600" w:type="dxa"/>
            <w:vAlign w:val="bottom"/>
          </w:tcPr>
          <w:p>
            <w:pPr>
              <w:spacing w:after="0" w:line="230"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Paid in Cash</w:t>
            </w:r>
            <w:r>
              <w:rPr>
                <w:rFonts w:ascii="Arial" w:cs="Arial" w:eastAsia="Arial" w:hAnsi="Arial"/>
                <w:sz w:val="25"/>
                <w:szCs w:val="25"/>
                <w:color w:val="auto"/>
                <w:vertAlign w:val="superscript"/>
              </w:rPr>
              <w:t>(2)</w:t>
            </w:r>
          </w:p>
        </w:tc>
        <w:tc>
          <w:tcPr>
            <w:tcW w:w="240" w:type="dxa"/>
            <w:vAlign w:val="bottom"/>
          </w:tcPr>
          <w:p>
            <w:pPr>
              <w:spacing w:after="0"/>
              <w:rPr>
                <w:sz w:val="20"/>
                <w:szCs w:val="20"/>
                <w:color w:val="auto"/>
              </w:rPr>
            </w:pPr>
          </w:p>
        </w:tc>
        <w:tc>
          <w:tcPr>
            <w:tcW w:w="126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Awards</w:t>
            </w:r>
            <w:r>
              <w:rPr>
                <w:rFonts w:ascii="Arial" w:cs="Arial" w:eastAsia="Arial" w:hAnsi="Arial"/>
                <w:sz w:val="25"/>
                <w:szCs w:val="25"/>
                <w:color w:val="auto"/>
                <w:vertAlign w:val="superscript"/>
              </w:rPr>
              <w:t>(3)</w:t>
            </w:r>
          </w:p>
        </w:tc>
        <w:tc>
          <w:tcPr>
            <w:tcW w:w="240" w:type="dxa"/>
            <w:vAlign w:val="bottom"/>
          </w:tcPr>
          <w:p>
            <w:pPr>
              <w:spacing w:after="0"/>
              <w:rPr>
                <w:sz w:val="20"/>
                <w:szCs w:val="20"/>
                <w:color w:val="auto"/>
              </w:rPr>
            </w:pPr>
          </w:p>
        </w:tc>
        <w:tc>
          <w:tcPr>
            <w:tcW w:w="1560" w:type="dxa"/>
            <w:vAlign w:val="bottom"/>
            <w:gridSpan w:val="2"/>
          </w:tcPr>
          <w:p>
            <w:pPr>
              <w:jc w:val="right"/>
              <w:ind w:right="640"/>
              <w:spacing w:after="0" w:line="230" w:lineRule="exact"/>
              <w:rPr>
                <w:sz w:val="20"/>
                <w:szCs w:val="20"/>
                <w:color w:val="auto"/>
              </w:rPr>
            </w:pPr>
            <w:r>
              <w:rPr>
                <w:rFonts w:ascii="Arial" w:cs="Arial" w:eastAsia="Arial" w:hAnsi="Arial"/>
                <w:sz w:val="18"/>
                <w:szCs w:val="18"/>
                <w:color w:val="auto"/>
                <w:w w:val="89"/>
              </w:rPr>
              <w:t>Awards</w:t>
            </w:r>
            <w:r>
              <w:rPr>
                <w:rFonts w:ascii="Arial" w:cs="Arial" w:eastAsia="Arial" w:hAnsi="Arial"/>
                <w:sz w:val="25"/>
                <w:szCs w:val="25"/>
                <w:color w:val="auto"/>
                <w:w w:val="89"/>
                <w:vertAlign w:val="superscript"/>
              </w:rPr>
              <w:t>(4)(5)</w:t>
            </w:r>
          </w:p>
        </w:tc>
        <w:tc>
          <w:tcPr>
            <w:tcW w:w="2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r>
      <w:tr>
        <w:trPr>
          <w:trHeight w:val="202"/>
        </w:trPr>
        <w:tc>
          <w:tcPr>
            <w:tcW w:w="3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Byron J. Anderson</w:t>
            </w:r>
          </w:p>
        </w:tc>
        <w:tc>
          <w:tcPr>
            <w:tcW w:w="140" w:type="dxa"/>
            <w:vAlign w:val="bottom"/>
          </w:tcPr>
          <w:p>
            <w:pPr>
              <w:spacing w:after="0"/>
              <w:rPr>
                <w:sz w:val="17"/>
                <w:szCs w:val="17"/>
                <w:color w:val="auto"/>
              </w:rPr>
            </w:pPr>
          </w:p>
        </w:tc>
        <w:tc>
          <w:tcPr>
            <w:tcW w:w="2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24,000</w:t>
            </w: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w:t>
            </w: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89,000</w:t>
            </w:r>
          </w:p>
        </w:tc>
        <w:tc>
          <w:tcPr>
            <w:tcW w:w="20" w:type="dxa"/>
            <w:vAlign w:val="bottom"/>
          </w:tcPr>
          <w:p>
            <w:pPr>
              <w:spacing w:after="0"/>
              <w:rPr>
                <w:sz w:val="17"/>
                <w:szCs w:val="17"/>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Robert G. Dutcher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24,000</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44,000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Nancy D. Frame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28,000</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John L. Mulligan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26,000</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Duane E. Sander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22,000</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James A. Vellenga</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26,000</w:t>
            </w:r>
          </w:p>
        </w:tc>
        <w:tc>
          <w:tcPr>
            <w:tcW w:w="2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640" w:right="20" w:hanging="632"/>
        <w:spacing w:after="0" w:line="230"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employees of the Company, James B. Morgan, the President and Chief Executive Officer, Aelred J. Kurtenbach, Chairman of the Board, and Frank J. Kurtenbach, Vice President, received no Director fees from us during fiscal year 2010 and are therefore not included in the table.</w:t>
      </w:r>
    </w:p>
    <w:p>
      <w:pPr>
        <w:ind w:left="640" w:hanging="632"/>
        <w:spacing w:after="0" w:line="221"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fees earned for fiscal year 2010 and paid in fiscal year 2010 or fiscal year 2011.</w:t>
      </w:r>
    </w:p>
    <w:p>
      <w:pPr>
        <w:jc w:val="both"/>
        <w:ind w:left="640" w:right="20" w:hanging="632"/>
        <w:spacing w:after="0" w:line="238"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August 27, 2009, Mr. Mulligan, Dr. Sander, Mr. Dutcher, Mr. Anderson, Mr. Vellenga and Ms. Frame each received 2,413 restricted shares of our common stock with a grant date fair value of $20,000 which vest on August 27, 2010. The amounts are computed in accordance with Financial Accounting Standards Board Accounting Standards Codification Topic 718 (“ASC 718”). Refer to “Item 7. Management’s Discussion and Analysis of Financial Condition and Results of Operations – Critical accounting policies and estimates – Stock-based compensation” in our Annual Report on Form 10-K for the fiscal year ended May 1, 2010 for a discussion of the assumptions used in calculating the expense under ASC 718. This portion of the Annual Report on Form 10-K is included in our 201 0 Annual Report to Shareholders.</w:t>
      </w:r>
    </w:p>
    <w:p>
      <w:pPr>
        <w:spacing w:after="0" w:line="1" w:lineRule="exact"/>
        <w:rPr>
          <w:rFonts w:ascii="Arial" w:cs="Arial" w:eastAsia="Arial" w:hAnsi="Arial"/>
          <w:sz w:val="13"/>
          <w:szCs w:val="13"/>
          <w:color w:val="auto"/>
        </w:rPr>
      </w:pPr>
    </w:p>
    <w:p>
      <w:pPr>
        <w:jc w:val="both"/>
        <w:ind w:left="640" w:right="20" w:hanging="632"/>
        <w:spacing w:after="0" w:line="238"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As of May 1, 2010, the following non-employee directors had outstanding options to purchase the following number of shares of our common stock, all of which had been granted under our 1993 Outside Directors Stock Option Plan, 2001 Outside Directors Stock Option Plan or 2007 Stock Incentive Plan: Mr. Anderson (44,821 shares, of which options to purchase 32,000 were exercisable), Mr. Dutcher (43,481 shares, of which options to purchase 30,494 shares were exercisable), Ms. Frame (43,481 shares, of which options to purchase 30,494 shares were exercisable), Mr. Mulligan (37,661 shares, of which options to purchase shares are all exercisable), Dr. Sander (37,661 shares, of which options to purchase shares are all exercisable) and Mr. Vellenga (72,821 shares, of which options to purchase 60,000 shares were exercisable).</w:t>
      </w:r>
    </w:p>
    <w:p>
      <w:pPr>
        <w:spacing w:after="0" w:line="1" w:lineRule="exact"/>
        <w:rPr>
          <w:rFonts w:ascii="Arial" w:cs="Arial" w:eastAsia="Arial" w:hAnsi="Arial"/>
          <w:sz w:val="13"/>
          <w:szCs w:val="13"/>
          <w:color w:val="auto"/>
        </w:rPr>
      </w:pPr>
    </w:p>
    <w:p>
      <w:pPr>
        <w:jc w:val="both"/>
        <w:ind w:left="640" w:hanging="632"/>
        <w:spacing w:after="0" w:line="249"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August 27, 2009, Mr. Anderson and Mr. Vellenga each received a stock option award of 12,821 shares with a grant date fair value of $45,000. The grant date fair values were computed in accordance with ASC 718. Refer to “Item 7. Management’s Discussion and Analysis of Financial Condition and Results of Operations – Critical accounting policies and estimates – Stock-based compensation” in our Annual Report on Form 10-K for the fiscal year ended May 1, 2010 for discussion of the assumptions used in calculating the expense under ASC 718. This portion of the Annual Report on Form 10-K is included in our 2010 Annual Report to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Independent Director Fees.  </w:t>
      </w:r>
      <w:r>
        <w:rPr>
          <w:rFonts w:ascii="Arial" w:cs="Arial" w:eastAsia="Arial" w:hAnsi="Arial"/>
          <w:sz w:val="16"/>
          <w:szCs w:val="16"/>
          <w:color w:val="auto"/>
        </w:rPr>
        <w:t>For fiscal 2010, each independent Director received an annual retainer of $12,000, plus $2,000 per meeting, for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meeting attended in person and the following annual retainers for committee membership: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Other</w:t>
            </w:r>
          </w:p>
        </w:tc>
      </w:tr>
      <w:tr>
        <w:trPr>
          <w:trHeight w:val="237"/>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Chair</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Members</w:t>
            </w:r>
          </w:p>
        </w:tc>
      </w:tr>
      <w:tr>
        <w:trPr>
          <w:trHeight w:val="202"/>
        </w:trPr>
        <w:tc>
          <w:tcPr>
            <w:tcW w:w="20" w:type="dxa"/>
            <w:vAlign w:val="bottom"/>
          </w:tcPr>
          <w:p>
            <w:pPr>
              <w:spacing w:after="0"/>
              <w:rPr>
                <w:sz w:val="17"/>
                <w:szCs w:val="17"/>
                <w:color w:val="auto"/>
              </w:rPr>
            </w:pPr>
          </w:p>
        </w:tc>
        <w:tc>
          <w:tcPr>
            <w:tcW w:w="7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 Committee</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6,000</w:t>
            </w:r>
          </w:p>
        </w:tc>
        <w:tc>
          <w:tcPr>
            <w:tcW w:w="3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4,000</w:t>
            </w:r>
          </w:p>
        </w:tc>
        <w:tc>
          <w:tcPr>
            <w:tcW w:w="20" w:type="dxa"/>
            <w:vAlign w:val="bottom"/>
          </w:tcPr>
          <w:p>
            <w:pPr>
              <w:spacing w:after="0"/>
              <w:rPr>
                <w:sz w:val="17"/>
                <w:szCs w:val="17"/>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4,000</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Nominating and Governance Committee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4,000</w:t>
            </w:r>
          </w:p>
        </w:tc>
        <w:tc>
          <w:tcPr>
            <w:tcW w:w="2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2010 Director Compensation”.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1993 and 2001 Directors Stock Option Plans. </w:t>
      </w:r>
      <w:r>
        <w:rPr>
          <w:rFonts w:ascii="Arial" w:cs="Arial" w:eastAsia="Arial" w:hAnsi="Arial"/>
          <w:sz w:val="17"/>
          <w:szCs w:val="17"/>
          <w:color w:val="auto"/>
        </w:rPr>
        <w:t>The 1993 Outside Directors Option Plan and the 2001 Outside Directors Option Plan (the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were intended to assist us in attracting, motivating and retaining well-qualified individuals to serve as our Directors. The Directors Plans provided for the automatic grant of options up to a predefined level. The only individuals eligible to receive options under the Directors Plans were members of our Board of Directors who were not our employees. The Directors Plans provide that the total number of shares of our common stock that may be purchased upon the exercise of options could not exceed 800,000 shares, subject to adjustment. The Directors Plans were administe red by our Board of Directors through our Compensation Committee.</w:t>
      </w:r>
    </w:p>
    <w:p>
      <w:pPr>
        <w:spacing w:after="0" w:line="20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terms of the Directors Plans, all grants of stock options were automatically awarded at or below the maximum level permitted by the Directors Plans, which was up to 36,000 shares upon their initial appointment or re-election to the Board of Directors. In connection with the implementation of the 2007 Stock Incentive Plan, the Board of Directors terminated the right to grant any additional options under the Directors Plans. As of June 28, 2010, options to purchase 188,000 shares were outstanding under the Directors Plans.</w:t>
      </w:r>
    </w:p>
    <w:p>
      <w:pPr>
        <w:spacing w:after="0" w:line="19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options granted to non-employee Directors under the Directors Plans were non-qualified options not intended to qualify as incentive stock options under Section 422 of the Internal Revenue Code of 1986. Payment for shares upon exercise of any automatic or discretionary options granted to non-employee Directors under the Directors Plans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 regate exercise price of the shares being purchased.</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2007 Stock Incentive Plan. </w:t>
      </w:r>
      <w:r>
        <w:rPr>
          <w:rFonts w:ascii="Arial" w:cs="Arial" w:eastAsia="Arial" w:hAnsi="Arial"/>
          <w:sz w:val="18"/>
          <w:szCs w:val="18"/>
          <w:color w:val="auto"/>
        </w:rPr>
        <w:t>The 2007 Stock Incentive Plan (the “2007 Plan”) is intended to attract and retain executives, employees, Board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consultants and enable such individuals to participate in our long-term success and growth by granting various types of equity incentives which create a proprietary interest in the Company.</w:t>
      </w:r>
    </w:p>
    <w:p>
      <w:pPr>
        <w:sectPr>
          <w:pgSz w:w="11900" w:h="16838" w:orient="portrait"/>
          <w:cols w:equalWidth="0" w:num="1">
            <w:col w:w="10820"/>
          </w:cols>
          <w:pgMar w:left="240" w:top="125" w:right="839" w:bottom="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7"/>
          <w:szCs w:val="17"/>
          <w:color w:val="auto"/>
        </w:rPr>
        <w:t>The 2007 Plan permits the Board of Directors to award various forms of equity compensation, including options, restricted stock, restricted stock units and deferred stock, to eligible recipients, including members of the Board. Under the 2007 Plan, the Board has provided for the automatic grant of options to each non-employee Director upon his or her initial appointment at a regular meeting of the shareholders and upon re-election to the Board of Directors and for the automatic grant of restricted stock to each non-employee Director upon his or her initial appointment at a regular meeting of shareholders and upon re-election to the Board and each year thereafter during the Director’s term of appointment.</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number of shares underlying the options automatically granted under the 2007 Plan to non-employee Directors is determined in accordance with ASC 718 such that the total grant date fair value of the options equals $45,000. The automatic options granted prior to fiscal 2010 vests over three years and options granted in fiscal 2010 vests in one year, and they generally have the same terms and conditions as the automatic options granted under the Directors Plans.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 ue Code of 1986. Payment for shares upon exercise of any automatic or discretionary options granted to non-employee Directors under the 2007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number of shares of restricted stock automatically granted to non-employee Directors under the 2007 Plan is also determined in accordance with ASC 718, such that the total grant date fair value of the restricted stock equals $20,000. The restricted stock vests one year following the grant date. These grants are included in the table above entitled “Fiscal Year 2010 Director Compensation.”</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2010, Mr. Anderson and Mr. Vellenga each received automatic grants of options under the 2007 Plan to purchase 12,821 shares of stock and Mr. Anderson, Mr. Vellenga, Mr. Mulligan, Dr. Sander, Ms. Frame and Mr. Dutcher received automatic grants of 2,413 shares of restricted stock. These grants are included in the table above entitled “Fiscal Year 2010 Director Compensation.”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Stock Ownership and Retention Guidelines. </w:t>
      </w:r>
      <w:r>
        <w:rPr>
          <w:rFonts w:ascii="Arial" w:cs="Arial" w:eastAsia="Arial" w:hAnsi="Arial"/>
          <w:sz w:val="17"/>
          <w:szCs w:val="17"/>
          <w:color w:val="auto"/>
        </w:rPr>
        <w:t>The Board of Directors has implemented stock ownership guidelines for Directors. Under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each Director is expected to achieve a target of 5,000 shares owned, excluding shares subject to options. Directors had five years from January 2007 to achieve this level of ownership. As of the Record Date, Mr. Morgan, Dr. Kurtenbach, Mr. F. Kurtenbach, Dr. Sander, Mr. Mulligan, Ms. Frame, Mr. Dutcher and Mr. Vellenga had met these guidelines. As of the Record Date, Mr. Anderson owned 3,413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1, 2010 about our executive officers who are not Directors.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41"/>
        </w:trPr>
        <w:tc>
          <w:tcPr>
            <w:tcW w:w="20" w:type="dxa"/>
            <w:vAlign w:val="bottom"/>
          </w:tcPr>
          <w:p>
            <w:pPr>
              <w:spacing w:after="0"/>
              <w:rPr>
                <w:sz w:val="20"/>
                <w:szCs w:val="20"/>
                <w:color w:val="auto"/>
              </w:rPr>
            </w:pPr>
          </w:p>
        </w:tc>
        <w:tc>
          <w:tcPr>
            <w:tcW w:w="26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520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William R. Retterath</w:t>
            </w:r>
          </w:p>
        </w:tc>
        <w:tc>
          <w:tcPr>
            <w:tcW w:w="28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49</w:t>
            </w:r>
          </w:p>
        </w:tc>
        <w:tc>
          <w:tcPr>
            <w:tcW w:w="28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2001</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Bradley T. Wiemann</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Vice President – Commercial and Transportation</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47</w:t>
            </w:r>
          </w:p>
        </w:tc>
        <w:tc>
          <w:tcPr>
            <w:tcW w:w="14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2004</w:t>
            </w: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Reece A. Kurtenbach</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Vice President – Live Events and International</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45</w:t>
            </w:r>
          </w:p>
        </w:tc>
        <w:tc>
          <w:tcPr>
            <w:tcW w:w="14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2004</w:t>
            </w:r>
          </w:p>
        </w:tc>
      </w:tr>
    </w:tbl>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William R. Retterath </w:t>
      </w:r>
      <w:r>
        <w:rPr>
          <w:rFonts w:ascii="Arial" w:cs="Arial" w:eastAsia="Arial" w:hAnsi="Arial"/>
          <w:sz w:val="18"/>
          <w:szCs w:val="18"/>
          <w:color w:val="auto"/>
        </w:rPr>
        <w:t>joined the Company in 2001 as Chief Financial Officer and Treasurer. During 2001, before joining the Company, Mr. Retterath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MQSoftware, Inc. From 1999 through 2000, he was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Reece A. Kurtenbach </w:t>
      </w:r>
      <w:r>
        <w:rPr>
          <w:rFonts w:ascii="Arial" w:cs="Arial" w:eastAsia="Arial" w:hAnsi="Arial"/>
          <w:sz w:val="18"/>
          <w:szCs w:val="18"/>
          <w:color w:val="auto"/>
        </w:rPr>
        <w:t>joined the Company in 1991 as an applications engineer on large display projects. In 1994, he became the manager of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today our video products engineering group and, in 2004, was appointed Vice President, Video Systems. In 2007, he was named Vice President, Live Events and International. Mr. Kurtenbach received a B.S. degree from South Dakota State University in electrical engineering, with minors in math and computer science. Mr. Kurtenbach is the son of Aelred Kurtenbach.</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an engineer focusing in our commercial and transportation products after spending a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with Rockwell International Corporation, where he was involved in flight control systems. In 2004, he was appointed Vice President, Commercial and Transportation,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Section 16(a) of the Securities Exchange Act of 1934 requires that our Directors, executive officers, and persons who own more than 10%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fiscal 2010.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Components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compete in a competitive market for personnel, both for executives and for non-executive employees. Desirable candidates for employment may also have opportunities from many other attractive employers, such as multi-national companies, venture-backed or fast-growing technology companies and manufacturing institutions. Our long-term success depends on our ability to develop and market innovative visual display systems. In</w:t>
      </w:r>
    </w:p>
    <w:p>
      <w:pPr>
        <w:sectPr>
          <w:pgSz w:w="11900" w:h="16838" w:orient="portrait"/>
          <w:cols w:equalWidth="0" w:num="1">
            <w:col w:w="10820"/>
          </w:cols>
          <w:pgMar w:left="240" w:top="125" w:right="839" w:bottom="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addition, the competitive nature of our business pressures us to continually improve productivity across our operations. To achieve these goals, it is critical that we be able to attract, motivate and retain highly talented individuals at all levels of the organization.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Compensation Committee of our Board of Directors bases its executive compensation programs on the same objectives that guide us in establishing all of our compensation programs:</w:t>
      </w:r>
    </w:p>
    <w:p>
      <w:pPr>
        <w:spacing w:after="0" w:line="197" w:lineRule="exact"/>
        <w:rPr>
          <w:sz w:val="20"/>
          <w:szCs w:val="20"/>
          <w:color w:val="auto"/>
        </w:rPr>
      </w:pPr>
    </w:p>
    <w:p>
      <w:pPr>
        <w:jc w:val="both"/>
        <w:ind w:left="660" w:hanging="202"/>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should be based on the level of job responsibility, individual performance and Company performance. As employees progress to higher levels in the organization, an increasing proportion of their pay should be linked to our performance because they are more able to affect our results.</w:t>
      </w:r>
    </w:p>
    <w:p>
      <w:pPr>
        <w:ind w:left="660" w:hanging="20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should reward performance, and the objectives of pay-for-performance and retention must be balanced.</w:t>
      </w:r>
    </w:p>
    <w:p>
      <w:pPr>
        <w:spacing w:after="0" w:line="9" w:lineRule="exact"/>
        <w:rPr>
          <w:rFonts w:ascii="Arial" w:cs="Arial" w:eastAsia="Arial" w:hAnsi="Arial"/>
          <w:sz w:val="18"/>
          <w:szCs w:val="18"/>
          <w:color w:val="auto"/>
        </w:rPr>
      </w:pPr>
    </w:p>
    <w:p>
      <w:pPr>
        <w:ind w:left="660" w:right="20" w:hanging="20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should reflect the value of the job in the marketplace. To attract and retain a highly skilled work force, we must remain competitive with the pay of other premier employers who compete with us for talent.</w:t>
      </w:r>
    </w:p>
    <w:p>
      <w:pPr>
        <w:jc w:val="both"/>
        <w:ind w:left="660" w:right="20" w:hanging="20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compensation and benefit programs and individual pay levels will reflect differences in performance, job responsibilities, geographies and marketplace considerations, the overall structure of compensation and benefit programs should be broadly similar across the organization.</w:t>
      </w:r>
    </w:p>
    <w:p>
      <w:pPr>
        <w:spacing w:after="0" w:line="1" w:lineRule="exact"/>
        <w:rPr>
          <w:rFonts w:ascii="Arial" w:cs="Arial" w:eastAsia="Arial" w:hAnsi="Arial"/>
          <w:sz w:val="18"/>
          <w:szCs w:val="18"/>
          <w:color w:val="auto"/>
        </w:rPr>
      </w:pPr>
    </w:p>
    <w:p>
      <w:pPr>
        <w:ind w:left="660" w:right="20" w:hanging="20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effective, performance-based compensation programs should measure the achievement of objectives that are critical for driving our success.</w:t>
      </w:r>
    </w:p>
    <w:p>
      <w:pPr>
        <w:jc w:val="both"/>
        <w:ind w:left="660" w:hanging="20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for benefits and programs that are available to all our employees or a broad selection of our general employee population, our executives should receive few perquisites, if any, and those that are provided should receive specific approval and meet a defined business purpose of the Company.</w:t>
      </w:r>
    </w:p>
    <w:p>
      <w:pPr>
        <w:spacing w:after="0" w:line="2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attracts and retains talented management, motivates our executives to achieve short- and long-range corporate objectives, and aligns the motivation and interests of the executives with the interests of our shareholders.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 administers our equity-based compensation and management incentive. The Compensation Committee reviews and approves each executive’s base pay, bonus and equity incentives annually, as well as our annual incentive plan under which executive officers may receive cash bonus payments.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view the various components of compensation as related but distinct. Although the Compensation Committee reviews and considers total compensation for each executive officer,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214" w:lineRule="exact"/>
        <w:rPr>
          <w:sz w:val="20"/>
          <w:szCs w:val="20"/>
          <w:color w:val="auto"/>
        </w:rPr>
      </w:pPr>
    </w:p>
    <w:p>
      <w:pPr>
        <w:ind w:left="660" w:hanging="20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20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20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based on our financial goals. We do not believe that any of our compensation policies and practices are reasonably likely to have a material adverse effect on the Company.</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fiscal year 2010, our named executive officers were Dr. Aelred J. Kurtenbach, Chairman of the Board, James B. Morgan, Chief Executive Officer, William R. Retterath, Chief Financial Officer, Reece A. Kurtenbach, Vice President, and Bradley T. Wiemann, Vice President (the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meetings with the Compensation Committee held throughout the year, our Chief Executive Officer presents to the Compensation Committee his recommendations regarding changes in his compensation and the compensation for our Chief Financial Officer and all vice presidents, based in part on information generated by our human resources department including information about compensation at comparable companies and other sources as explained below. The Compensation Committee discusses these recommendations and accepts or adjusts them, in whole or in part, generally in November of each year. The Chief Executive Officer is not present during the Compensation Committee’s final discussions or determination of his compensation, but he participates in the discussions regarding other executive officers’ compensation.&amp;# 160; The Vice President of Human Resources may also be present for discussions regarding compensation excluding her own compensation. The other executive officers are not present during the Compensation Committee’s discussions of their compensation. The chair of the Compensation Committee presents the Committee’s findings regarding compensation for executive officers to the Board of Directors to obtain the Board’s input and ratification. Based on such input at these meetings, the Board of Directors approves and adopts executive compensation, including executive salaries, bonuses, stock awards and the parameters of the annual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making decisions regarding elements and amounts of compensation, the Compensation Committee generally considers compensation paid to executive officers at similar levels and with similar experience and responsibilities at public companies that exhibit characteristics similar to us in terms of revenue, market capitalization, complexity and profitability. Historically this has included a list of companies from the lists of the Forbes 200 Best Small Companies, with a focus on technology and manufacturing, as that group of companies includes companies that exhibit the growth rates and profitability characteristics that are similar to us.</w:t>
      </w:r>
    </w:p>
    <w:p>
      <w:pPr>
        <w:sectPr>
          <w:pgSz w:w="11900" w:h="16838" w:orient="portrait"/>
          <w:cols w:equalWidth="0" w:num="1">
            <w:col w:w="10820"/>
          </w:cols>
          <w:pgMar w:left="240" w:top="125" w:right="839" w:bottom="0" w:gutter="0" w:footer="0" w:header="0"/>
        </w:sectPr>
      </w:pPr>
    </w:p>
    <w:bookmarkStart w:id="12" w:name="page13"/>
    <w:bookmarkEnd w:id="12"/>
    <w:p>
      <w:pPr>
        <w:jc w:val="both"/>
        <w:ind w:right="20"/>
        <w:spacing w:after="0" w:line="255" w:lineRule="auto"/>
        <w:rPr>
          <w:sz w:val="20"/>
          <w:szCs w:val="20"/>
          <w:color w:val="auto"/>
        </w:rPr>
      </w:pPr>
      <w:r>
        <w:rPr>
          <w:rFonts w:ascii="Arial" w:cs="Arial" w:eastAsia="Arial" w:hAnsi="Arial"/>
          <w:sz w:val="18"/>
          <w:szCs w:val="18"/>
          <w:color w:val="auto"/>
        </w:rPr>
        <w:t>We also have supplemented the list with public companies that we believe to be fitting comparables within our geographical region that are involved in technology and manufacturing and, in some cases, industry related companies. Finally, we review compensation data from the Economic Research Institute and salary.com, which takes into consideration geographical considerations but excludes equity incentive compensation information. Generally, any material changes to the compensation of any executive officer reflect changes in that individual’s position and responsibilities to the Company or changes to conform that executive’s compensation structure as compared to executives at a similar level in the peer group list.</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2010, as a result of our financial position, our policy of freezing wages for salaried employees throughout the organization and significantly reducing non-equity incentive compensation, the Chief Executive Officer recommended to the Compensation Committee no increases in base salary and non-equity incentive compensation for the Named Executive Officers. As a result of this recommendation, the list of comparable companies remained the same as in the prior fiscal year and was not updated as the Compensation Committee determined that internal consistency in compensation, as described below, was generally more important than comparison to external peers. The list of peers was reviewed, however, to understand the trends in the executive compensation paid by our peers.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w w:val="97"/>
              </w:rPr>
              <w:t>The following table sets forth the companies comprising the peer group list:</w:t>
            </w: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80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Forbes 200 Best Small Companies</w:t>
            </w:r>
          </w:p>
        </w:tc>
        <w:tc>
          <w:tcPr>
            <w:tcW w:w="300" w:type="dxa"/>
            <w:vAlign w:val="bottom"/>
          </w:tcPr>
          <w:p>
            <w:pPr>
              <w:spacing w:after="0"/>
              <w:rPr>
                <w:sz w:val="24"/>
                <w:szCs w:val="24"/>
                <w:color w:val="auto"/>
              </w:rPr>
            </w:pPr>
          </w:p>
        </w:tc>
        <w:tc>
          <w:tcPr>
            <w:tcW w:w="44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Regional Public and Other Companies</w:t>
            </w: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5"/>
              </w:rPr>
              <w:t>Middleby Corp., Heico Corp., Ladish Co., Inc., The Gorman Rupp Company,</w:t>
            </w:r>
          </w:p>
        </w:tc>
        <w:tc>
          <w:tcPr>
            <w:tcW w:w="30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Cree, Inc., American Vanguard Corporation, Tennant</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6"/>
              </w:rPr>
              <w:t>Diodes Incorporated, MTS Systems Corporation, Badger Meter, Inc., Raven</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w w:val="95"/>
              </w:rPr>
              <w:t>Company, Standard Microsystems Corporation, inVentive</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5"/>
              </w:rPr>
              <w:t>Industries, Inc., Lufkin Industries, Inc., Dril-Quip, Inc., Twin Disc, Inc., Cantel</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Health Inc., FormFactor Inc., Multi-Fineline Electronix,</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8"/>
              </w:rPr>
              <w:t>Medical Corp., Dolby Laboratories, Inc., National Instruments Corporation,</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Inc., FLIR Systems, Inc., Ceradyne, Inc., Gentex</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Comtech Telecommunications, Inc.</w:t>
            </w: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Corporation, Cymer, Inc., CIRCOR International, Inc.,</w:t>
            </w: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Under Armor, Inc.</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Compensation Committee reviewed base salary along with cash and equity incentive forms of compensation that were included in these companies’ respective SEC filings.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Compensation Committee is also mindful of maintaining consistency between executive compensation and compensation for employees of the Company as a whole. The Compensation Committee has deemed it appropriate in light of current economic conditions to keep compensation levels for executives in the lower one-third of the companies in the peer group list. To date, we have not retained any consulting firms to assist us in determining executive compensation.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compensation levels for executive officers as compared to the peer group as of November 2009 were as follows: Chief Executive Officer – Bottom 7%, Chief Financial Officer – Bottom 3%, Vice Presidents – Bottom 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in addition to market data and comparisons to other Company officers.</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Salary levels for our Named Executive Officers are considered annually as part of our performance review process. Any increases in the salaries of the Chief Executive Officer and other Named Executive Officers are determined by the Compensation Committee based on its assessment of the Named Executive Officers’ performance, and achievement of goals, and executive officers’ compensation at comparable companies as described above. The Committee also takes into account our financial performance, understanding that these measures need to be considered in light of current economic conditions, business opportunities and other factors. As such, the Compensation Committee does not generally focus on a limited and narrow set of financial measures in determining salaries. Salary levels for the other e xecutives follow the same guidelines for the Named Executive Officers. None of the Named Executive Officers received an increase of their base salaries for fiscal year 2010 as explained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Non-Equity-Based Incentive Compensation Plan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purpose of our non-equity-based incentive compensation plan is to provide a direct financial incentive in the form of an annual cash bonus to our executive officers. The Committee recommends to the Board, and the independent Directors of the Board determine, the annual incentive bonus of the Chairman of the Board, Chief Executive Officer, Chief Financial Officer and other Named Executive Officers. The non-equity-based incentive compensation plan is a formula-based performance cash bonus plan, with no payouts in the event after tax-earnings are less than 10% of shareholders’ equity at the beginning of the fiscal year, and increasing linearly to a maximum bonus which varies for each executive officer if after-tax earnings exceed 20% of beginning shareholders’ equity. The maximum level of the bonus va ries from an amount equal to three months of base salary to 7.5 months of base salary for each officer. The maximum amount is determined by the Compensation Committee based on reference to the comparable companies identified above, current economic conditions, opportunities for increased earnings, and projected results for the year. The Compensation Committee selected return on equity as the measure of corporate financial performance to determine non-equity-based compensation because it believed it was the most appropriate indicator of performance that will drive long-term shareholder value. Furthermore, we have used this same measure for a number of years and found it to be a meaningful measure of performance that is closely aligned to long-term shareholder value.</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non-equity-based incentive compensation plan is administered by the Board of Directors and Compensation Committee, which have the right, at any time and at their discretion, to amend the plan, increase or decrease individual payout amounts, whether earned or unearned, or terminate the plan, in whole or in part. Changes in the plan in recent years have been limited to changes in the targeted return on equity and the maximum bonus levels. Changes in the maximum level of return on equity have been made to more appropriately reflect changes in expected net income performance such that the achievement of the maximum bonus would result in higher than expected earnings for the Company over the long-term and have been applied to all executive officers. The maximum amount of the bonus for each Named Executive Off icer has changed based primarily on factors described above, and it varies for each Named Executive Officer. We also follow applicable laws and regulations regarding recovery of any bonus, other incentive-based or equity-based compensation and profits realized from the sale of securities, resulting from any misconduct on the part of the executive officer.</w:t>
      </w:r>
    </w:p>
    <w:p>
      <w:pPr>
        <w:sectPr>
          <w:pgSz w:w="11900" w:h="16838" w:orient="portrait"/>
          <w:cols w:equalWidth="0" w:num="1">
            <w:col w:w="10820"/>
          </w:cols>
          <w:pgMar w:left="240" w:top="368" w:right="839" w:bottom="0" w:gutter="0" w:footer="0" w:header="0"/>
        </w:sectPr>
      </w:pPr>
    </w:p>
    <w:bookmarkStart w:id="13" w:name="page14"/>
    <w:bookmarkEnd w:id="13"/>
    <w:p>
      <w:pPr>
        <w:jc w:val="both"/>
        <w:ind w:right="20"/>
        <w:spacing w:after="0" w:line="302" w:lineRule="auto"/>
        <w:rPr>
          <w:sz w:val="20"/>
          <w:szCs w:val="20"/>
          <w:color w:val="auto"/>
        </w:rPr>
      </w:pPr>
      <w:r>
        <w:rPr>
          <w:rFonts w:ascii="Arial" w:cs="Arial" w:eastAsia="Arial" w:hAnsi="Arial"/>
          <w:sz w:val="16"/>
          <w:szCs w:val="16"/>
          <w:color w:val="auto"/>
        </w:rPr>
        <w:t>During fiscal 2010, the Chief Executive Officer was eligible for non-equity-based incentive compensation equal to approximately 63% of his base salary, and the Chief Financial Officer was eligible for non-equity-based incentive compensation equal to approximately 46% of his base salary. The Chairman of the Board of Directors was eligible for non-equity-based incentive compensation equal to approximately 25% of his base salary and all other Named Executive Officers were eligible for non-equity-based incentive compensation equal to 42% of their base salaries.</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maximum amount of non-equity-based incentive compensation is based on our goal of providing a material amount of incentive compensation to be at risk based on the performance of the company, while ensuring that total cash compensation (base and incentive) remains in the lower one-third of the companies in our peer group. To achieve this result, the maximum non-equity-based incentive compensation may actually be greater than the same type of compensation of the lower one-third of the peer companies although total cash compensation for our Named Executive Officers remains in the lower one-third of the peer group.</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fiscal 2010, the maximum and the actual non-equity-based incentive compensation and total cash compensation for each of the Named Executive Officers were as follows as compared to the peer group list: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Non-Equity-Based Compensation:</w:t>
            </w:r>
          </w:p>
        </w:tc>
        <w:tc>
          <w:tcPr>
            <w:tcW w:w="400" w:type="dxa"/>
            <w:vAlign w:val="bottom"/>
          </w:tcPr>
          <w:p>
            <w:pPr>
              <w:spacing w:after="0"/>
              <w:rPr>
                <w:sz w:val="20"/>
                <w:szCs w:val="20"/>
                <w:color w:val="auto"/>
              </w:rPr>
            </w:pPr>
          </w:p>
        </w:tc>
        <w:tc>
          <w:tcPr>
            <w:tcW w:w="2400" w:type="dxa"/>
            <w:vAlign w:val="bottom"/>
            <w:vMerge w:val="restart"/>
          </w:tcPr>
          <w:p>
            <w:pPr>
              <w:ind w:left="960"/>
              <w:spacing w:after="0"/>
              <w:rPr>
                <w:sz w:val="20"/>
                <w:szCs w:val="20"/>
                <w:color w:val="auto"/>
              </w:rPr>
            </w:pPr>
            <w:r>
              <w:rPr>
                <w:rFonts w:ascii="Arial" w:cs="Arial" w:eastAsia="Arial" w:hAnsi="Arial"/>
                <w:sz w:val="18"/>
                <w:szCs w:val="18"/>
                <w:color w:val="auto"/>
              </w:rPr>
              <w:t>Actual</w:t>
            </w:r>
          </w:p>
        </w:tc>
        <w:tc>
          <w:tcPr>
            <w:tcW w:w="400" w:type="dxa"/>
            <w:vAlign w:val="bottom"/>
          </w:tcPr>
          <w:p>
            <w:pPr>
              <w:spacing w:after="0"/>
              <w:rPr>
                <w:sz w:val="20"/>
                <w:szCs w:val="20"/>
                <w:color w:val="auto"/>
              </w:rPr>
            </w:pPr>
          </w:p>
        </w:tc>
        <w:tc>
          <w:tcPr>
            <w:tcW w:w="2620" w:type="dxa"/>
            <w:vAlign w:val="bottom"/>
            <w:vMerge w:val="restart"/>
          </w:tcPr>
          <w:p>
            <w:pPr>
              <w:jc w:val="right"/>
              <w:ind w:right="850"/>
              <w:spacing w:after="0"/>
              <w:rPr>
                <w:sz w:val="20"/>
                <w:szCs w:val="20"/>
                <w:color w:val="auto"/>
              </w:rPr>
            </w:pPr>
            <w:r>
              <w:rPr>
                <w:rFonts w:ascii="Arial" w:cs="Arial" w:eastAsia="Arial" w:hAnsi="Arial"/>
                <w:sz w:val="18"/>
                <w:szCs w:val="18"/>
                <w:color w:val="auto"/>
              </w:rPr>
              <w:t>Maximum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400" w:type="dxa"/>
            <w:vAlign w:val="bottom"/>
          </w:tcPr>
          <w:p>
            <w:pPr>
              <w:spacing w:after="0"/>
              <w:rPr>
                <w:sz w:val="19"/>
                <w:szCs w:val="19"/>
                <w:color w:val="auto"/>
              </w:rPr>
            </w:pPr>
          </w:p>
        </w:tc>
        <w:tc>
          <w:tcPr>
            <w:tcW w:w="26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Bottom 38%</w:t>
            </w:r>
          </w:p>
        </w:tc>
        <w:tc>
          <w:tcPr>
            <w:tcW w:w="400" w:type="dxa"/>
            <w:vAlign w:val="bottom"/>
          </w:tcPr>
          <w:p>
            <w:pPr>
              <w:spacing w:after="0"/>
              <w:rPr>
                <w:sz w:val="17"/>
                <w:szCs w:val="17"/>
                <w:color w:val="auto"/>
              </w:rPr>
            </w:pPr>
          </w:p>
        </w:tc>
        <w:tc>
          <w:tcPr>
            <w:tcW w:w="2620" w:type="dxa"/>
            <w:vAlign w:val="bottom"/>
          </w:tcPr>
          <w:p>
            <w:pPr>
              <w:jc w:val="right"/>
              <w:ind w:right="1570"/>
              <w:spacing w:after="0" w:line="201" w:lineRule="exact"/>
              <w:rPr>
                <w:sz w:val="20"/>
                <w:szCs w:val="20"/>
                <w:color w:val="auto"/>
              </w:rPr>
            </w:pPr>
            <w:r>
              <w:rPr>
                <w:rFonts w:ascii="Arial" w:cs="Arial" w:eastAsia="Arial" w:hAnsi="Arial"/>
                <w:sz w:val="18"/>
                <w:szCs w:val="18"/>
                <w:color w:val="auto"/>
                <w:w w:val="95"/>
              </w:rPr>
              <w:t>Bottom 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800"/>
              <w:spacing w:after="0"/>
              <w:rPr>
                <w:sz w:val="20"/>
                <w:szCs w:val="20"/>
                <w:color w:val="auto"/>
              </w:rPr>
            </w:pPr>
            <w:r>
              <w:rPr>
                <w:rFonts w:ascii="Arial" w:cs="Arial" w:eastAsia="Arial" w:hAnsi="Arial"/>
                <w:sz w:val="18"/>
                <w:szCs w:val="18"/>
                <w:color w:val="auto"/>
              </w:rPr>
              <w:t>Chief Financial Officer</w:t>
            </w:r>
          </w:p>
        </w:tc>
        <w:tc>
          <w:tcPr>
            <w:tcW w:w="2800" w:type="dxa"/>
            <w:vAlign w:val="bottom"/>
            <w:gridSpan w:val="2"/>
          </w:tcPr>
          <w:p>
            <w:pPr>
              <w:ind w:left="400"/>
              <w:spacing w:after="0"/>
              <w:rPr>
                <w:sz w:val="20"/>
                <w:szCs w:val="20"/>
                <w:color w:val="auto"/>
              </w:rPr>
            </w:pPr>
            <w:r>
              <w:rPr>
                <w:rFonts w:ascii="Arial" w:cs="Arial" w:eastAsia="Arial" w:hAnsi="Arial"/>
                <w:sz w:val="18"/>
                <w:szCs w:val="18"/>
                <w:color w:val="auto"/>
              </w:rPr>
              <w:t>Bottom 45%</w:t>
            </w:r>
          </w:p>
        </w:tc>
        <w:tc>
          <w:tcPr>
            <w:tcW w:w="3020" w:type="dxa"/>
            <w:vAlign w:val="bottom"/>
            <w:gridSpan w:val="2"/>
          </w:tcPr>
          <w:p>
            <w:pPr>
              <w:jc w:val="right"/>
              <w:ind w:right="1570"/>
              <w:spacing w:after="0"/>
              <w:rPr>
                <w:sz w:val="20"/>
                <w:szCs w:val="20"/>
                <w:color w:val="auto"/>
              </w:rPr>
            </w:pPr>
            <w:r>
              <w:rPr>
                <w:rFonts w:ascii="Arial" w:cs="Arial" w:eastAsia="Arial" w:hAnsi="Arial"/>
                <w:sz w:val="18"/>
                <w:szCs w:val="18"/>
                <w:color w:val="auto"/>
              </w:rPr>
              <w:t>Bottom 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800"/>
              <w:spacing w:after="0"/>
              <w:rPr>
                <w:sz w:val="20"/>
                <w:szCs w:val="20"/>
                <w:color w:val="auto"/>
              </w:rPr>
            </w:pPr>
            <w:r>
              <w:rPr>
                <w:rFonts w:ascii="Arial" w:cs="Arial" w:eastAsia="Arial" w:hAnsi="Arial"/>
                <w:sz w:val="18"/>
                <w:szCs w:val="18"/>
                <w:color w:val="auto"/>
              </w:rPr>
              <w:t>Vice Presidents</w:t>
            </w:r>
          </w:p>
        </w:tc>
        <w:tc>
          <w:tcPr>
            <w:tcW w:w="2800" w:type="dxa"/>
            <w:vAlign w:val="bottom"/>
            <w:gridSpan w:val="2"/>
          </w:tcPr>
          <w:p>
            <w:pPr>
              <w:ind w:left="400"/>
              <w:spacing w:after="0"/>
              <w:rPr>
                <w:sz w:val="20"/>
                <w:szCs w:val="20"/>
                <w:color w:val="auto"/>
              </w:rPr>
            </w:pPr>
            <w:r>
              <w:rPr>
                <w:rFonts w:ascii="Arial" w:cs="Arial" w:eastAsia="Arial" w:hAnsi="Arial"/>
                <w:sz w:val="18"/>
                <w:szCs w:val="18"/>
                <w:color w:val="auto"/>
              </w:rPr>
              <w:t>Bottom 46%</w:t>
            </w:r>
          </w:p>
        </w:tc>
        <w:tc>
          <w:tcPr>
            <w:tcW w:w="3020" w:type="dxa"/>
            <w:vAlign w:val="bottom"/>
            <w:gridSpan w:val="2"/>
          </w:tcPr>
          <w:p>
            <w:pPr>
              <w:jc w:val="right"/>
              <w:ind w:right="1570"/>
              <w:spacing w:after="0"/>
              <w:rPr>
                <w:sz w:val="20"/>
                <w:szCs w:val="20"/>
                <w:color w:val="auto"/>
              </w:rPr>
            </w:pPr>
            <w:r>
              <w:rPr>
                <w:rFonts w:ascii="Arial" w:cs="Arial" w:eastAsia="Arial" w:hAnsi="Arial"/>
                <w:sz w:val="18"/>
                <w:szCs w:val="18"/>
                <w:color w:val="auto"/>
              </w:rPr>
              <w:t>Bottom 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Total Cash Compensation:</w:t>
            </w:r>
          </w:p>
        </w:tc>
        <w:tc>
          <w:tcPr>
            <w:tcW w:w="400" w:type="dxa"/>
            <w:vAlign w:val="bottom"/>
          </w:tcPr>
          <w:p>
            <w:pPr>
              <w:spacing w:after="0"/>
              <w:rPr>
                <w:sz w:val="24"/>
                <w:szCs w:val="24"/>
                <w:color w:val="auto"/>
              </w:rPr>
            </w:pPr>
          </w:p>
        </w:tc>
        <w:tc>
          <w:tcPr>
            <w:tcW w:w="2400" w:type="dxa"/>
            <w:vAlign w:val="bottom"/>
            <w:vMerge w:val="restart"/>
          </w:tcPr>
          <w:p>
            <w:pPr>
              <w:ind w:left="960"/>
              <w:spacing w:after="0"/>
              <w:rPr>
                <w:sz w:val="20"/>
                <w:szCs w:val="20"/>
                <w:color w:val="auto"/>
              </w:rPr>
            </w:pPr>
            <w:r>
              <w:rPr>
                <w:rFonts w:ascii="Arial" w:cs="Arial" w:eastAsia="Arial" w:hAnsi="Arial"/>
                <w:sz w:val="18"/>
                <w:szCs w:val="18"/>
                <w:color w:val="auto"/>
              </w:rPr>
              <w:t>Actual</w:t>
            </w:r>
          </w:p>
        </w:tc>
        <w:tc>
          <w:tcPr>
            <w:tcW w:w="400" w:type="dxa"/>
            <w:vAlign w:val="bottom"/>
          </w:tcPr>
          <w:p>
            <w:pPr>
              <w:spacing w:after="0"/>
              <w:rPr>
                <w:sz w:val="24"/>
                <w:szCs w:val="24"/>
                <w:color w:val="auto"/>
              </w:rPr>
            </w:pPr>
          </w:p>
        </w:tc>
        <w:tc>
          <w:tcPr>
            <w:tcW w:w="2620" w:type="dxa"/>
            <w:vAlign w:val="bottom"/>
            <w:vMerge w:val="restart"/>
          </w:tcPr>
          <w:p>
            <w:pPr>
              <w:jc w:val="right"/>
              <w:ind w:right="850"/>
              <w:spacing w:after="0"/>
              <w:rPr>
                <w:sz w:val="20"/>
                <w:szCs w:val="20"/>
                <w:color w:val="auto"/>
              </w:rPr>
            </w:pPr>
            <w:r>
              <w:rPr>
                <w:rFonts w:ascii="Arial" w:cs="Arial" w:eastAsia="Arial" w:hAnsi="Arial"/>
                <w:sz w:val="18"/>
                <w:szCs w:val="18"/>
                <w:color w:val="auto"/>
              </w:rPr>
              <w:t>Maximum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400" w:type="dxa"/>
            <w:vAlign w:val="bottom"/>
          </w:tcPr>
          <w:p>
            <w:pPr>
              <w:spacing w:after="0"/>
              <w:rPr>
                <w:sz w:val="19"/>
                <w:szCs w:val="19"/>
                <w:color w:val="auto"/>
              </w:rPr>
            </w:pPr>
          </w:p>
        </w:tc>
        <w:tc>
          <w:tcPr>
            <w:tcW w:w="26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Bottom 3%</w:t>
            </w:r>
          </w:p>
        </w:tc>
        <w:tc>
          <w:tcPr>
            <w:tcW w:w="400" w:type="dxa"/>
            <w:vAlign w:val="bottom"/>
          </w:tcPr>
          <w:p>
            <w:pPr>
              <w:spacing w:after="0"/>
              <w:rPr>
                <w:sz w:val="17"/>
                <w:szCs w:val="17"/>
                <w:color w:val="auto"/>
              </w:rPr>
            </w:pPr>
          </w:p>
        </w:tc>
        <w:tc>
          <w:tcPr>
            <w:tcW w:w="2620" w:type="dxa"/>
            <w:vAlign w:val="bottom"/>
          </w:tcPr>
          <w:p>
            <w:pPr>
              <w:jc w:val="right"/>
              <w:ind w:right="1570"/>
              <w:spacing w:after="0" w:line="201" w:lineRule="exact"/>
              <w:rPr>
                <w:sz w:val="20"/>
                <w:szCs w:val="20"/>
                <w:color w:val="auto"/>
              </w:rPr>
            </w:pPr>
            <w:r>
              <w:rPr>
                <w:rFonts w:ascii="Arial" w:cs="Arial" w:eastAsia="Arial" w:hAnsi="Arial"/>
                <w:sz w:val="18"/>
                <w:szCs w:val="18"/>
                <w:color w:val="auto"/>
                <w:w w:val="95"/>
              </w:rPr>
              <w:t>Bottom 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800"/>
              <w:spacing w:after="0"/>
              <w:rPr>
                <w:sz w:val="20"/>
                <w:szCs w:val="20"/>
                <w:color w:val="auto"/>
              </w:rPr>
            </w:pPr>
            <w:r>
              <w:rPr>
                <w:rFonts w:ascii="Arial" w:cs="Arial" w:eastAsia="Arial" w:hAnsi="Arial"/>
                <w:sz w:val="18"/>
                <w:szCs w:val="18"/>
                <w:color w:val="auto"/>
              </w:rPr>
              <w:t>Chief Financial Officer</w:t>
            </w:r>
          </w:p>
        </w:tc>
        <w:tc>
          <w:tcPr>
            <w:tcW w:w="2800" w:type="dxa"/>
            <w:vAlign w:val="bottom"/>
            <w:gridSpan w:val="2"/>
          </w:tcPr>
          <w:p>
            <w:pPr>
              <w:ind w:left="400"/>
              <w:spacing w:after="0"/>
              <w:rPr>
                <w:sz w:val="20"/>
                <w:szCs w:val="20"/>
                <w:color w:val="auto"/>
              </w:rPr>
            </w:pPr>
            <w:r>
              <w:rPr>
                <w:rFonts w:ascii="Arial" w:cs="Arial" w:eastAsia="Arial" w:hAnsi="Arial"/>
                <w:sz w:val="18"/>
                <w:szCs w:val="18"/>
                <w:color w:val="auto"/>
              </w:rPr>
              <w:t>Bottom 3%</w:t>
            </w:r>
          </w:p>
        </w:tc>
        <w:tc>
          <w:tcPr>
            <w:tcW w:w="3020" w:type="dxa"/>
            <w:vAlign w:val="bottom"/>
            <w:gridSpan w:val="2"/>
          </w:tcPr>
          <w:p>
            <w:pPr>
              <w:jc w:val="right"/>
              <w:ind w:right="1570"/>
              <w:spacing w:after="0"/>
              <w:rPr>
                <w:sz w:val="20"/>
                <w:szCs w:val="20"/>
                <w:color w:val="auto"/>
              </w:rPr>
            </w:pPr>
            <w:r>
              <w:rPr>
                <w:rFonts w:ascii="Arial" w:cs="Arial" w:eastAsia="Arial" w:hAnsi="Arial"/>
                <w:sz w:val="18"/>
                <w:szCs w:val="18"/>
                <w:color w:val="auto"/>
              </w:rPr>
              <w:t>Bottom 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800"/>
              <w:spacing w:after="0"/>
              <w:rPr>
                <w:sz w:val="20"/>
                <w:szCs w:val="20"/>
                <w:color w:val="auto"/>
              </w:rPr>
            </w:pPr>
            <w:r>
              <w:rPr>
                <w:rFonts w:ascii="Arial" w:cs="Arial" w:eastAsia="Arial" w:hAnsi="Arial"/>
                <w:sz w:val="18"/>
                <w:szCs w:val="18"/>
                <w:color w:val="auto"/>
              </w:rPr>
              <w:t>Vice Presidents</w:t>
            </w:r>
          </w:p>
        </w:tc>
        <w:tc>
          <w:tcPr>
            <w:tcW w:w="2800" w:type="dxa"/>
            <w:vAlign w:val="bottom"/>
            <w:gridSpan w:val="2"/>
          </w:tcPr>
          <w:p>
            <w:pPr>
              <w:ind w:left="400"/>
              <w:spacing w:after="0"/>
              <w:rPr>
                <w:sz w:val="20"/>
                <w:szCs w:val="20"/>
                <w:color w:val="auto"/>
              </w:rPr>
            </w:pPr>
            <w:r>
              <w:rPr>
                <w:rFonts w:ascii="Arial" w:cs="Arial" w:eastAsia="Arial" w:hAnsi="Arial"/>
                <w:sz w:val="18"/>
                <w:szCs w:val="18"/>
                <w:color w:val="auto"/>
              </w:rPr>
              <w:t>Bottom 4%</w:t>
            </w:r>
          </w:p>
        </w:tc>
        <w:tc>
          <w:tcPr>
            <w:tcW w:w="3020" w:type="dxa"/>
            <w:vAlign w:val="bottom"/>
            <w:gridSpan w:val="2"/>
          </w:tcPr>
          <w:p>
            <w:pPr>
              <w:jc w:val="right"/>
              <w:ind w:right="1570"/>
              <w:spacing w:after="0"/>
              <w:rPr>
                <w:sz w:val="20"/>
                <w:szCs w:val="20"/>
                <w:color w:val="auto"/>
              </w:rPr>
            </w:pPr>
            <w:r>
              <w:rPr>
                <w:rFonts w:ascii="Arial" w:cs="Arial" w:eastAsia="Arial" w:hAnsi="Arial"/>
                <w:sz w:val="18"/>
                <w:szCs w:val="18"/>
                <w:color w:val="auto"/>
              </w:rPr>
              <w:t>Bottom  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0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 Program</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Grants of equity awards have been the primary vehicles for offering long-term incentives to our executive officers. The objectives of our equity-based compensation program are to advance our longer-term interests, complement incentives tied to annual performance and align the interests of employees more closely with those of our shareholders. We believe that long-term incentives provided by stock option awards are especially significant in motivating our executives and retaining their services.</w:t>
      </w:r>
    </w:p>
    <w:p>
      <w:pPr>
        <w:spacing w:after="0" w:line="217"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 xml:space="preserve">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1%. The 1% dilution is based on an assessment of a conservative amount relative to high tech growth companies. We believe this level is low compared to high tech growth companies on average. In recommending grants of equity awards, the Compensation Committee and Chief Executive Officer consider trends in equity-based compensation and whether they are consistent with our c ompensation philosophy. They also consider our “overhang” percentage, that is, the number of our shares that are subject to outstanding options and other equity awards and that are available for the grant of options and other equity awards as a percentage of the number of our shares outstanding. The Compensation Committee then determines the aggregate number of shares subject to all options and other equity awards to be granted to Named Executive Officers and other officers as a whole based on a historical split of grants between this group and all other employees. In the past fiscal year, approximately 8% of all options and other equity awards were granted to the Named Executive Officers. The allocation among Named Executive Officer is based on historical grants, the value of past grants and the Company’s performance, all being subject to the objectives listed under the section titled </w:t>
      </w:r>
      <w:r>
        <w:rPr>
          <w:rFonts w:ascii="Arial" w:cs="Arial" w:eastAsia="Arial" w:hAnsi="Arial"/>
          <w:sz w:val="17"/>
          <w:szCs w:val="17"/>
          <w:i w:val="1"/>
          <w:iCs w:val="1"/>
          <w:color w:val="auto"/>
        </w:rPr>
        <w:t>“Compensati on Philosophy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Components.” </w:t>
      </w:r>
      <w:r>
        <w:rPr>
          <w:rFonts w:ascii="Arial" w:cs="Arial" w:eastAsia="Arial" w:hAnsi="Arial"/>
          <w:sz w:val="17"/>
          <w:szCs w:val="17"/>
          <w:color w:val="auto"/>
        </w:rPr>
        <w:t>Generally we do not compare the number of shares subject to options and other equity awards granted to our executive officers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peer group equivalent number.</w:t>
      </w:r>
    </w:p>
    <w:p>
      <w:pPr>
        <w:spacing w:after="0" w:line="21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Chief Executive Officer determines the grants of options and other equity awards to other key employees within the limits set forth by the Compensation Committee, keeping in mind the factors described in the foregoing paragraph. To facilitate the grant of stock options to employees and other executive officers, the Board of Directors authorized James B. Morgan to grant individual stock options during fiscal 2009 to such employees and executive officers, subject to the guidelines and limitations imposed on him by the Compensation Committee.</w:t>
      </w:r>
    </w:p>
    <w:p>
      <w:pPr>
        <w:spacing w:after="0" w:line="19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fiscal 2010, the Compensation Committee determined that it would increase the amount of equity based compensation for all employees slightly, including Named Executive Officers, in part due to the lack of salary increases during the year. To accomplish this, the Compensation Committee granted approximately the same number of stock options as in prior years, plus restricted stock units with a grant date fair value equal to 50% of the grant date fair value of the stock options. This increase resulted in a dilution of approximately 0%.</w:t>
      </w:r>
    </w:p>
    <w:p>
      <w:pPr>
        <w:spacing w:after="0" w:line="19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Grants of equity awards to executive officers are considered at the Board and Compensation Committee meetings held in November of each year.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as the closing price of the common stock as reported on The NASDAQ Global Select Market on the date of grant. All options also contain five-year vesting provisions, with 20% of the shares underlying the stock option vesting each year following the date of grant. The restricted stock units also contain a five-year vesting provisions with 20% of the restricted stock units vesting each year following the date of grant.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have deferred compensation arrangements to reward the Named Executive Officers who were employed by us as of August 1990, consisting of James B. Morgan and Aelred J. Kurtenbach. The arrangements are designed to fund annual payments upon retirement based on the value of amounts credited to each person’s account. The Compensation Committee administers these arrangements and approves on an annual basis the amounts</w:t>
      </w:r>
    </w:p>
    <w:p>
      <w:pPr>
        <w:sectPr>
          <w:pgSz w:w="11900" w:h="16838" w:orient="portrait"/>
          <w:cols w:equalWidth="0" w:num="1">
            <w:col w:w="10840"/>
          </w:cols>
          <w:pgMar w:left="240" w:top="368" w:right="819" w:bottom="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credited to each participant’s account. The amounts credited are equal to the interest earned on the account at a rate equal to the five-year United States Treasury Note rate as of the first day of each plan year.</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currently is. These arrangements are funded through an increase in the cash surrender value of life insurance policies on the lives of the participants. They are evidenced by deferred compensation agreements and are described in the table entitled “Non-qualified Deferred Compensation – Fiscal 2010”.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82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Vesting under the deferred compensation arrangements occurs upon reaching retirement age, (defined as the earlier to occur of age 65 or age 55 and the completion of 20 years of service to the Company), or in the event of death or disability. Participants may withdraw benefits in the plans that are vested after the employee ceases employment with the Company, but only if termination of employment is not for cause. Upon a termination of employment for cause, the participant’s vested and non-vested interests in the plan are terminated. Upon termination, other than for cause, the participant may elect to receive benefits in the form of a lump sum payout or on an installment basis over a five- or ten-year period. Upon a change in control, all benefits under the plan are payable unless a majority of the Board of Directors agrees to continue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Named Executive Officers are eligible for all benefits generally available to our full-time permanent employees. Other than the deferred compensation plan described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2010 to executive officers are described below.</w:t>
      </w:r>
    </w:p>
    <w:p>
      <w:pPr>
        <w:spacing w:after="0" w:line="21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$0.9 million in matching and discretionary contributions in fiscal 2010, $1.8 million in fiscal 2009 and $1.9 million in fiscal 2 008. Contributions to the 401(k) Plan on behalf of the Named Executive Officers are described in the “Summary Compensation Table – Fiscal 2010.”</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The ESPP allows employees to purchase shares of our common stock, subject to annual limitations, at a price equal to 85% of the lower of the fair market value of the common stock at the beginning or the end of each six-month offering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account for equity-based compensation paid to employees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 Furthermore, in the case of restricted stock and restricted stock units, we generally can deduct the fair market value of the shares vested on the vesting date.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restricted stock awards, we generally can deduct the gain recognized by employees and directors as ordinary income. This gain typically occurs upon vesting and is equal to the value of the stock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82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May 1, 2010, May 2, 2009 and April 26, 2008 and to our three other most highly compensated Named Executive Officers whose total compensation was greater than $100,000 for the fiscal year ended May 1, 2010.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 FISCAL 2010</w:t>
      </w:r>
    </w:p>
    <w:p>
      <w:pPr>
        <w:sectPr>
          <w:pgSz w:w="11900" w:h="16838" w:orient="portrait"/>
          <w:cols w:equalWidth="0" w:num="1">
            <w:col w:w="10820"/>
          </w:cols>
          <w:pgMar w:left="240" w:top="125" w:right="839" w:bottom="0" w:gutter="0" w:footer="0" w:header="0"/>
        </w:sectPr>
      </w:pPr>
    </w:p>
    <w:p>
      <w:pPr>
        <w:spacing w:after="0" w:line="256"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Stock</w:t>
      </w:r>
    </w:p>
    <w:p>
      <w:pPr>
        <w:spacing w:after="0" w:line="1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 xml:space="preserve">Awards </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Awards </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Incentive Plan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All Other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ectPr>
          <w:pgSz w:w="11900" w:h="16838" w:orient="portrait"/>
          <w:cols w:equalWidth="0" w:num="5">
            <w:col w:w="5320" w:space="440"/>
            <w:col w:w="740" w:space="500"/>
            <w:col w:w="1020" w:space="560"/>
            <w:col w:w="720" w:space="720"/>
            <w:col w:w="800"/>
          </w:cols>
          <w:pgMar w:left="240" w:top="125" w:right="839" w:bottom="0" w:gutter="0" w:footer="0" w:header="0"/>
          <w:type w:val="continuous"/>
        </w:sectPr>
      </w:pPr>
    </w:p>
    <w:bookmarkStart w:id="15" w:name="page16"/>
    <w:bookmarkEnd w:id="15"/>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Name and Principal Position</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89"/>
              </w:rPr>
              <w:t>Salary</w:t>
            </w:r>
            <w:r>
              <w:rPr>
                <w:rFonts w:ascii="Arial" w:cs="Arial" w:eastAsia="Arial" w:hAnsi="Arial"/>
                <w:sz w:val="25"/>
                <w:szCs w:val="25"/>
                <w:color w:val="auto"/>
                <w:w w:val="89"/>
                <w:vertAlign w:val="superscript"/>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 xml:space="preserve">Compensation </w:t>
            </w:r>
            <w:r>
              <w:rPr>
                <w:rFonts w:ascii="Arial" w:cs="Arial" w:eastAsia="Arial" w:hAnsi="Arial"/>
                <w:sz w:val="25"/>
                <w:szCs w:val="25"/>
                <w:color w:val="auto"/>
                <w:w w:val="84"/>
                <w:vertAlign w:val="superscript"/>
              </w:rPr>
              <w:t>(4)</w:t>
            </w:r>
          </w:p>
        </w:tc>
        <w:tc>
          <w:tcPr>
            <w:tcW w:w="18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Compen-</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0"/>
              <w:spacing w:after="0" w:line="230" w:lineRule="exact"/>
              <w:rPr>
                <w:sz w:val="20"/>
                <w:szCs w:val="20"/>
                <w:color w:val="auto"/>
              </w:rPr>
            </w:pPr>
            <w:r>
              <w:rPr>
                <w:rFonts w:ascii="Arial" w:cs="Arial" w:eastAsia="Arial" w:hAnsi="Arial"/>
                <w:sz w:val="18"/>
                <w:szCs w:val="18"/>
                <w:color w:val="auto"/>
                <w:w w:val="90"/>
              </w:rPr>
              <w:t>sation</w:t>
            </w:r>
            <w:r>
              <w:rPr>
                <w:rFonts w:ascii="Arial" w:cs="Arial" w:eastAsia="Arial" w:hAnsi="Arial"/>
                <w:sz w:val="25"/>
                <w:szCs w:val="25"/>
                <w:color w:val="auto"/>
                <w:w w:val="90"/>
                <w:vertAlign w:val="superscript"/>
              </w:rPr>
              <w:t>(5)</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James B. Morgan</w:t>
            </w:r>
          </w:p>
        </w:tc>
        <w:tc>
          <w:tcPr>
            <w:tcW w:w="120" w:type="dxa"/>
            <w:vAlign w:val="bottom"/>
          </w:tcPr>
          <w:p>
            <w:pPr>
              <w:spacing w:after="0"/>
              <w:rPr>
                <w:sz w:val="17"/>
                <w:szCs w:val="17"/>
                <w:color w:val="auto"/>
              </w:rPr>
            </w:pPr>
          </w:p>
        </w:tc>
        <w:tc>
          <w:tcPr>
            <w:tcW w:w="5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2010</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310,680</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19,011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41,424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6,156</w:t>
            </w:r>
          </w:p>
        </w:tc>
        <w:tc>
          <w:tcPr>
            <w:tcW w:w="140" w:type="dxa"/>
            <w:vAlign w:val="bottom"/>
          </w:tcPr>
          <w:p>
            <w:pPr>
              <w:spacing w:after="0"/>
              <w:rPr>
                <w:sz w:val="17"/>
                <w:szCs w:val="17"/>
                <w:color w:val="auto"/>
              </w:rPr>
            </w:pPr>
          </w:p>
        </w:tc>
        <w:tc>
          <w:tcPr>
            <w:tcW w:w="3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377,271</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316,655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42,120</w:t>
            </w: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85,861</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5,999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450,635</w:t>
            </w: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President and Director</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301,788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91,520</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5,996</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527,142</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Dr. Aelred J. Kurtenbach</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3,353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153,353</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Chairman of the Board and</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152,885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16,582</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5,694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175,161</w:t>
            </w: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26,452</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6,167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182,669</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William R. Retterath</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192,780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17,427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37,972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250,600</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196,487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38,610</w:t>
            </w: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39,070</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4,735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278,902</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188,176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83,200</w:t>
            </w: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56,661</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8,646</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336,683</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Bradley T. Wiemann</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177,000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16,635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36,246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4,348</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234,229</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36,855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7,115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256,985</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177,280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74,880</w:t>
            </w: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46,820</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7,084</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306,064</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Reece A. Kurtenbach</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181,200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16,635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36,246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3,710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237,791</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184,685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36,855</w:t>
            </w: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33,385</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6,128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261,053</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74,880</w:t>
            </w: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47,931</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6,087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340" w:right="20" w:hanging="332"/>
        <w:spacing w:after="0" w:line="230"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 salaries did not change between fiscal 2009 and 2010. The 2010 salary difference represents one less week of payroll in fiscal year 2010 as compared to fiscal year 2009. Fiscal 2008 included an increase in base salaries that was in effect for only one half of the year.</w:t>
      </w:r>
    </w:p>
    <w:p>
      <w:pPr>
        <w:jc w:val="both"/>
        <w:ind w:left="340" w:right="20" w:hanging="332"/>
        <w:spacing w:after="0" w:line="238"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restricted stock units granted under the 2007 Stock Incentive Plan. The restricted stock units vest as to 20% of the shares one year after the date of grant and as to an additional 20% in each succeeding year, but only if the Named Executive Officer is then an employee of the Company. In accordance with ASC 718, the amount is calculated based on the fair value of the grant on the date of grant. Refer to “Item 7. Management’s Discussion and Analysis of Financial Condition and Results of Operations — Critical Accounting Policies and Estimates ” in our Annual Report on Form 10-K for the year ended May 1, 2010 for a discussion of the assumptions used in calculating the expense under ASC 718.</w:t>
      </w:r>
    </w:p>
    <w:p>
      <w:pPr>
        <w:spacing w:after="0" w:line="1" w:lineRule="exact"/>
        <w:rPr>
          <w:rFonts w:ascii="Arial" w:cs="Arial" w:eastAsia="Arial" w:hAnsi="Arial"/>
          <w:sz w:val="13"/>
          <w:szCs w:val="13"/>
          <w:color w:val="auto"/>
        </w:rPr>
      </w:pPr>
    </w:p>
    <w:p>
      <w:pPr>
        <w:jc w:val="both"/>
        <w:ind w:left="340" w:right="20" w:hanging="332"/>
        <w:spacing w:after="0" w:line="238"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stock options granted under the 2007 Stock Incentive Plan. The options vest and become exercisable as to 20% of the shares one year after the date of grant and as to an additional 20% in each succeeding year, but only if the Named Executive Officer is then an employee of the Company. The value of the option awards is based on the grant date fair value of the award in accordance with ASC 718. Refer to “Item 7. Management’s Discussion and Analysis of Financial Condition and Results of Operations — Critical Accounting Policies and Estimates ” in our Annual Report on Form 10-K for the year ended May 1, 2010 for a discussion of the assumptions used in calculating the expense under ASC 718.</w:t>
      </w:r>
    </w:p>
    <w:p>
      <w:pPr>
        <w:spacing w:after="0" w:line="1" w:lineRule="exact"/>
        <w:rPr>
          <w:rFonts w:ascii="Arial" w:cs="Arial" w:eastAsia="Arial" w:hAnsi="Arial"/>
          <w:sz w:val="13"/>
          <w:szCs w:val="13"/>
          <w:color w:val="auto"/>
        </w:rPr>
      </w:pPr>
    </w:p>
    <w:p>
      <w:pPr>
        <w:jc w:val="both"/>
        <w:ind w:left="340" w:right="2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fiscal year 2009, consists of cash bonuses earned for fiscal 2009 and paid in fiscal 2010. For fiscal 2008, consists of cash bonuses earned for fiscal 2008 and paid in fiscal 2009. The annual incentive bonus provides that our executive officers are eligible to earn annual cash bonuses tied to the level of achievement of net income compared to beginning stockholders’ equity. See “Compensation Discussion and Analysis — Setting Executive Compensation — Annual Incentive Bonus.”</w:t>
      </w: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matching and discretionary contributions made by us under the 401(k) Plan, which is intended to qualify under Section 401(k) of the Internal Revenue Code of 1986.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$0.9 million in matching and discretionary contributions in fiscal 2010, $1.8 million in fiscal 2009 and $1.9 million in fiscal 2 008. Contributions to the 401(k) Plan on behalf of the Named Executive Officers are described in the “Summary Compensation Table – Fiscal 2010.”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Incentive Plan and Incentive Option Plans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2007 Plan is intended to assist us in hiring and retaining well-qualified employees, consultants and other service providers by allowing them to participate in our ownership and growth through the grant of incentive and non-statutory stock options, restricted stock, restricted stock units and deferred stock. All grants of equity compensation after August 15, 2007 have been made under the 2007 Plan. We terminated the 2001 Daktronics Incentive Option Plan and the 1993 Daktronics Incentive Option Plan (the “Option Plans”) effective as of August 15, 2007, and we are no longer authorized to grant additional options or any other forms or equity compensation under the Option Plans. However, the outstanding options under the Option Plans as of August 15, 2007 were not affected by such termination. 60; On June 28, 2010, options to purchase an aggregate of 2,935,348 shares were outstanding under the Option Plans and the 2007 Plan.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the terms of the 2007 Plan, which is qualified by reference to the 2007 Plan. The principal terms of the Option Plans are substantially similar to those of the 2007 Plan described below, except as otherwise noted.</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2007 Plan is administered by the Compensation Committee of the Board of Directors, which determines when and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consultants and other service providers will be granted options and other awards under the 2007 Plan. Subject to the provisions of the 2007 Plan, the Compensation Committee also determines the amount and terms of awards (including restrictions) and makes all other determinations necessary or advisable for the administration of the 2007 Plan.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of the Company and any of its affiliates are eligible for selection to receive options qualified as incentive stock options (“ISOs”) under Section 422 of the Code and restricted stock units. Employees, consultants and other service providers of the Company or its affiliates may be granted non-qualified options (“NQOs”) under the 2007 Plan.</w:t>
      </w:r>
    </w:p>
    <w:p>
      <w:pPr>
        <w:spacing w:after="0" w:line="20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i w:val="1"/>
          <w:iCs w:val="1"/>
          <w:color w:val="auto"/>
        </w:rPr>
        <w:t xml:space="preserve">Shares Subject to the Option Plans and the 2007 Plan. </w:t>
      </w:r>
      <w:r>
        <w:rPr>
          <w:rFonts w:ascii="Arial" w:cs="Arial" w:eastAsia="Arial" w:hAnsi="Arial"/>
          <w:sz w:val="17"/>
          <w:szCs w:val="17"/>
          <w:color w:val="auto"/>
        </w:rPr>
        <w:t>The Option Plans provided that the total number of shares of our common stock that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purchased upon the exercise of options could not exceed 3,200,000 shares, subject to adjustment. The 2007 Plan provides for a total of 4,000,000 shares, also subject to adjustment. In the event of a stock dividend, stock split, reverse stock split, reclassification, combination, exchange of shares or other similar recapitalization of our common stock, there is an appropriate adjustment made, without the consent of any award recipient, to the number and kind of shares of our common stock subject to and reserved under the 2007 Plan, including any limits on shares established, the exercise or purch ase price of each share subject to an award and any other affected terms of such awards.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Upon the grant of an option under the 2007 Plan, the Compensation Committee fixes the number of shares of our common stock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optionee may purchase upon exercise of the option and the exercise price at which the shares may be purchased. With regard to ISOs, the</w:t>
      </w:r>
    </w:p>
    <w:p>
      <w:pPr>
        <w:sectPr>
          <w:pgSz w:w="11900" w:h="16854" w:orient="portrait"/>
          <w:cols w:equalWidth="0" w:num="1">
            <w:col w:w="10820"/>
          </w:cols>
          <w:pgMar w:left="240" w:top="54" w:right="839" w:bottom="0" w:gutter="0" w:footer="0" w:header="0"/>
        </w:sectPr>
      </w:pPr>
    </w:p>
    <w:bookmarkStart w:id="16" w:name="page17"/>
    <w:bookmarkEnd w:id="16"/>
    <w:p>
      <w:pPr>
        <w:jc w:val="both"/>
        <w:ind w:right="20"/>
        <w:spacing w:after="0" w:line="270" w:lineRule="auto"/>
        <w:rPr>
          <w:sz w:val="20"/>
          <w:szCs w:val="20"/>
          <w:color w:val="auto"/>
        </w:rPr>
      </w:pPr>
      <w:r>
        <w:rPr>
          <w:rFonts w:ascii="Arial" w:cs="Arial" w:eastAsia="Arial" w:hAnsi="Arial"/>
          <w:sz w:val="17"/>
          <w:szCs w:val="17"/>
          <w:color w:val="auto"/>
        </w:rPr>
        <w:t>exercise price cannot be less than the “fair market value” of the common stock at the time the ISO is granted or 110%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cannot exceed $100,000. Under the O ption Plans, the exercise price of non-qualified options could be less than the fair market value of the common stock but not less than 85% of fair market value. Under the 2007 Plan, the exercise price of non-qualified options cannot be less than fair market value. Each option granted under the 2007 Plan is exercisable by the optionee only during the term fixed by the Compensation Committee, with such term ending not later than 10 years after the date of grant in the case of ISO’s or five years after the date of grant in certain cases. Payment for shares upon exercise of any option can be made in cash, in shares of our common stock that have been owned for more than six months having an aggregate fair market value on the date of exercise which is not less than the exercise price of the option, or by a combination of cash and such shares, as described in the 2007 Plan.</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Options granted under the Option Plans and 2007 Plan are non-transferable except to the extent permitted by the agreement evidencing such option. However, no ISO is transferable by any optionee other than by will or the laws of descent and distribution. If, under the agreement evidencing any option, such option remains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Grants of restricted stock units are fixed by the Compensation Committee. The units vest as to 20% of the units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grant and as to an additional 20% in each succeeding year, but only to the extent the grantee remains employed by us. Restricted stock units are not transferrable.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 FISCAL 2010</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All other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All other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Grant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jc w:val="center"/>
              <w:ind w:right="240"/>
              <w:spacing w:after="0"/>
              <w:rPr>
                <w:sz w:val="20"/>
                <w:szCs w:val="20"/>
                <w:color w:val="auto"/>
              </w:rPr>
            </w:pPr>
            <w:r>
              <w:rPr>
                <w:rFonts w:ascii="Arial" w:cs="Arial" w:eastAsia="Arial" w:hAnsi="Arial"/>
                <w:sz w:val="18"/>
                <w:szCs w:val="18"/>
                <w:color w:val="auto"/>
                <w:w w:val="90"/>
              </w:rPr>
              <w:t>Estimated future payouts under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awards: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awards: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date fair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non-equity incentive plan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or base</w:t>
            </w:r>
          </w:p>
        </w:tc>
        <w:tc>
          <w:tcPr>
            <w:tcW w:w="12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value of</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shares of</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securities</w:t>
            </w: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price of</w:t>
            </w:r>
          </w:p>
        </w:tc>
        <w:tc>
          <w:tcPr>
            <w:tcW w:w="12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Grant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stock or units</w:t>
            </w:r>
          </w:p>
        </w:tc>
        <w:tc>
          <w:tcPr>
            <w:tcW w:w="17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underlying options(#)</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3"/>
              </w:rPr>
              <w:t>option</w:t>
            </w:r>
          </w:p>
        </w:tc>
        <w:tc>
          <w:tcPr>
            <w:tcW w:w="120" w:type="dxa"/>
            <w:vAlign w:val="bottom"/>
          </w:tcPr>
          <w:p>
            <w:pPr>
              <w:spacing w:after="0"/>
              <w:rPr>
                <w:sz w:val="17"/>
                <w:szCs w:val="17"/>
                <w:color w:val="auto"/>
              </w:rPr>
            </w:pPr>
          </w:p>
        </w:tc>
        <w:tc>
          <w:tcPr>
            <w:tcW w:w="8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176"/>
        </w:trPr>
        <w:tc>
          <w:tcPr>
            <w:tcW w:w="1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rPr>
              <w:t>Threshold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Target</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color w:val="auto"/>
              </w:rPr>
              <w:t>Maximum</w:t>
            </w:r>
          </w:p>
        </w:tc>
        <w:tc>
          <w:tcPr>
            <w:tcW w:w="980" w:type="dxa"/>
            <w:vAlign w:val="bottom"/>
          </w:tcPr>
          <w:p>
            <w:pPr>
              <w:jc w:val="right"/>
              <w:ind w:right="292"/>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6"/>
              </w:rPr>
              <w:t>awards</w:t>
            </w:r>
          </w:p>
        </w:tc>
        <w:tc>
          <w:tcPr>
            <w:tcW w:w="120" w:type="dxa"/>
            <w:vAlign w:val="bottom"/>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9"/>
              </w:rPr>
              <w:t>awards</w:t>
            </w:r>
          </w:p>
        </w:tc>
        <w:tc>
          <w:tcPr>
            <w:tcW w:w="0" w:type="dxa"/>
            <w:vAlign w:val="bottom"/>
          </w:tcPr>
          <w:p>
            <w:pPr>
              <w:spacing w:after="0"/>
              <w:rPr>
                <w:sz w:val="1"/>
                <w:szCs w:val="1"/>
                <w:color w:val="auto"/>
              </w:rPr>
            </w:pPr>
          </w:p>
        </w:tc>
      </w:tr>
      <w:tr>
        <w:trPr>
          <w:trHeight w:val="223"/>
        </w:trPr>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32"/>
              <w:spacing w:after="0"/>
              <w:rPr>
                <w:sz w:val="20"/>
                <w:szCs w:val="20"/>
                <w:color w:val="auto"/>
              </w:rPr>
            </w:pPr>
            <w:r>
              <w:rPr>
                <w:rFonts w:ascii="Arial" w:cs="Arial" w:eastAsia="Arial" w:hAnsi="Arial"/>
                <w:sz w:val="13"/>
                <w:szCs w:val="13"/>
                <w:color w:val="auto"/>
                <w:w w:val="87"/>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2"/>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12/03/09</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   58,253</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  194,175</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194,175</w:t>
            </w:r>
          </w:p>
        </w:tc>
        <w:tc>
          <w:tcPr>
            <w:tcW w:w="220" w:type="dxa"/>
            <w:vAlign w:val="bottom"/>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2,400</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Aelred J. Kurtenbach</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12/03/09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37,500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William R. Retterath</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12/03/09</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26,507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88,358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88,358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59,180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Bradley T. Wiemann</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12/03/09</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22,125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73,750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73,750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56,490</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Reece A. Kurtenbach</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12/03/09</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75,500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75,500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236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340" w:right="20" w:hanging="332"/>
        <w:spacing w:after="0" w:line="22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cash bonuses under our annual non-equity-based incentive compensation plan. The amounts in these columns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ind w:left="34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restricted stock units granted to the Named Executive Officers in fiscal 2010 under the 2007 Plan. The units vest as to 20% of the shares one year after the date of grant and as to an additional 20% in each succeeding year, but only if the Named Executive Officer is then an employee of the Company.</w:t>
      </w:r>
    </w:p>
    <w:p>
      <w:pPr>
        <w:ind w:left="340" w:right="2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options granted to the Named Executive Officers in fiscal 2010 under the 2007 Plan. The options vest and become exercisable as to 20% of the shares one year after the date of grant and as to an additional 20% in each succeeding year, but only if the Named Executive Officer is then an employee of the Company.</w:t>
      </w:r>
    </w:p>
    <w:p>
      <w:pPr>
        <w:ind w:left="34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exercise price of all options was equal to the closing price of the common stock as quoted on The NASDAQ Global Select Market on the date of grant.</w:t>
      </w:r>
    </w:p>
    <w:p>
      <w:pPr>
        <w:ind w:left="340" w:hanging="332"/>
        <w:spacing w:after="0" w:line="271"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the full grant date fair value determined pursuant to ASC 718 as reflected in our financial statements, based on the numbers of shares subject to option and restricted stock unit awards granted and the closing price of the common stock as quoted on The NASDAQ Global Select Market on the date of grant, which was $8.65 per share.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information about unexercised options and restricted stock units that have not vested that were held at May 1, 2010 by the Named Executive Officers:</w:t>
      </w:r>
    </w:p>
    <w:p>
      <w:pPr>
        <w:spacing w:after="0" w:line="19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OUTSTANDING EQUITY AWARDS AT FISCAL YEAR-END — FISCAL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color w:val="auto"/>
              </w:rPr>
              <w:t>Option Awards</w:t>
            </w:r>
            <w:r>
              <w:rPr>
                <w:rFonts w:ascii="Arial" w:cs="Arial" w:eastAsia="Arial" w:hAnsi="Arial"/>
                <w:sz w:val="25"/>
                <w:szCs w:val="25"/>
                <w:color w:val="auto"/>
                <w:vertAlign w:val="superscript"/>
              </w:rPr>
              <w:t>(1)</w:t>
            </w:r>
          </w:p>
        </w:tc>
        <w:tc>
          <w:tcPr>
            <w:tcW w:w="1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rPr>
              <w:t>Stock Awards</w:t>
            </w: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Number of</w:t>
            </w:r>
          </w:p>
        </w:tc>
        <w:tc>
          <w:tcPr>
            <w:tcW w:w="1660" w:type="dxa"/>
            <w:vAlign w:val="bottom"/>
            <w:gridSpan w:val="3"/>
          </w:tcPr>
          <w:p>
            <w:pPr>
              <w:jc w:val="center"/>
              <w:ind w:right="230"/>
              <w:spacing w:after="0" w:line="201" w:lineRule="exact"/>
              <w:rPr>
                <w:sz w:val="20"/>
                <w:szCs w:val="20"/>
                <w:color w:val="auto"/>
              </w:rPr>
            </w:pPr>
            <w:r>
              <w:rPr>
                <w:rFonts w:ascii="Arial" w:cs="Arial" w:eastAsia="Arial" w:hAnsi="Arial"/>
                <w:sz w:val="18"/>
                <w:szCs w:val="18"/>
                <w:color w:val="auto"/>
                <w:w w:val="92"/>
              </w:rPr>
              <w:t>Number of</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660" w:type="dxa"/>
            <w:vAlign w:val="bottom"/>
            <w:gridSpan w:val="3"/>
          </w:tcPr>
          <w:p>
            <w:pPr>
              <w:jc w:val="center"/>
              <w:ind w:right="230"/>
              <w:spacing w:after="0"/>
              <w:rPr>
                <w:sz w:val="20"/>
                <w:szCs w:val="20"/>
                <w:color w:val="auto"/>
              </w:rPr>
            </w:pPr>
            <w:r>
              <w:rPr>
                <w:rFonts w:ascii="Arial" w:cs="Arial" w:eastAsia="Arial" w:hAnsi="Arial"/>
                <w:sz w:val="18"/>
                <w:szCs w:val="18"/>
                <w:color w:val="auto"/>
                <w:w w:val="88"/>
              </w:rPr>
              <w:t>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660" w:type="dxa"/>
            <w:vAlign w:val="bottom"/>
            <w:gridSpan w:val="3"/>
          </w:tcPr>
          <w:p>
            <w:pPr>
              <w:jc w:val="center"/>
              <w:ind w:right="230"/>
              <w:spacing w:after="0"/>
              <w:rPr>
                <w:sz w:val="20"/>
                <w:szCs w:val="20"/>
                <w:color w:val="auto"/>
              </w:rPr>
            </w:pPr>
            <w:r>
              <w:rPr>
                <w:rFonts w:ascii="Arial" w:cs="Arial" w:eastAsia="Arial" w:hAnsi="Arial"/>
                <w:sz w:val="18"/>
                <w:szCs w:val="18"/>
                <w:color w:val="auto"/>
                <w:w w:val="95"/>
              </w:rPr>
              <w:t>Underlying</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Shares or Units</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Market Value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660" w:type="dxa"/>
            <w:vAlign w:val="bottom"/>
            <w:gridSpan w:val="3"/>
          </w:tcPr>
          <w:p>
            <w:pPr>
              <w:jc w:val="center"/>
              <w:ind w:right="230"/>
              <w:spacing w:after="0"/>
              <w:rPr>
                <w:sz w:val="20"/>
                <w:szCs w:val="20"/>
                <w:color w:val="auto"/>
              </w:rPr>
            </w:pPr>
            <w:r>
              <w:rPr>
                <w:rFonts w:ascii="Arial" w:cs="Arial" w:eastAsia="Arial" w:hAnsi="Arial"/>
                <w:sz w:val="18"/>
                <w:szCs w:val="18"/>
                <w:color w:val="auto"/>
                <w:w w:val="89"/>
              </w:rPr>
              <w:t>Unexercised</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of Stock that</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Shares or Units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66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Options (#)</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Stock That have</w:t>
            </w:r>
          </w:p>
        </w:tc>
      </w:tr>
      <w:tr>
        <w:trPr>
          <w:trHeight w:val="237"/>
        </w:trPr>
        <w:tc>
          <w:tcPr>
            <w:tcW w:w="2380" w:type="dxa"/>
            <w:vAlign w:val="bottom"/>
            <w:gridSpan w:val="2"/>
          </w:tcPr>
          <w:p>
            <w:pPr>
              <w:spacing w:after="0"/>
              <w:rPr>
                <w:sz w:val="20"/>
                <w:szCs w:val="20"/>
                <w:color w:val="auto"/>
              </w:rPr>
            </w:pPr>
            <w:r>
              <w:rPr>
                <w:rFonts w:ascii="Arial" w:cs="Arial" w:eastAsia="Arial" w:hAnsi="Arial"/>
                <w:sz w:val="18"/>
                <w:szCs w:val="18"/>
                <w:color w:val="auto"/>
              </w:rPr>
              <w:t>Name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c>
          <w:tcPr>
            <w:tcW w:w="1660" w:type="dxa"/>
            <w:vAlign w:val="bottom"/>
            <w:gridSpan w:val="3"/>
          </w:tcPr>
          <w:p>
            <w:pPr>
              <w:jc w:val="center"/>
              <w:ind w:right="230"/>
              <w:spacing w:after="0"/>
              <w:rPr>
                <w:sz w:val="20"/>
                <w:szCs w:val="20"/>
                <w:color w:val="auto"/>
              </w:rPr>
            </w:pPr>
            <w:r>
              <w:rPr>
                <w:rFonts w:ascii="Arial" w:cs="Arial" w:eastAsia="Arial" w:hAnsi="Arial"/>
                <w:sz w:val="18"/>
                <w:szCs w:val="18"/>
                <w:color w:val="auto"/>
                <w:w w:val="89"/>
              </w:rPr>
              <w:t>Unexercisable</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Price ($)</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40" w:type="dxa"/>
            <w:vAlign w:val="bottom"/>
          </w:tcPr>
          <w:p>
            <w:pPr>
              <w:spacing w:after="0"/>
              <w:rPr>
                <w:sz w:val="20"/>
                <w:szCs w:val="20"/>
                <w:color w:val="auto"/>
              </w:rPr>
            </w:pPr>
          </w:p>
        </w:tc>
        <w:tc>
          <w:tcPr>
            <w:tcW w:w="1200" w:type="dxa"/>
            <w:vAlign w:val="bottom"/>
          </w:tcPr>
          <w:p>
            <w:pPr>
              <w:jc w:val="center"/>
              <w:spacing w:after="0" w:line="230"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40" w:type="dxa"/>
            <w:vAlign w:val="bottom"/>
          </w:tcPr>
          <w:p>
            <w:pPr>
              <w:spacing w:after="0"/>
              <w:rPr>
                <w:sz w:val="20"/>
                <w:szCs w:val="20"/>
                <w:color w:val="auto"/>
              </w:rPr>
            </w:pPr>
          </w:p>
        </w:tc>
        <w:tc>
          <w:tcPr>
            <w:tcW w:w="1360" w:type="dxa"/>
            <w:vAlign w:val="bottom"/>
          </w:tcPr>
          <w:p>
            <w:pPr>
              <w:jc w:val="center"/>
              <w:spacing w:after="0" w:line="230" w:lineRule="exact"/>
              <w:rPr>
                <w:sz w:val="20"/>
                <w:szCs w:val="20"/>
                <w:color w:val="auto"/>
              </w:rPr>
            </w:pPr>
            <w:r>
              <w:rPr>
                <w:rFonts w:ascii="Arial" w:cs="Arial" w:eastAsia="Arial" w:hAnsi="Arial"/>
                <w:sz w:val="18"/>
                <w:szCs w:val="18"/>
                <w:color w:val="auto"/>
                <w:w w:val="87"/>
              </w:rPr>
              <w:t>Not Vested ($)</w:t>
            </w:r>
            <w:r>
              <w:rPr>
                <w:rFonts w:ascii="Arial" w:cs="Arial" w:eastAsia="Arial" w:hAnsi="Arial"/>
                <w:sz w:val="25"/>
                <w:szCs w:val="25"/>
                <w:color w:val="auto"/>
                <w:w w:val="87"/>
                <w:vertAlign w:val="superscript"/>
              </w:rPr>
              <w:t>(3)</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5.7725</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11/20/2012</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8.8500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11/19/2013</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12.8350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11/22/2014</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11,200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13.5950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11/16/2015</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6,600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34.0650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11/15/2016</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ectPr>
          <w:pgSz w:w="11900" w:h="16838" w:orient="portrait"/>
          <w:cols w:equalWidth="0" w:num="1">
            <w:col w:w="10820"/>
          </w:cols>
          <w:pgMar w:left="240" w:top="125" w:right="8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4,400</w:t>
            </w:r>
          </w:p>
        </w:tc>
        <w:tc>
          <w:tcPr>
            <w:tcW w:w="1060" w:type="dxa"/>
            <w:vAlign w:val="bottom"/>
          </w:tcPr>
          <w:p>
            <w:pPr>
              <w:jc w:val="right"/>
              <w:spacing w:after="0"/>
              <w:rPr>
                <w:sz w:val="20"/>
                <w:szCs w:val="20"/>
                <w:color w:val="auto"/>
              </w:rPr>
            </w:pPr>
            <w:r>
              <w:rPr>
                <w:rFonts w:ascii="Arial" w:cs="Arial" w:eastAsia="Arial" w:hAnsi="Arial"/>
                <w:sz w:val="18"/>
                <w:szCs w:val="18"/>
                <w:color w:val="auto"/>
              </w:rPr>
              <w:t>6,600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20.0700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11/14/2017</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2,400</w:t>
            </w:r>
          </w:p>
        </w:tc>
        <w:tc>
          <w:tcPr>
            <w:tcW w:w="1060" w:type="dxa"/>
            <w:vAlign w:val="bottom"/>
          </w:tcPr>
          <w:p>
            <w:pPr>
              <w:jc w:val="right"/>
              <w:spacing w:after="0"/>
              <w:rPr>
                <w:sz w:val="20"/>
                <w:szCs w:val="20"/>
                <w:color w:val="auto"/>
              </w:rPr>
            </w:pPr>
            <w:r>
              <w:rPr>
                <w:rFonts w:ascii="Arial" w:cs="Arial" w:eastAsia="Arial" w:hAnsi="Arial"/>
                <w:sz w:val="18"/>
                <w:szCs w:val="18"/>
                <w:color w:val="auto"/>
              </w:rPr>
              <w:t>9,600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8.2900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12/03/2018</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8.6500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12/02/2019</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20,088</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Dr. Aelred J. Kurtenbach</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22,504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3.8281</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11/15/2010</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8,000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3.7700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11/12/2011</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William R. Retterath</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5.7725</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11/20/2012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8.8500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11/19/2013</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14,000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12.8350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11/22/2014</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11,200</w:t>
            </w:r>
          </w:p>
        </w:tc>
        <w:tc>
          <w:tcPr>
            <w:tcW w:w="1060" w:type="dxa"/>
            <w:vAlign w:val="bottom"/>
          </w:tcPr>
          <w:p>
            <w:pPr>
              <w:jc w:val="right"/>
              <w:spacing w:after="0"/>
              <w:rPr>
                <w:sz w:val="20"/>
                <w:szCs w:val="20"/>
                <w:color w:val="auto"/>
              </w:rPr>
            </w:pPr>
            <w:r>
              <w:rPr>
                <w:rFonts w:ascii="Arial" w:cs="Arial" w:eastAsia="Arial" w:hAnsi="Arial"/>
                <w:sz w:val="18"/>
                <w:szCs w:val="18"/>
                <w:color w:val="auto"/>
              </w:rPr>
              <w:t>2,800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13.5950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11/16/2015</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6,000</w:t>
            </w: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34.0650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11/15/2016</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4,000</w:t>
            </w: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20.0700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11/14/2017</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2,200</w:t>
            </w:r>
          </w:p>
        </w:tc>
        <w:tc>
          <w:tcPr>
            <w:tcW w:w="1060" w:type="dxa"/>
            <w:vAlign w:val="bottom"/>
          </w:tcPr>
          <w:p>
            <w:pPr>
              <w:jc w:val="right"/>
              <w:spacing w:after="0"/>
              <w:rPr>
                <w:sz w:val="20"/>
                <w:szCs w:val="20"/>
                <w:color w:val="auto"/>
              </w:rPr>
            </w:pPr>
            <w:r>
              <w:rPr>
                <w:rFonts w:ascii="Arial" w:cs="Arial" w:eastAsia="Arial" w:hAnsi="Arial"/>
                <w:sz w:val="18"/>
                <w:szCs w:val="18"/>
                <w:color w:val="auto"/>
              </w:rPr>
              <w:t>8,800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8.2900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12/03/2018</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8.6500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12/02/2019</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2,200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18,414</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Bradley T. Wiemann</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26,000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3.8281</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11/15/2010</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3.7700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11/12/2011</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14,000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5.7725</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11/20/2012</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12,000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8.8500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11/19/2013</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12.8350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11/22/2014</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8,000</w:t>
            </w: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13.5950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11/16/2015</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4,200</w:t>
            </w:r>
          </w:p>
        </w:tc>
        <w:tc>
          <w:tcPr>
            <w:tcW w:w="1060" w:type="dxa"/>
            <w:vAlign w:val="bottom"/>
          </w:tcPr>
          <w:p>
            <w:pPr>
              <w:jc w:val="right"/>
              <w:spacing w:after="0"/>
              <w:rPr>
                <w:sz w:val="20"/>
                <w:szCs w:val="20"/>
                <w:color w:val="auto"/>
              </w:rPr>
            </w:pPr>
            <w:r>
              <w:rPr>
                <w:rFonts w:ascii="Arial" w:cs="Arial" w:eastAsia="Arial" w:hAnsi="Arial"/>
                <w:sz w:val="18"/>
                <w:szCs w:val="18"/>
                <w:color w:val="auto"/>
              </w:rPr>
              <w:t>2,800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34.0650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11/15/2016</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3,600</w:t>
            </w:r>
          </w:p>
        </w:tc>
        <w:tc>
          <w:tcPr>
            <w:tcW w:w="1060" w:type="dxa"/>
            <w:vAlign w:val="bottom"/>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20.0700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11/14/2017</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2,100</w:t>
            </w: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8.2900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12/03/2018</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8.6500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12/02/2019</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17,577</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Reece A. Kurtenbach</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14,000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5.7725</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11/20/2012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12,000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8.8500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11/19/2013</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12.8350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11/22/2014</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8,000</w:t>
            </w: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13.5950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11/16/2015</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4,200</w:t>
            </w:r>
          </w:p>
        </w:tc>
        <w:tc>
          <w:tcPr>
            <w:tcW w:w="1060" w:type="dxa"/>
            <w:vAlign w:val="bottom"/>
          </w:tcPr>
          <w:p>
            <w:pPr>
              <w:jc w:val="right"/>
              <w:spacing w:after="0"/>
              <w:rPr>
                <w:sz w:val="20"/>
                <w:szCs w:val="20"/>
                <w:color w:val="auto"/>
              </w:rPr>
            </w:pPr>
            <w:r>
              <w:rPr>
                <w:rFonts w:ascii="Arial" w:cs="Arial" w:eastAsia="Arial" w:hAnsi="Arial"/>
                <w:sz w:val="18"/>
                <w:szCs w:val="18"/>
                <w:color w:val="auto"/>
              </w:rPr>
              <w:t>2,800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34.0650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11/15/2016</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3,600</w:t>
            </w:r>
          </w:p>
        </w:tc>
        <w:tc>
          <w:tcPr>
            <w:tcW w:w="1060" w:type="dxa"/>
            <w:vAlign w:val="bottom"/>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20.0700</w:t>
            </w:r>
          </w:p>
        </w:tc>
        <w:tc>
          <w:tcPr>
            <w:tcW w:w="2720" w:type="dxa"/>
            <w:vAlign w:val="bottom"/>
          </w:tcPr>
          <w:p>
            <w:pPr>
              <w:jc w:val="right"/>
              <w:ind w:right="1630"/>
              <w:spacing w:after="0"/>
              <w:rPr>
                <w:sz w:val="20"/>
                <w:szCs w:val="20"/>
                <w:color w:val="auto"/>
              </w:rPr>
            </w:pPr>
            <w:r>
              <w:rPr>
                <w:rFonts w:ascii="Arial" w:cs="Arial" w:eastAsia="Arial" w:hAnsi="Arial"/>
                <w:sz w:val="18"/>
                <w:szCs w:val="18"/>
                <w:color w:val="auto"/>
              </w:rPr>
              <w:t>11/14/2017</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2,100</w:t>
            </w: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8.2900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12/03/2018</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10,500</w:t>
            </w:r>
          </w:p>
        </w:tc>
        <w:tc>
          <w:tcPr>
            <w:tcW w:w="4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8.6500</w:t>
            </w:r>
          </w:p>
        </w:tc>
        <w:tc>
          <w:tcPr>
            <w:tcW w:w="2720" w:type="dxa"/>
            <w:vAlign w:val="bottom"/>
          </w:tcPr>
          <w:p>
            <w:pPr>
              <w:jc w:val="right"/>
              <w:ind w:right="1610"/>
              <w:spacing w:after="0"/>
              <w:rPr>
                <w:sz w:val="20"/>
                <w:szCs w:val="20"/>
                <w:color w:val="auto"/>
              </w:rPr>
            </w:pPr>
            <w:r>
              <w:rPr>
                <w:rFonts w:ascii="Arial" w:cs="Arial" w:eastAsia="Arial" w:hAnsi="Arial"/>
                <w:sz w:val="18"/>
                <w:szCs w:val="18"/>
                <w:color w:val="auto"/>
              </w:rPr>
              <w:t>12/02/2019</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340" w:right="20" w:hanging="332"/>
        <w:spacing w:after="0" w:line="23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Options vest and become exercisable as to 20% one year after date of grant and as to an additional 20% in each succeeding year, but only if the Named Executive Officer is then an employee of the Company.</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Restricted stock units vest as to 20% one year after date of grant and as to an additional 20% in each succeeding year, but only if the Named Executive Officer is then an employee of the Company.</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Determined by multiplying the Company’s closing stock price on the last business day of fiscal year 2010 by the number of shares subject to the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exercise of stock options during fiscal 2010 by the Named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18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OPTION EXERCISES AND STOCK VESTED – FISCAL 2010</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Option Awards</w:t>
            </w:r>
          </w:p>
        </w:tc>
        <w:tc>
          <w:tcPr>
            <w:tcW w:w="2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5"/>
              </w:rPr>
              <w:t>Number of</w:t>
            </w:r>
          </w:p>
        </w:tc>
        <w:tc>
          <w:tcPr>
            <w:tcW w:w="880" w:type="dxa"/>
            <w:vAlign w:val="bottom"/>
          </w:tcPr>
          <w:p>
            <w:pPr>
              <w:spacing w:after="0"/>
              <w:rPr>
                <w:sz w:val="17"/>
                <w:szCs w:val="17"/>
                <w:color w:val="auto"/>
              </w:rPr>
            </w:pPr>
          </w:p>
        </w:tc>
        <w:tc>
          <w:tcPr>
            <w:tcW w:w="2180" w:type="dxa"/>
            <w:vAlign w:val="bottom"/>
          </w:tcPr>
          <w:p>
            <w:pPr>
              <w:jc w:val="center"/>
              <w:ind w:right="790"/>
              <w:spacing w:after="0" w:line="201" w:lineRule="exact"/>
              <w:rPr>
                <w:sz w:val="20"/>
                <w:szCs w:val="20"/>
                <w:color w:val="auto"/>
              </w:rPr>
            </w:pPr>
            <w:r>
              <w:rPr>
                <w:rFonts w:ascii="Arial" w:cs="Arial" w:eastAsia="Arial" w:hAnsi="Arial"/>
                <w:sz w:val="18"/>
                <w:szCs w:val="18"/>
                <w:color w:val="auto"/>
                <w:w w:val="91"/>
              </w:rPr>
              <w:t>Value</w:t>
            </w:r>
          </w:p>
        </w:tc>
        <w:tc>
          <w:tcPr>
            <w:tcW w:w="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880" w:type="dxa"/>
            <w:vAlign w:val="bottom"/>
          </w:tcPr>
          <w:p>
            <w:pPr>
              <w:spacing w:after="0"/>
              <w:rPr>
                <w:sz w:val="18"/>
                <w:szCs w:val="18"/>
                <w:color w:val="auto"/>
              </w:rPr>
            </w:pPr>
          </w:p>
        </w:tc>
        <w:tc>
          <w:tcPr>
            <w:tcW w:w="2200" w:type="dxa"/>
            <w:vAlign w:val="bottom"/>
            <w:gridSpan w:val="2"/>
          </w:tcPr>
          <w:p>
            <w:pPr>
              <w:jc w:val="center"/>
              <w:ind w:right="900"/>
              <w:spacing w:after="0"/>
              <w:rPr>
                <w:sz w:val="20"/>
                <w:szCs w:val="20"/>
                <w:color w:val="auto"/>
              </w:rPr>
            </w:pPr>
            <w:r>
              <w:rPr>
                <w:rFonts w:ascii="Arial" w:cs="Arial" w:eastAsia="Arial" w:hAnsi="Arial"/>
                <w:sz w:val="18"/>
                <w:szCs w:val="18"/>
                <w:color w:val="auto"/>
                <w:w w:val="88"/>
              </w:rPr>
              <w:t>Realized</w:t>
            </w:r>
          </w:p>
        </w:tc>
      </w:tr>
      <w:tr>
        <w:trPr>
          <w:trHeight w:val="216"/>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Acquired on</w:t>
            </w:r>
          </w:p>
        </w:tc>
        <w:tc>
          <w:tcPr>
            <w:tcW w:w="880" w:type="dxa"/>
            <w:vAlign w:val="bottom"/>
          </w:tcPr>
          <w:p>
            <w:pPr>
              <w:spacing w:after="0"/>
              <w:rPr>
                <w:sz w:val="18"/>
                <w:szCs w:val="18"/>
                <w:color w:val="auto"/>
              </w:rPr>
            </w:pPr>
          </w:p>
        </w:tc>
        <w:tc>
          <w:tcPr>
            <w:tcW w:w="220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on</w:t>
            </w:r>
          </w:p>
        </w:tc>
      </w:tr>
      <w:tr>
        <w:trPr>
          <w:trHeight w:val="237"/>
        </w:trPr>
        <w:tc>
          <w:tcPr>
            <w:tcW w:w="224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880" w:type="dxa"/>
            <w:vAlign w:val="bottom"/>
          </w:tcPr>
          <w:p>
            <w:pPr>
              <w:spacing w:after="0"/>
              <w:rPr>
                <w:sz w:val="20"/>
                <w:szCs w:val="20"/>
                <w:color w:val="auto"/>
              </w:rPr>
            </w:pPr>
          </w:p>
        </w:tc>
        <w:tc>
          <w:tcPr>
            <w:tcW w:w="2200" w:type="dxa"/>
            <w:vAlign w:val="bottom"/>
            <w:gridSpan w:val="2"/>
          </w:tcPr>
          <w:p>
            <w:pPr>
              <w:jc w:val="center"/>
              <w:ind w:right="900"/>
              <w:spacing w:after="0" w:line="230" w:lineRule="exact"/>
              <w:rPr>
                <w:sz w:val="20"/>
                <w:szCs w:val="20"/>
                <w:color w:val="auto"/>
              </w:rPr>
            </w:pPr>
            <w:r>
              <w:rPr>
                <w:rFonts w:ascii="Arial" w:cs="Arial" w:eastAsia="Arial" w:hAnsi="Arial"/>
                <w:sz w:val="18"/>
                <w:szCs w:val="18"/>
                <w:color w:val="auto"/>
                <w:w w:val="86"/>
              </w:rPr>
              <w:t xml:space="preserve">Exercise </w:t>
            </w:r>
            <w:r>
              <w:rPr>
                <w:rFonts w:ascii="Arial" w:cs="Arial" w:eastAsia="Arial" w:hAnsi="Arial"/>
                <w:sz w:val="25"/>
                <w:szCs w:val="25"/>
                <w:color w:val="auto"/>
                <w:w w:val="86"/>
                <w:vertAlign w:val="superscript"/>
              </w:rPr>
              <w:t>(1)</w:t>
            </w:r>
          </w:p>
        </w:tc>
      </w:tr>
      <w:tr>
        <w:trPr>
          <w:trHeight w:val="230"/>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T. Wiemann</w:t>
            </w:r>
          </w:p>
        </w:tc>
        <w:tc>
          <w:tcPr>
            <w:tcW w:w="2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0"/>
                <w:szCs w:val="20"/>
                <w:color w:val="auto"/>
              </w:rPr>
            </w:pPr>
          </w:p>
        </w:tc>
        <w:tc>
          <w:tcPr>
            <w:tcW w:w="8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108,350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7" w:lineRule="exact"/>
        <w:rPr>
          <w:sz w:val="20"/>
          <w:szCs w:val="20"/>
          <w:color w:val="auto"/>
        </w:rPr>
      </w:pPr>
    </w:p>
    <w:p>
      <w:pPr>
        <w:ind w:left="340" w:right="20" w:hanging="332"/>
        <w:spacing w:after="0" w:line="25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the difference between the closing price of our common stock on the date of exercise and the exercise price of the option multiplied by the number of shares acquired upon exercise.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about our defined contribution plans for the Named Executive Officers subject to such plans for fiscal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FISCAL 2010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Executive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0"/>
              </w:rPr>
              <w:t>Registrant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Aggregate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1"/>
              </w:rPr>
              <w:t>Aggregate</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2"/>
              </w:rPr>
              <w:t>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2"/>
              </w:rPr>
              <w:t>Contributions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0"/>
              </w:rPr>
              <w:t>Earnings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Arial" w:cs="Arial" w:eastAsia="Arial" w:hAnsi="Arial"/>
                <w:sz w:val="18"/>
                <w:szCs w:val="18"/>
                <w:color w:val="auto"/>
                <w:w w:val="89"/>
              </w:rPr>
              <w:t>Aggregate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9"/>
              </w:rPr>
              <w:t>Balance at</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4"/>
              </w:rPr>
              <w:t>in Last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3"/>
              </w:rPr>
              <w:t>in Last Fiscal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 Last Fiscal</w:t>
            </w:r>
          </w:p>
        </w:tc>
        <w:tc>
          <w:tcPr>
            <w:tcW w:w="1320" w:type="dxa"/>
            <w:vAlign w:val="bottom"/>
          </w:tcPr>
          <w:p>
            <w:pPr>
              <w:jc w:val="center"/>
              <w:ind w:left="70"/>
              <w:spacing w:after="0"/>
              <w:rPr>
                <w:sz w:val="20"/>
                <w:szCs w:val="20"/>
                <w:color w:val="auto"/>
              </w:rPr>
            </w:pPr>
            <w:r>
              <w:rPr>
                <w:rFonts w:ascii="Arial" w:cs="Arial" w:eastAsia="Arial" w:hAnsi="Arial"/>
                <w:sz w:val="18"/>
                <w:szCs w:val="18"/>
                <w:color w:val="auto"/>
                <w:w w:val="93"/>
              </w:rPr>
              <w:t>Withdrawals/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2"/>
              </w:rPr>
              <w:t>Last Fiscal</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Fiscal Year</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Year</w:t>
            </w:r>
          </w:p>
        </w:tc>
        <w:tc>
          <w:tcPr>
            <w:tcW w:w="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bottom w:val="single" w:sz="8" w:color="auto"/>
            </w:tcBorders>
          </w:tcPr>
          <w:p>
            <w:pPr>
              <w:jc w:val="center"/>
              <w:ind w:left="330"/>
              <w:spacing w:after="0" w:line="230" w:lineRule="exact"/>
              <w:rPr>
                <w:sz w:val="20"/>
                <w:szCs w:val="20"/>
                <w:color w:val="auto"/>
              </w:rPr>
            </w:pPr>
            <w:r>
              <w:rPr>
                <w:rFonts w:ascii="Arial" w:cs="Arial" w:eastAsia="Arial" w:hAnsi="Arial"/>
                <w:sz w:val="18"/>
                <w:szCs w:val="18"/>
                <w:color w:val="auto"/>
                <w:w w:val="82"/>
              </w:rPr>
              <w:t>Year</w:t>
            </w:r>
            <w:r>
              <w:rPr>
                <w:rFonts w:ascii="Arial" w:cs="Arial" w:eastAsia="Arial" w:hAnsi="Arial"/>
                <w:sz w:val="25"/>
                <w:szCs w:val="25"/>
                <w:color w:val="auto"/>
                <w:w w:val="82"/>
                <w:vertAlign w:val="superscript"/>
              </w:rPr>
              <w:t>(1)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4"/>
              </w:rPr>
              <w:t>Distributions</w:t>
            </w:r>
          </w:p>
        </w:tc>
        <w:tc>
          <w:tcPr>
            <w:tcW w:w="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Year End</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James B. Morgan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87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w w:val="88"/>
              </w:rPr>
              <w:t>2,360</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109,241</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Dr. Aelred J. Kurtenbach</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9,341</w:t>
            </w:r>
          </w:p>
        </w:tc>
        <w:tc>
          <w:tcPr>
            <w:tcW w:w="13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p>
      <w:pPr>
        <w:spacing w:after="0" w:line="211" w:lineRule="exact"/>
        <w:rPr>
          <w:sz w:val="20"/>
          <w:szCs w:val="20"/>
          <w:color w:val="auto"/>
        </w:rPr>
      </w:pPr>
    </w:p>
    <w:p>
      <w:pPr>
        <w:ind w:left="340" w:right="20" w:hanging="332"/>
        <w:spacing w:after="0" w:line="25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402(c)(2)(viii)(B) of Regulation S-K.</w:t>
      </w:r>
    </w:p>
    <w:p>
      <w:pPr>
        <w:sectPr>
          <w:pgSz w:w="11900" w:h="16838" w:orient="portrait"/>
          <w:cols w:equalWidth="0" w:num="1">
            <w:col w:w="10820"/>
          </w:cols>
          <w:pgMar w:left="240" w:top="125" w:right="8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Daktronics, Inc. Employee Stock Purchase Plan (the “ESPP”) permits eligible employees to make voluntary contributions through payroll deductions to be used to purchase our common stock. The ESPP provides for periodic offerings, and each offering period is for six months (an “Offering Period”). An employee may elect to have up to a maximum of 15% deducted from his or her regular salary for purposes of purchasing shares under the ESPP during each Offering Period. The price at which the employee shares are purchased will be the lower of (i) 85% of the closing price of our common stock on the day that an Offering Period commences under the ESPP or (ii) 85% of the closing price of our common stock on the day that such Offering Period terminates. With certain exceptions, empl oyees are eligible to participate in the ESPP. The ESPP provides for the issuance of up to 1,000,000 shares of common stock, and it is administered by the Board of Directors through the Compensation Committee. Through May 1, 2010, 734,783 shares had been issued under the ESPP and, as of May 1, 2010, 265,287 shares were available for purchase under the ESPP. During fiscal 2010, various Named Executive Officers participated in the ESPP, and the shares they hold through the ESPP are reflected in the table entitled “Security Ownership of Certain Beneficial Owners and Management”.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May 1, 2010 with respect to our equity compensation plans: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6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EQUITY COMPENSATION PLAN INFORMATION</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Future Issuance Under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Number of Securities to</w:t>
            </w: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Weighted-Average</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Equity Compensation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be Issued Upon Exercise of</w:t>
            </w: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 of</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Outstanding Options,</w:t>
            </w: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Outstanding Options,</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c>
          <w:tcPr>
            <w:tcW w:w="0" w:type="dxa"/>
            <w:vAlign w:val="bottom"/>
          </w:tcPr>
          <w:p>
            <w:pPr>
              <w:spacing w:after="0"/>
              <w:rPr>
                <w:sz w:val="1"/>
                <w:szCs w:val="1"/>
                <w:color w:val="auto"/>
              </w:rPr>
            </w:pPr>
          </w:p>
        </w:tc>
      </w:tr>
      <w:tr>
        <w:trPr>
          <w:trHeight w:val="237"/>
        </w:trPr>
        <w:tc>
          <w:tcPr>
            <w:tcW w:w="326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Warrants and Rights</w:t>
            </w:r>
          </w:p>
        </w:tc>
        <w:tc>
          <w:tcPr>
            <w:tcW w:w="12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Warrants and Rights</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Column (a))</w:t>
            </w:r>
          </w:p>
        </w:tc>
        <w:tc>
          <w:tcPr>
            <w:tcW w:w="0" w:type="dxa"/>
            <w:vAlign w:val="bottom"/>
          </w:tcPr>
          <w:p>
            <w:pPr>
              <w:spacing w:after="0"/>
              <w:rPr>
                <w:sz w:val="1"/>
                <w:szCs w:val="1"/>
                <w:color w:val="auto"/>
              </w:rPr>
            </w:pPr>
          </w:p>
        </w:tc>
      </w:tr>
      <w:tr>
        <w:trPr>
          <w:trHeight w:val="230"/>
        </w:trPr>
        <w:tc>
          <w:tcPr>
            <w:tcW w:w="32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14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87"/>
        </w:trPr>
        <w:tc>
          <w:tcPr>
            <w:tcW w:w="32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120"/>
              <w:spacing w:after="0"/>
              <w:rPr>
                <w:sz w:val="20"/>
                <w:szCs w:val="20"/>
                <w:color w:val="auto"/>
              </w:rPr>
            </w:pPr>
            <w:r>
              <w:rPr>
                <w:rFonts w:ascii="Arial" w:cs="Arial" w:eastAsia="Arial" w:hAnsi="Arial"/>
                <w:sz w:val="18"/>
                <w:szCs w:val="18"/>
                <w:color w:val="auto"/>
              </w:rPr>
              <w:t>security holders: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1993</w:t>
            </w:r>
          </w:p>
        </w:tc>
        <w:tc>
          <w:tcPr>
            <w:tcW w:w="2740" w:type="dxa"/>
            <w:vAlign w:val="bottom"/>
          </w:tcPr>
          <w:p>
            <w:pPr>
              <w:ind w:left="20"/>
              <w:spacing w:after="0"/>
              <w:rPr>
                <w:sz w:val="20"/>
                <w:szCs w:val="20"/>
                <w:color w:val="auto"/>
              </w:rPr>
            </w:pPr>
            <w:r>
              <w:rPr>
                <w:rFonts w:ascii="Arial" w:cs="Arial" w:eastAsia="Arial" w:hAnsi="Arial"/>
                <w:sz w:val="18"/>
                <w:szCs w:val="18"/>
                <w:color w:val="auto"/>
              </w:rPr>
              <w:t>Incentive Stock Option Plan</w:t>
            </w:r>
          </w:p>
        </w:tc>
        <w:tc>
          <w:tcPr>
            <w:tcW w:w="3280" w:type="dxa"/>
            <w:vAlign w:val="bottom"/>
            <w:gridSpan w:val="4"/>
          </w:tcPr>
          <w:p>
            <w:pPr>
              <w:jc w:val="right"/>
              <w:ind w:right="20"/>
              <w:spacing w:after="0"/>
              <w:rPr>
                <w:sz w:val="20"/>
                <w:szCs w:val="20"/>
                <w:color w:val="auto"/>
              </w:rPr>
            </w:pPr>
            <w:r>
              <w:rPr>
                <w:rFonts w:ascii="Arial" w:cs="Arial" w:eastAsia="Arial" w:hAnsi="Arial"/>
                <w:sz w:val="18"/>
                <w:szCs w:val="18"/>
                <w:color w:val="auto"/>
              </w:rPr>
              <w:t>149,424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2001</w:t>
            </w:r>
          </w:p>
        </w:tc>
        <w:tc>
          <w:tcPr>
            <w:tcW w:w="2740" w:type="dxa"/>
            <w:vAlign w:val="bottom"/>
          </w:tcPr>
          <w:p>
            <w:pPr>
              <w:ind w:left="20"/>
              <w:spacing w:after="0"/>
              <w:rPr>
                <w:sz w:val="20"/>
                <w:szCs w:val="20"/>
                <w:color w:val="auto"/>
              </w:rPr>
            </w:pPr>
            <w:r>
              <w:rPr>
                <w:rFonts w:ascii="Arial" w:cs="Arial" w:eastAsia="Arial" w:hAnsi="Arial"/>
                <w:sz w:val="18"/>
                <w:szCs w:val="18"/>
                <w:color w:val="auto"/>
              </w:rPr>
              <w:t>Incentive Stock Option Plan</w:t>
            </w:r>
          </w:p>
        </w:tc>
        <w:tc>
          <w:tcPr>
            <w:tcW w:w="3280" w:type="dxa"/>
            <w:vAlign w:val="bottom"/>
            <w:gridSpan w:val="4"/>
          </w:tcPr>
          <w:p>
            <w:pPr>
              <w:jc w:val="right"/>
              <w:ind w:right="20"/>
              <w:spacing w:after="0"/>
              <w:rPr>
                <w:sz w:val="20"/>
                <w:szCs w:val="20"/>
                <w:color w:val="auto"/>
              </w:rPr>
            </w:pPr>
            <w:r>
              <w:rPr>
                <w:rFonts w:ascii="Arial" w:cs="Arial" w:eastAsia="Arial" w:hAnsi="Arial"/>
                <w:sz w:val="18"/>
                <w:szCs w:val="18"/>
                <w:color w:val="auto"/>
              </w:rPr>
              <w:t>1,596,958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14.60</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2001</w:t>
            </w:r>
          </w:p>
        </w:tc>
        <w:tc>
          <w:tcPr>
            <w:tcW w:w="2740" w:type="dxa"/>
            <w:vAlign w:val="bottom"/>
          </w:tcPr>
          <w:p>
            <w:pPr>
              <w:ind w:left="20"/>
              <w:spacing w:after="0"/>
              <w:rPr>
                <w:sz w:val="20"/>
                <w:szCs w:val="20"/>
                <w:color w:val="auto"/>
              </w:rPr>
            </w:pPr>
            <w:r>
              <w:rPr>
                <w:rFonts w:ascii="Arial" w:cs="Arial" w:eastAsia="Arial" w:hAnsi="Arial"/>
                <w:sz w:val="18"/>
                <w:szCs w:val="18"/>
                <w:color w:val="auto"/>
                <w:w w:val="96"/>
              </w:rPr>
              <w:t>Outside Director Stock Option Plan</w:t>
            </w:r>
          </w:p>
        </w:tc>
        <w:tc>
          <w:tcPr>
            <w:tcW w:w="3280" w:type="dxa"/>
            <w:vAlign w:val="bottom"/>
            <w:gridSpan w:val="4"/>
          </w:tcPr>
          <w:p>
            <w:pPr>
              <w:jc w:val="right"/>
              <w:ind w:right="20"/>
              <w:spacing w:after="0"/>
              <w:rPr>
                <w:sz w:val="20"/>
                <w:szCs w:val="20"/>
                <w:color w:val="auto"/>
              </w:rPr>
            </w:pPr>
            <w:r>
              <w:rPr>
                <w:rFonts w:ascii="Arial" w:cs="Arial" w:eastAsia="Arial" w:hAnsi="Arial"/>
                <w:sz w:val="18"/>
                <w:szCs w:val="18"/>
                <w:color w:val="auto"/>
              </w:rPr>
              <w:t>188,000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13.60</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ind w:left="130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Not Applicable</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2007</w:t>
            </w:r>
          </w:p>
        </w:tc>
        <w:tc>
          <w:tcPr>
            <w:tcW w:w="274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3280" w:type="dxa"/>
            <w:vAlign w:val="bottom"/>
            <w:gridSpan w:val="4"/>
          </w:tcPr>
          <w:p>
            <w:pPr>
              <w:jc w:val="right"/>
              <w:ind w:right="20"/>
              <w:spacing w:after="0"/>
              <w:rPr>
                <w:sz w:val="20"/>
                <w:szCs w:val="20"/>
                <w:color w:val="auto"/>
              </w:rPr>
            </w:pPr>
            <w:r>
              <w:rPr>
                <w:rFonts w:ascii="Arial" w:cs="Arial" w:eastAsia="Arial" w:hAnsi="Arial"/>
                <w:sz w:val="18"/>
                <w:szCs w:val="18"/>
                <w:color w:val="auto"/>
              </w:rPr>
              <w:t>1,375,414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12.46</w:t>
            </w:r>
          </w:p>
        </w:tc>
        <w:tc>
          <w:tcPr>
            <w:tcW w:w="2300" w:type="dxa"/>
            <w:vAlign w:val="bottom"/>
          </w:tcPr>
          <w:p>
            <w:pPr>
              <w:jc w:val="right"/>
              <w:spacing w:after="0"/>
              <w:rPr>
                <w:sz w:val="20"/>
                <w:szCs w:val="20"/>
                <w:color w:val="auto"/>
              </w:rPr>
            </w:pPr>
            <w:r>
              <w:rPr>
                <w:rFonts w:ascii="Arial" w:cs="Arial" w:eastAsia="Arial" w:hAnsi="Arial"/>
                <w:sz w:val="18"/>
                <w:szCs w:val="18"/>
                <w:color w:val="auto"/>
              </w:rPr>
              <w:t>2,479,188</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120"/>
              <w:spacing w:after="0"/>
              <w:rPr>
                <w:sz w:val="20"/>
                <w:szCs w:val="20"/>
                <w:color w:val="auto"/>
              </w:rPr>
            </w:pPr>
            <w:r>
              <w:rPr>
                <w:rFonts w:ascii="Arial" w:cs="Arial" w:eastAsia="Arial" w:hAnsi="Arial"/>
                <w:sz w:val="18"/>
                <w:szCs w:val="18"/>
                <w:color w:val="auto"/>
              </w:rPr>
              <w:t>security holders</w:t>
            </w:r>
          </w:p>
        </w:tc>
        <w:tc>
          <w:tcPr>
            <w:tcW w:w="860" w:type="dxa"/>
            <w:vAlign w:val="bottom"/>
            <w:gridSpan w:val="2"/>
          </w:tcPr>
          <w:p>
            <w:pPr>
              <w:spacing w:after="0"/>
              <w:rPr>
                <w:sz w:val="20"/>
                <w:szCs w:val="20"/>
                <w:color w:val="auto"/>
              </w:rPr>
            </w:pP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gridSpan w:val="2"/>
          </w:tcPr>
          <w:p>
            <w:pPr>
              <w:spacing w:after="0"/>
              <w:rPr>
                <w:sz w:val="2"/>
                <w:szCs w:val="2"/>
                <w:color w:val="auto"/>
              </w:rPr>
            </w:pPr>
          </w:p>
        </w:tc>
        <w:tc>
          <w:tcPr>
            <w:tcW w:w="860" w:type="dxa"/>
            <w:vAlign w:val="bottom"/>
            <w:gridSpan w:val="2"/>
            <w:vMerge w:val="restart"/>
          </w:tcPr>
          <w:p>
            <w:pPr>
              <w:spacing w:after="0"/>
              <w:rPr>
                <w:sz w:val="2"/>
                <w:szCs w:val="2"/>
                <w:color w:val="auto"/>
              </w:rPr>
            </w:pPr>
          </w:p>
        </w:tc>
        <w:tc>
          <w:tcPr>
            <w:tcW w:w="24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Total</w:t>
            </w:r>
          </w:p>
        </w:tc>
        <w:tc>
          <w:tcPr>
            <w:tcW w:w="860" w:type="dxa"/>
            <w:vAlign w:val="bottom"/>
            <w:gridSpan w:val="2"/>
            <w:vMerge w:val="continue"/>
          </w:tcPr>
          <w:p>
            <w:pPr>
              <w:spacing w:after="0"/>
              <w:rPr>
                <w:sz w:val="18"/>
                <w:szCs w:val="18"/>
                <w:color w:val="auto"/>
              </w:rPr>
            </w:pPr>
          </w:p>
        </w:tc>
        <w:tc>
          <w:tcPr>
            <w:tcW w:w="24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3,309,796</w:t>
            </w:r>
          </w:p>
        </w:tc>
        <w:tc>
          <w:tcPr>
            <w:tcW w:w="10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13.20</w:t>
            </w:r>
          </w:p>
        </w:tc>
        <w:tc>
          <w:tcPr>
            <w:tcW w:w="2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2,479,188</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89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Under the ESPP, shares are acquired at the time of investment by the participating employees at the applicable discount.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and are in addition to the amounts due as described in the table entitled “Non-qualified Deferred Compensation – Fiscal 2010”. The amounts shown assume that such termination was effective as of May 1, 2010, include amounts earned through such time and are estimates of the amounts which would be paid out to the executives upon their termination. The actual amounts to be paid out can be determined only at the time of such executive’s separation from the Company. In addition, there may be re-negotiation of the payments upon any terminat ion of employment or change in control.</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Under the Option Plans and the 2007 Plan, all options and restricted stock units immediately vest upon a change in control as defined in the Option Plans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Termination</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Termination</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Termination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due to</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without cause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for cause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change in</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or for good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or for good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620" w:type="dxa"/>
            <w:vAlign w:val="bottom"/>
          </w:tcPr>
          <w:p>
            <w:pPr>
              <w:ind w:left="154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control</w:t>
            </w: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reason</w:t>
            </w: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reason</w:t>
            </w:r>
          </w:p>
        </w:tc>
        <w:tc>
          <w:tcPr>
            <w:tcW w:w="2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Death</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120" w:type="dxa"/>
            <w:vAlign w:val="bottom"/>
          </w:tcPr>
          <w:p>
            <w:pPr>
              <w:spacing w:after="0"/>
              <w:rPr>
                <w:sz w:val="17"/>
                <w:szCs w:val="17"/>
                <w:color w:val="auto"/>
              </w:rPr>
            </w:pPr>
          </w:p>
        </w:tc>
        <w:tc>
          <w:tcPr>
            <w:tcW w:w="3620" w:type="dxa"/>
            <w:vAlign w:val="bottom"/>
            <w:tcBorders>
              <w:top w:val="single" w:sz="8" w:color="auto"/>
            </w:tcBorders>
          </w:tcPr>
          <w:p>
            <w:pPr>
              <w:spacing w:after="0" w:line="202" w:lineRule="exact"/>
              <w:rPr>
                <w:sz w:val="20"/>
                <w:szCs w:val="20"/>
                <w:color w:val="auto"/>
              </w:rPr>
            </w:pPr>
            <w:r>
              <w:rPr>
                <w:rFonts w:ascii="Arial" w:cs="Arial" w:eastAsia="Arial" w:hAnsi="Arial"/>
                <w:sz w:val="17"/>
                <w:szCs w:val="17"/>
                <w:color w:val="auto"/>
              </w:rPr>
              <w:t>Stock Option Vesting Acceleration</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768</w:t>
            </w:r>
          </w:p>
        </w:tc>
        <w:tc>
          <w:tcPr>
            <w:tcW w:w="120" w:type="dxa"/>
            <w:vAlign w:val="bottom"/>
          </w:tcPr>
          <w:p>
            <w:pPr>
              <w:spacing w:after="0"/>
              <w:rPr>
                <w:sz w:val="17"/>
                <w:szCs w:val="17"/>
                <w:color w:val="auto"/>
              </w:rPr>
            </w:pPr>
          </w:p>
        </w:tc>
        <w:tc>
          <w:tcPr>
            <w:tcW w:w="14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35,698</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35,698</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35,698</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56,554</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35,698</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35,698</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35,698</w:t>
            </w:r>
          </w:p>
        </w:tc>
        <w:tc>
          <w:tcPr>
            <w:tcW w:w="20" w:type="dxa"/>
            <w:vAlign w:val="bottom"/>
          </w:tcPr>
          <w:p>
            <w:pPr>
              <w:spacing w:after="0"/>
              <w:rPr>
                <w:sz w:val="20"/>
                <w:szCs w:val="20"/>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Dr. Aelred J. Kurtenbach</w:t>
            </w:r>
          </w:p>
        </w:tc>
        <w:tc>
          <w:tcPr>
            <w:tcW w:w="1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Vacation Pay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28,846</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28,846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28,846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28,846</w:t>
            </w: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William R. Retterath</w:t>
            </w:r>
          </w:p>
        </w:tc>
        <w:tc>
          <w:tcPr>
            <w:tcW w:w="1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18,092</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18,092</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18,092</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0820"/>
          </w:cols>
          <w:pgMar w:left="240" w:top="364" w:right="8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450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37,210</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18,092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18,092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18,092</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Bradley T. Wiemann</w:t>
            </w: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Restricted Stock Vesting Acceleration</w:t>
            </w:r>
          </w:p>
        </w:tc>
        <w:tc>
          <w:tcPr>
            <w:tcW w:w="700" w:type="dxa"/>
            <w:vAlign w:val="bottom"/>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Vacation Pay</w:t>
            </w:r>
          </w:p>
        </w:tc>
        <w:tc>
          <w:tcPr>
            <w:tcW w:w="700" w:type="dxa"/>
            <w:vAlign w:val="bottom"/>
          </w:tcPr>
          <w:p>
            <w:pPr>
              <w:jc w:val="right"/>
              <w:spacing w:after="0"/>
              <w:rPr>
                <w:sz w:val="20"/>
                <w:szCs w:val="20"/>
                <w:color w:val="auto"/>
              </w:rPr>
            </w:pPr>
            <w:r>
              <w:rPr>
                <w:rFonts w:ascii="Arial" w:cs="Arial" w:eastAsia="Arial" w:hAnsi="Arial"/>
                <w:sz w:val="18"/>
                <w:szCs w:val="18"/>
                <w:color w:val="auto"/>
              </w:rPr>
              <w:t>20,423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20,423</w:t>
            </w: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20,423</w:t>
            </w: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20,423</w:t>
            </w:r>
          </w:p>
        </w:tc>
      </w:tr>
      <w:tr>
        <w:trPr>
          <w:trHeight w:val="230"/>
        </w:trPr>
        <w:tc>
          <w:tcPr>
            <w:tcW w:w="19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38,672</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20" w:type="dxa"/>
            <w:vAlign w:val="bottom"/>
          </w:tcPr>
          <w:p>
            <w:pPr>
              <w:spacing w:after="0"/>
              <w:rPr>
                <w:sz w:val="20"/>
                <w:szCs w:val="20"/>
                <w:color w:val="auto"/>
              </w:rPr>
            </w:pPr>
          </w:p>
        </w:tc>
      </w:tr>
      <w:tr>
        <w:trPr>
          <w:trHeight w:val="404"/>
        </w:trPr>
        <w:tc>
          <w:tcPr>
            <w:tcW w:w="1960" w:type="dxa"/>
            <w:vAlign w:val="bottom"/>
          </w:tcPr>
          <w:p>
            <w:pPr>
              <w:spacing w:after="0"/>
              <w:rPr>
                <w:sz w:val="20"/>
                <w:szCs w:val="20"/>
                <w:color w:val="auto"/>
              </w:rPr>
            </w:pPr>
            <w:r>
              <w:rPr>
                <w:rFonts w:ascii="Arial" w:cs="Arial" w:eastAsia="Arial" w:hAnsi="Arial"/>
                <w:sz w:val="18"/>
                <w:szCs w:val="18"/>
                <w:color w:val="auto"/>
              </w:rPr>
              <w:t>Reece A. Kurtenbach</w:t>
            </w: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Restricted Stock Vesting Acceleration</w:t>
            </w:r>
          </w:p>
        </w:tc>
        <w:tc>
          <w:tcPr>
            <w:tcW w:w="700" w:type="dxa"/>
            <w:vAlign w:val="bottom"/>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Vacation Pay</w:t>
            </w:r>
          </w:p>
        </w:tc>
        <w:tc>
          <w:tcPr>
            <w:tcW w:w="700" w:type="dxa"/>
            <w:vAlign w:val="bottom"/>
          </w:tcPr>
          <w:p>
            <w:pPr>
              <w:jc w:val="right"/>
              <w:spacing w:after="0"/>
              <w:rPr>
                <w:sz w:val="20"/>
                <w:szCs w:val="20"/>
                <w:color w:val="auto"/>
              </w:rPr>
            </w:pPr>
            <w:r>
              <w:rPr>
                <w:rFonts w:ascii="Arial" w:cs="Arial" w:eastAsia="Arial" w:hAnsi="Arial"/>
                <w:sz w:val="18"/>
                <w:szCs w:val="18"/>
                <w:color w:val="auto"/>
              </w:rPr>
              <w:t>15,792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15,792</w:t>
            </w: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15,792</w:t>
            </w: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15,792</w:t>
            </w:r>
          </w:p>
        </w:tc>
      </w:tr>
      <w:tr>
        <w:trPr>
          <w:trHeight w:val="230"/>
        </w:trPr>
        <w:tc>
          <w:tcPr>
            <w:tcW w:w="19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34,041</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7" w:lineRule="exact"/>
        <w:rPr>
          <w:sz w:val="20"/>
          <w:szCs w:val="20"/>
          <w:color w:val="auto"/>
        </w:rPr>
      </w:pPr>
    </w:p>
    <w:p>
      <w:pPr>
        <w:ind w:left="340" w:right="20" w:hanging="332"/>
        <w:spacing w:after="0" w:line="253"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option awards, consists of the difference between the closing market price of the common stock as reported on The NASDAQ Global Select Market as of May 1, 2010 less the exercise price of the option multiplied by the number of shares subject to the option.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THE EMPLOYEE STOCK PURCHASE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Our Employee Stock Purchase Plan, or ESPP, was established by our Board and approved by shareholders in 2002. Our Board and shareholders originally authorized the issuance of 1,000,000 shares under the ESPP. On June 3, 2010, our Board approved, subject to shareholder approval, an amendment to the ESPP to increase the number of shares authorized under the ESPP to 2,500,000 (an increase of 1,500,000 shares).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believes that the amendment to the ESPP is in our and your best interest and is important to help assure our ability to continue to recruit and retain highly qualified employees. As of May 1, 2010, 265,237 shares of our common stock remained available for purchase under the ESPP. If the amendment to the ESPP is not approved by shareholders, we will exhaust these previously authorized shares in the coming months or years and then our employees will no longer be able to purchase shares of our common stock under the ESPP.</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the material features of the ESPP. The summary is qualified in its entirety by reference to the full text of the ESPP as proposed to be amended, which is included as an appendix to this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Amended ESPP</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 xml:space="preserve">Available Shares. </w:t>
      </w:r>
      <w:r>
        <w:rPr>
          <w:rFonts w:ascii="Arial" w:cs="Arial" w:eastAsia="Arial" w:hAnsi="Arial"/>
          <w:sz w:val="18"/>
          <w:szCs w:val="18"/>
          <w:color w:val="auto"/>
        </w:rPr>
        <w:t>The aggregate number of shares of common stock to be reserved by the Company and available for purchase under the ESPP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2,500,000 shares.</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ESPP is to provide eligible employees with an opportunity to increase their proprietary interest in the success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by purchasing common stock from the company on favorable terms and paying for such purchases through periodic payroll deductions.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ESPP is administered by the Compensation Committee (the "Committee"). The Committee interprets the ESPP and makes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policy decisions relating to the operation of the ESPP.</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Any employee of the company (or any designated subsidiary) whose customary employment is for more than five months per calendar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and for more than 20 hours per week and who has been employed for at least six months at the start of an offering period is eligible to participate in the ESPP. Employees become participants under the ESPP by delivering to us an enrollment form authorizing payroll deductions within a specified period of time prior to the commencement of each offering period. Participation generally will continue for all later offers unless the participant elects to withdraw from the ESPP or is no longer eligible to participate. No employee is permitted to purchase common stock under the ESPP if such em ployee owns more than five percent (5%) of the total combined voting power or value of all classes of our stock (including shares which may be purchased under the ESPP or pursuant to any other options). In addition, no employee is entitled to purchase more than $25,000 worth of shares in any calendar year.</w:t>
      </w:r>
    </w:p>
    <w:p>
      <w:pPr>
        <w:sectPr>
          <w:pgSz w:w="11900" w:h="16838" w:orient="portrait"/>
          <w:cols w:equalWidth="0" w:num="1">
            <w:col w:w="10820"/>
          </w:cols>
          <w:pgMar w:left="240" w:top="125" w:right="839" w:bottom="175" w:gutter="0" w:footer="0" w:header="0"/>
        </w:sectPr>
      </w:pPr>
    </w:p>
    <w:bookmarkStart w:id="20" w:name="page21"/>
    <w:bookmarkEnd w:id="20"/>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Contribution Period</w:t>
      </w:r>
      <w:r>
        <w:rPr>
          <w:rFonts w:ascii="Arial" w:cs="Arial" w:eastAsia="Arial" w:hAnsi="Arial"/>
          <w:sz w:val="17"/>
          <w:szCs w:val="17"/>
          <w:color w:val="auto"/>
        </w:rPr>
        <w:t>. Each calendar year, two offering periods each with a duration of six months commence on November 1 and May 1.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period contains one six-month contribution period, with purchases occurring at the end of each six-month contribution period.</w:t>
      </w:r>
    </w:p>
    <w:p>
      <w:pPr>
        <w:spacing w:after="0" w:line="17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The price of each share of common stock purchased under the ESPP is 85% of the lower of (i) the fair market value per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on the last trading day of the offering period or (ii) the fair market value per share of common stock on the last trading day before the offering date. The purchase price of the shares is accumulated by payroll deductions over each contribution period. The deductions may not exceed 15% of an employee's compensation, and no more than 4,000 shares may be purchased on any purchase date. All payroll deductions of a participant are credited to his or her account under the ESPP, and such funds may be used for any corporate purpose.</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Employees may end their participation in the ESPP at any time during the contribution period, and participation ends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termination of employment with the company.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In the event of a change in control, all offering periods and contribution periods will terminate, and each outstanding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will be exercised.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Non-transferable. </w:t>
      </w:r>
      <w:r>
        <w:rPr>
          <w:rFonts w:ascii="Arial" w:cs="Arial" w:eastAsia="Arial" w:hAnsi="Arial"/>
          <w:sz w:val="18"/>
          <w:szCs w:val="18"/>
          <w:color w:val="auto"/>
        </w:rPr>
        <w:t>A participant’s rights with respect to options granted under the ESPP, as well as contributions credited to his or her ESPP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transferable by voluntary or involuntary assignment or by operation of law, or in any other manner other than by beneficiary designation, will or the laws of descent and distribution.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The Board may amend or terminate the ESPP at any time. However, the Board may not, without shareholder approval, increase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of common stock reserved for issuance under the ESPP.</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Antidilution Provisions</w:t>
      </w:r>
      <w:r>
        <w:rPr>
          <w:rFonts w:ascii="Arial" w:cs="Arial" w:eastAsia="Arial" w:hAnsi="Arial"/>
          <w:sz w:val="16"/>
          <w:szCs w:val="16"/>
          <w:color w:val="auto"/>
        </w:rPr>
        <w:t>. The Board of Directors must equitably adjust the maximum number of shares of common stock reserved for issuance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ESPP in the event of stock splits or consolidations, stock dividends or other transactions in which the company receives no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Information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ESPP is intended to be an "employee stock purchase plan" within the meaning of Section 423 of the Code. Under such a plan, no taxable income is recognized by participants either when a purchase right is granted at the beginning of the offering period or when shares are purchased at the end of a contribution period.</w:t>
      </w:r>
    </w:p>
    <w:p>
      <w:pPr>
        <w:spacing w:after="0" w:line="2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Internal Revenue Service (the “IRS”) has in the past stated that participants will recognize income in the year in which they make a disposition of the purchased shares. The term "disposition" generally includes any transfer of legal title, whether by sale, exchange or gift. It does not include a transfer to a participant's spouse, a transfer into joint ownership if the participant remains one of the joint owners or a transfer into a participant's brokerage account. Hence, a participant will be subject to federal income tax on the purchased shares only when he or she disposes of them.</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participant's federal income tax liability will depend on whether he or she makes a qualifying or disqualifying disposition of the purchased shares. A qualifying disposition will occur if the sale or other disposition of those shares is made after the participant has held the shares for (a) more than two years after the start date of the applicable offering period, and (b) more than one year after the actual purchase date. A disqualifying disposition is any sale or disposition which is made before either of these two holding periods is satisfied.</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 participant makes a qualifying disposition, he or she will recognize ordinary compensation income in the year of the qualifying disposition equal to the lesser of (a) the amount by which the fair market value of the shares on the date of the qualifying disposition exceeds the purchase price paid for those shares, or (b) 15% of the fair market value of the shares on the start date of the offering period during which those shares were purchased. The company is not entitled to an income tax deduction with respect to such disposition. Any additional gain recognized upon the qualifying disposition will be treated as long-term capital gain. In general, the current maximum federal income tax rate on long-term capital gain is 20%. If the fair market value of the shares on the date of the qualifying disposition is less than the purchase pr ice a participant paid for the shares, there will be no compensation income, and any loss recognized will generally be a capital loss.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participant disposes of the shares acquired under the ESPP prior to meeting the above-described holding period, he or she will recognize ordinary compensation income in the year of disposition equal to the difference between the fair market value of the stock at the date of exercise and the purchase price and capital gain or loss equal to the difference between the amount realized on the sale and the fair market value on the date of exercise. The capital gain or loss realized will be treated as long-term if the participant held the stock at least twelve months. The company is entitled to an income tax deduction in the amount of the ordinary compensation income recognized by the participant with respect to the disqualifying disposition.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is only a summary of the general effect of the U.S. federal income taxation upon participants and the company with respect to the purchase of shares under the ESPP and the subsequent sale of such shares. This summary does not discuss the income tax laws of any state or foreign country in which a participant may reside. A participant should consult his or her own tax advisor as to the tax consequences of any particular transaction under the ESPP.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ESPP is designed to qualify for favorable tax treatment under Section 423 of the Code. To maintain this qualification, we must obtain shareholder approval of the amendment to the ESPP within 12 months of the Board’s approval date. The affirmative vote of a majority of the votes cast by shareholders entitled to vote who are present in person or represented by proxy is required to approve the amendment to the ESPP.</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AMENDMENT TO OUR EMPLOYEE STOCK PURCHASE PLAN AS SET FORTH IN PROPOSAL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74" w:gutter="0" w:footer="0" w:header="0"/>
        </w:sectPr>
      </w:pPr>
    </w:p>
    <w:bookmarkStart w:id="21" w:name="page22"/>
    <w:bookmarkEnd w:id="21"/>
    <w:p>
      <w:pPr>
        <w:spacing w:after="0" w:line="7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Audit Committee of the Board of Directors has appointed Ernst &amp; Young LLP as our independent registered public accounting firm to audit our consolidated financial statements for fiscal 2011 and recommends that the shareholders vote for ratification of such appointment.</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aggregate fees billed for professional services rendered by Ernst &amp; Young LLP for the audit of our annual financial statements for the last two fiscal years and fees billed for other services rendered by Ernst &amp; Young LLP related to those years are set forth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Fiscal Year Ended</w:t>
            </w: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23"/>
        </w:trPr>
        <w:tc>
          <w:tcPr>
            <w:tcW w:w="22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rPr>
              <w:t>May 1, 2010</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May 2, 2009</w:t>
            </w:r>
          </w:p>
        </w:tc>
      </w:tr>
      <w:tr>
        <w:trPr>
          <w:trHeight w:val="202"/>
        </w:trPr>
        <w:tc>
          <w:tcPr>
            <w:tcW w:w="646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480,190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471,627</w:t>
            </w:r>
          </w:p>
        </w:tc>
        <w:tc>
          <w:tcPr>
            <w:tcW w:w="160" w:type="dxa"/>
            <w:vAlign w:val="bottom"/>
          </w:tcPr>
          <w:p>
            <w:pPr>
              <w:spacing w:after="0"/>
              <w:rPr>
                <w:sz w:val="17"/>
                <w:szCs w:val="17"/>
                <w:color w:val="auto"/>
              </w:rPr>
            </w:pPr>
          </w:p>
        </w:tc>
      </w:tr>
      <w:tr>
        <w:trPr>
          <w:trHeight w:val="216"/>
        </w:trPr>
        <w:tc>
          <w:tcPr>
            <w:tcW w:w="64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26,926</w:t>
            </w:r>
          </w:p>
        </w:tc>
      </w:tr>
      <w:tr>
        <w:trPr>
          <w:trHeight w:val="216"/>
        </w:trPr>
        <w:tc>
          <w:tcPr>
            <w:tcW w:w="64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r>
      <w:tr>
        <w:trPr>
          <w:trHeight w:val="216"/>
        </w:trPr>
        <w:tc>
          <w:tcPr>
            <w:tcW w:w="6460" w:type="dxa"/>
            <w:vAlign w:val="bottom"/>
            <w:gridSpan w:val="2"/>
          </w:tcPr>
          <w:p>
            <w:pPr>
              <w:ind w:left="500"/>
              <w:spacing w:after="0"/>
              <w:rPr>
                <w:sz w:val="20"/>
                <w:szCs w:val="20"/>
                <w:color w:val="auto"/>
              </w:rPr>
            </w:pPr>
            <w:r>
              <w:rPr>
                <w:rFonts w:ascii="Arial" w:cs="Arial" w:eastAsia="Arial" w:hAnsi="Arial"/>
                <w:sz w:val="18"/>
                <w:szCs w:val="18"/>
                <w:color w:val="auto"/>
              </w:rPr>
              <w:t>Totals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507,185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501,553</w:t>
            </w:r>
          </w:p>
        </w:tc>
        <w:tc>
          <w:tcPr>
            <w:tcW w:w="160" w:type="dxa"/>
            <w:vAlign w:val="bottom"/>
          </w:tcPr>
          <w:p>
            <w:pPr>
              <w:spacing w:after="0"/>
              <w:rPr>
                <w:sz w:val="18"/>
                <w:szCs w:val="18"/>
                <w:color w:val="auto"/>
              </w:rPr>
            </w:pPr>
          </w:p>
        </w:tc>
      </w:tr>
      <w:tr>
        <w:trPr>
          <w:trHeight w:val="21"/>
        </w:trPr>
        <w:tc>
          <w:tcPr>
            <w:tcW w:w="22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02"/>
        </w:trPr>
        <w:tc>
          <w:tcPr>
            <w:tcW w:w="2200" w:type="dxa"/>
            <w:vAlign w:val="bottom"/>
            <w:tcBorders>
              <w:bottom w:val="single" w:sz="8" w:color="808080"/>
            </w:tcBorders>
          </w:tcPr>
          <w:p>
            <w:pPr>
              <w:spacing w:after="0"/>
              <w:rPr>
                <w:sz w:val="8"/>
                <w:szCs w:val="8"/>
                <w:color w:val="auto"/>
              </w:rPr>
            </w:pPr>
          </w:p>
        </w:tc>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9" w:lineRule="exact"/>
        <w:rPr>
          <w:sz w:val="20"/>
          <w:szCs w:val="20"/>
          <w:color w:val="auto"/>
        </w:rPr>
      </w:pPr>
    </w:p>
    <w:p>
      <w:pPr>
        <w:jc w:val="both"/>
        <w:ind w:left="340" w:hanging="332"/>
        <w:spacing w:after="0" w:line="227"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340" w:right="2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Audit-related fees are fees for assurance and related services performed by Ernst &amp; Young LLP that are reasonably related to the performance of the audit or review of the Company’s financial statements.</w:t>
      </w:r>
    </w:p>
    <w:p>
      <w:pPr>
        <w:jc w:val="both"/>
        <w:ind w:left="340" w:right="2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other fees are fees for other permissible work performed by Ernst &amp; Young LLP that does not meet the above category descriptions.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Ernst &amp; Young LLP (LLP’s) ability to maintain its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April 30, 2011. If the shareholders do not approve the selection of Ernst &amp; Young LLP, the Audit Committee will reconsider its selection.</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LLPAS THE COMPANY’S INDEPENDENT REGISTERED PUBLIC ACCOUNTING FIRM FOR THE FISCAL YEAR ENDING APRIL 30, 2011 AS SET FORTH IN PROPOSAL 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Audit Committee is composed of three Directors who are independent as provided in Rule 5605(a)(2) of the NASDAQ Listing Rules and Rule 10A-3 under the Exchange Act. The members of the Audit Committee are appointed annually by the Board of Directors. John L. Mulligan, Nancy D. Frame and James A. Vellenga served as members of the Audit Committee throughout fiscal 2010.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w:t>
      </w:r>
    </w:p>
    <w:p>
      <w:pPr>
        <w:sectPr>
          <w:pgSz w:w="11900" w:h="16914" w:orient="portrait"/>
          <w:cols w:equalWidth="0" w:num="1">
            <w:col w:w="10820"/>
          </w:cols>
          <w:pgMar w:left="240" w:top="121" w:right="839" w:bottom="0" w:gutter="0" w:footer="0" w:header="0"/>
        </w:sectPr>
      </w:pPr>
    </w:p>
    <w:bookmarkStart w:id="22" w:name="page23"/>
    <w:bookmarkEnd w:id="22"/>
    <w:p>
      <w:pPr>
        <w:jc w:val="both"/>
        <w:ind w:right="20"/>
        <w:spacing w:after="0" w:line="312" w:lineRule="auto"/>
        <w:rPr>
          <w:sz w:val="20"/>
          <w:szCs w:val="20"/>
          <w:color w:val="auto"/>
        </w:rPr>
      </w:pPr>
      <w:r>
        <w:rPr>
          <w:rFonts w:ascii="Arial" w:cs="Arial" w:eastAsia="Arial" w:hAnsi="Arial"/>
          <w:sz w:val="16"/>
          <w:szCs w:val="16"/>
          <w:color w:val="auto"/>
        </w:rPr>
        <w:t>applicable rules. The Audit Committee serves a Board-level oversight role in which it provides a 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our audited financial statements for the fiscal year ended May 1, 2010;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the statement on Auditing Standards No. 61,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xml:space="preserve"> Vol. 1, AU section 380), as adopted by the Public Company Accounting Oversight Board in Rule 3200T; discussed with our independent registered public accounting firm their respective audits and ass essments, including internal control testing under Section 404 of the Sarbanes-Oxley Act of 2002;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discussed with the independent registered public accounting firm and the firm’s independence; reviewed and pre-approved fees charged by the independent registered public accounting firm; considered whether the independent registered public accounting firm’s provision of non-audit services to us is compatible with the auditor’s independence. The Audit Committee also met in executive session following each of the formal Audit Committee meetings with representatives of our independent registered public accounting firm.</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has concluded that the independent registered public accounting firm is independent from the Company and its management. The Committee discussed with our independent registered public accounting firm the overall scope and plans for their respective audits. The Committee meets with the independent registered public accounting firm, with and without management present, to discuss the results of their examinations, the evaluations of our internal controls, and the overall quality of our financial reporting.</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our audited financial statements for the fiscal year ended May 1, 2010 be included in our Annual Report on Form 10-K for filing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 f Proxy Materials. This practice benefits us and our shareholders because it reduces the volume of duplicate information received at a shareholder’s house and helps reduce our expenses.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Annual Report to Shareholders for the fiscal year ended May 1, 2010,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person whose proxy is solicited by this Proxy Statement will be provided, upon request and without charge, with a copy of our Annual Report on Form 10-K for the fiscal year ended May 1, 2010. Please submit such requests to Daktronics, Inc., 201 Daktronics Drive, Brookings, South Dakota 57006, Attention: Investor Relations, or by calling (605) 692-0200.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820"/>
          </w:cols>
          <w:pgMar w:left="240" w:top="125" w:right="8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6882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697980" cy="8541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97980" cy="854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6882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697980" cy="765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97980" cy="765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2002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November 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Effective August 26, 2010</w:t>
      </w:r>
    </w:p>
    <w:p>
      <w:pPr>
        <w:spacing w:after="0" w:line="200" w:lineRule="exact"/>
        <w:rPr>
          <w:sz w:val="20"/>
          <w:szCs w:val="20"/>
          <w:color w:val="auto"/>
        </w:rPr>
      </w:pPr>
    </w:p>
    <w:p>
      <w:pPr>
        <w:spacing w:after="0" w:line="27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was adopted by the Board on June 25, 2002, to be effective as of November 1, 2002. The purpose of the Plan is to provide Eligible Employees with an opportunity to increase their proprietary interest in the success of the Corporation by purchasing Common Stock from the Corporation on favorable terms and to pay for such purchases through payroll deductions. The Plan is intended to qualify under Section 423 of the Code.</w:t>
      </w:r>
    </w:p>
    <w:p>
      <w:pPr>
        <w:spacing w:after="0" w:line="210"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ectPr>
          <w:pgSz w:w="11900" w:h="16838" w:orient="portrait"/>
          <w:cols w:equalWidth="0" w:num="1">
            <w:col w:w="10820"/>
          </w:cols>
          <w:pgMar w:left="240" w:top="1440" w:right="839" w:bottom="0" w:gutter="0" w:footer="0" w:header="0"/>
        </w:sectPr>
      </w:pPr>
    </w:p>
    <w:bookmarkStart w:id="25" w:name="page26"/>
    <w:bookmarkEnd w:id="25"/>
    <w:p>
      <w:pPr>
        <w:ind w:left="50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COMMITTEE COMPOSITION.</w:t>
      </w:r>
    </w:p>
    <w:p>
      <w:pPr>
        <w:spacing w:after="0" w:line="23" w:lineRule="exact"/>
        <w:rPr>
          <w:sz w:val="20"/>
          <w:szCs w:val="20"/>
          <w:color w:val="auto"/>
        </w:rPr>
      </w:pPr>
    </w:p>
    <w:p>
      <w:pPr>
        <w:jc w:val="both"/>
        <w:ind w:left="980" w:right="20"/>
        <w:spacing w:after="0" w:line="261" w:lineRule="auto"/>
        <w:rPr>
          <w:sz w:val="20"/>
          <w:szCs w:val="20"/>
          <w:color w:val="auto"/>
        </w:rPr>
      </w:pPr>
      <w:r>
        <w:rPr>
          <w:rFonts w:ascii="Arial" w:cs="Arial" w:eastAsia="Arial" w:hAnsi="Arial"/>
          <w:sz w:val="18"/>
          <w:szCs w:val="18"/>
          <w:color w:val="auto"/>
        </w:rPr>
        <w:t>The Board or Compensation Committee shall oversee the Plan. (For purposes of this Plan, references hereinafter to the Committee shall mean either the Compensation Committee or the Board.)</w:t>
      </w: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COMMITTEE RESPONSIBILITIES.</w:t>
      </w:r>
    </w:p>
    <w:p>
      <w:pPr>
        <w:spacing w:after="0" w:line="23" w:lineRule="exact"/>
        <w:rPr>
          <w:sz w:val="20"/>
          <w:szCs w:val="20"/>
          <w:color w:val="auto"/>
        </w:rPr>
      </w:pPr>
    </w:p>
    <w:p>
      <w:pPr>
        <w:jc w:val="both"/>
        <w:ind w:left="980" w:right="20"/>
        <w:spacing w:after="0" w:line="273" w:lineRule="auto"/>
        <w:rPr>
          <w:sz w:val="20"/>
          <w:szCs w:val="20"/>
          <w:color w:val="auto"/>
        </w:rPr>
      </w:pPr>
      <w:r>
        <w:rPr>
          <w:rFonts w:ascii="Arial" w:cs="Arial" w:eastAsia="Arial" w:hAnsi="Arial"/>
          <w:sz w:val="17"/>
          <w:szCs w:val="17"/>
          <w:color w:val="auto"/>
        </w:rPr>
        <w:t>The Committee shall interpret the Plan and make all other policy decisions relating to the operation of the Plan. The Committee may adopt such rules, guidelines and forms as it deems appropriate to implement the Plan. The Committee's determinations under the Plan shall be final and binding on all persons. The Committee shall act by majority vote of its members. An action of the Committee may be taken without a meeting by a unanimous written consent signed by all members of the Committee.</w:t>
      </w:r>
    </w:p>
    <w:p>
      <w:pPr>
        <w:spacing w:after="0" w:line="20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PLAN YEAR.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Plan Year shall consist of a twelve month period commencing on May 1 and ending on April 30.</w:t>
      </w:r>
    </w:p>
    <w:p>
      <w:pPr>
        <w:spacing w:after="0" w:line="23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 AND PARTICIPATION</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3.1   OFFERING PERIODS.</w:t>
      </w:r>
    </w:p>
    <w:p>
      <w:pPr>
        <w:spacing w:after="0" w:line="23" w:lineRule="exact"/>
        <w:rPr>
          <w:rFonts w:ascii="Arial" w:cs="Arial" w:eastAsia="Arial" w:hAnsi="Arial"/>
          <w:sz w:val="18"/>
          <w:szCs w:val="18"/>
          <w:b w:val="1"/>
          <w:bCs w:val="1"/>
          <w:color w:val="auto"/>
        </w:rPr>
      </w:pPr>
    </w:p>
    <w:p>
      <w:pPr>
        <w:jc w:val="both"/>
        <w:ind w:left="9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the Plan is in effect, options to purchase shares of Common Stock shall be offered to Participants under the Plan through a continuous series of Offering Periods, each continuing for six months, and each of which shall commence on May 1 and November 1 of each year (the “Offering Date”) and shall terminate on October 31 and April 30 of each year (the “Termination Date”). Offering Periods under the Plan shall continue until either (A) the Committee decides that no further Offerings shall be made because the Common Stock remaining available under the Plan is insufficient to make an Offering to all Eligible Employees or (B) the Plan is terminated in accordance with Section 14 below.</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3.2   CONTRIBUTION PERIODS.</w:t>
      </w:r>
    </w:p>
    <w:p>
      <w:pPr>
        <w:spacing w:after="0" w:line="23" w:lineRule="exact"/>
        <w:rPr>
          <w:rFonts w:ascii="Arial" w:cs="Arial" w:eastAsia="Arial" w:hAnsi="Arial"/>
          <w:sz w:val="18"/>
          <w:szCs w:val="18"/>
          <w:b w:val="1"/>
          <w:bCs w:val="1"/>
          <w:color w:val="auto"/>
        </w:rPr>
      </w:pPr>
    </w:p>
    <w:p>
      <w:pPr>
        <w:jc w:val="both"/>
        <w:ind w:left="980"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While the Plan is in effect, two Contribution Periods shall commence in each calendar year. The Contribution Periods shall consist of the six-month periods commencing on each May 1 and ending on October 31 and commencing on November 1 and ending on April 30.</w:t>
      </w:r>
    </w:p>
    <w:p>
      <w:pPr>
        <w:spacing w:after="0" w:line="16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3.3   ENROLLMENT.</w:t>
      </w:r>
    </w:p>
    <w:p>
      <w:pPr>
        <w:spacing w:after="0" w:line="23" w:lineRule="exact"/>
        <w:rPr>
          <w:rFonts w:ascii="Arial" w:cs="Arial" w:eastAsia="Arial" w:hAnsi="Arial"/>
          <w:sz w:val="18"/>
          <w:szCs w:val="18"/>
          <w:b w:val="1"/>
          <w:bCs w:val="1"/>
          <w:color w:val="auto"/>
        </w:rPr>
      </w:pPr>
    </w:p>
    <w:p>
      <w:pPr>
        <w:jc w:val="both"/>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Participation in the Plan by an Eligible Employee is voluntary. Any individual who, on the day prior to the first day of an Offering Period, qualifies as an Eligible Employee may elect to become a Participant in the Plan for such Offering Period by executing the enrollment form prescribed for this purpose by the Committee. The enrollment form shall be filed with the Corporation at the prescribed location not later than ten business days prior to the commencement of such Offering Period.</w:t>
      </w:r>
    </w:p>
    <w:p>
      <w:pPr>
        <w:spacing w:after="0" w:line="21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3.4   DURATION OF PARTICIPATION.</w:t>
      </w:r>
    </w:p>
    <w:p>
      <w:pPr>
        <w:spacing w:after="0" w:line="23" w:lineRule="exact"/>
        <w:rPr>
          <w:rFonts w:ascii="Arial" w:cs="Arial" w:eastAsia="Arial" w:hAnsi="Arial"/>
          <w:sz w:val="18"/>
          <w:szCs w:val="18"/>
          <w:b w:val="1"/>
          <w:bCs w:val="1"/>
          <w:color w:val="auto"/>
        </w:rPr>
      </w:pPr>
    </w:p>
    <w:p>
      <w:pPr>
        <w:jc w:val="both"/>
        <w:ind w:left="98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Once enrolled in the Plan, a Participant shall continue to participate in the Plan until he or she ceases to be an Eligible Employee, withdraws from the Plan under Section 5.1 or reaches the end of the Contribution Period in which his or her employee contributions were discontinued under Section 4.4 or 8.2. A Participant who discontinued employee contributions under Section 4.4 or withdrew from the Plan under Section 5.1 may again become a Participant, if he or she then is an Eligible Employee, by following the procedure described in Section 3.3 above. A Participant whose employee contributions were discontinued automatically under Section 8.2 shall automatically resume participation at the beginning of the earliest Contribution Period ending in the next calendar year, if he or she then is an Eligible Employee.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APPLICABLE OFFERING PERIOD.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purposes of calculating the Purchase Price under Section 7.2, the applicable Offering Period shall be determined as follows:</w:t>
      </w:r>
    </w:p>
    <w:p>
      <w:pPr>
        <w:spacing w:after="0" w:line="222" w:lineRule="exact"/>
        <w:rPr>
          <w:sz w:val="20"/>
          <w:szCs w:val="20"/>
          <w:color w:val="auto"/>
        </w:rPr>
      </w:pPr>
    </w:p>
    <w:p>
      <w:pPr>
        <w:jc w:val="both"/>
        <w:ind w:left="1620" w:right="20" w:hanging="647"/>
        <w:spacing w:after="0" w:line="308" w:lineRule="auto"/>
        <w:tabs>
          <w:tab w:leader="none" w:pos="160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Once a Participant is enrolled in the Plan for an Offering Period, such Offering Period shall continue to apply to him or her until the earliest of (A) the end of such Offering Period or (B) the end of his or her participation under Section 3.4 above.</w:t>
      </w:r>
    </w:p>
    <w:p>
      <w:pPr>
        <w:spacing w:after="0" w:line="147" w:lineRule="exact"/>
        <w:rPr>
          <w:sz w:val="20"/>
          <w:szCs w:val="20"/>
          <w:color w:val="auto"/>
        </w:rPr>
      </w:pPr>
    </w:p>
    <w:p>
      <w:pPr>
        <w:jc w:val="both"/>
        <w:ind w:left="1620" w:right="20" w:hanging="647"/>
        <w:spacing w:after="0" w:line="264" w:lineRule="auto"/>
        <w:tabs>
          <w:tab w:leader="none" w:pos="160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Each Participant who actively contributed to the plan on the last pay date of an offering period is automatically re-enrolled in the following offering period. Employees who withdraw or change their deferrals to 0% during an offering period must submit a new enrollment form to participate in a future offering period.</w:t>
      </w:r>
    </w:p>
    <w:p>
      <w:pPr>
        <w:spacing w:after="0" w:line="17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CONTRIBUTIONS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4.1   FREQUENCY OF PAYROLL DEDUCTIONS.</w:t>
      </w:r>
    </w:p>
    <w:p>
      <w:pPr>
        <w:spacing w:after="0" w:line="23" w:lineRule="exact"/>
        <w:rPr>
          <w:rFonts w:ascii="Arial" w:cs="Arial" w:eastAsia="Arial" w:hAnsi="Arial"/>
          <w:sz w:val="18"/>
          <w:szCs w:val="18"/>
          <w:b w:val="1"/>
          <w:bCs w:val="1"/>
          <w:color w:val="auto"/>
        </w:rPr>
      </w:pPr>
    </w:p>
    <w:p>
      <w:pPr>
        <w:jc w:val="both"/>
        <w:ind w:left="9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Participant may purchase shares of Common Stock under the Plan solely by means of payroll deductions. Payroll deductions, as designated by the Participant pursuant to Section 4.2 below, shall occur on each payday during participation in the Plan and shall be determined based upon the Payroll Withholding Rate designated by the Participant pursuant to Section 4.2 below. Payroll deductions for a Participant shall be on an after-tax basis and shall begin with the first payroll on or following the applicable Offering Date and shall continue until the termination date of the Plan, subject to earlier termination as provided herein or to decreases by the Participant in the amount of the Payroll Withholding Rate as provided in Section 4.3.</w:t>
      </w:r>
    </w:p>
    <w:p>
      <w:pPr>
        <w:spacing w:after="0" w:line="17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4.2   AMOUNT OF PAYROLL DEDUCTIONS.</w:t>
      </w:r>
    </w:p>
    <w:p>
      <w:pPr>
        <w:spacing w:after="0" w:line="23" w:lineRule="exact"/>
        <w:rPr>
          <w:rFonts w:ascii="Arial" w:cs="Arial" w:eastAsia="Arial" w:hAnsi="Arial"/>
          <w:sz w:val="18"/>
          <w:szCs w:val="18"/>
          <w:b w:val="1"/>
          <w:bCs w:val="1"/>
          <w:color w:val="auto"/>
        </w:rPr>
      </w:pPr>
    </w:p>
    <w:p>
      <w:pPr>
        <w:jc w:val="both"/>
        <w:ind w:left="98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 Eligible Employee shall designate on the enrollment form the portion of his or her Compensation that he or she elects to have withheld for the purchase of Common Stock (the “Payroll Withholding Rate”). Such portion shall be a percentage of the Eligible Employee's Compensation, but not more than 15% or such lesser percentage established by the Committee from time to time. In no event may a Participant contribute more than 15% of his or her Compensation during a calendar year for the purchase of shares of Common Stock under the Plan.</w:t>
      </w:r>
    </w:p>
    <w:p>
      <w:pPr>
        <w:spacing w:after="0" w:line="19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4.3   CHANGING WITHHOLDING RATE.</w:t>
      </w:r>
    </w:p>
    <w:p>
      <w:pPr>
        <w:sectPr>
          <w:pgSz w:w="11900" w:h="16838" w:orient="portrait"/>
          <w:cols w:equalWidth="0" w:num="1">
            <w:col w:w="10820"/>
          </w:cols>
          <w:pgMar w:left="240" w:top="368" w:right="839" w:bottom="0" w:gutter="0" w:footer="0" w:header="0"/>
        </w:sectPr>
      </w:pPr>
    </w:p>
    <w:bookmarkStart w:id="26" w:name="page27"/>
    <w:bookmarkEnd w:id="26"/>
    <w:p>
      <w:pPr>
        <w:jc w:val="both"/>
        <w:ind w:left="980" w:right="20"/>
        <w:spacing w:after="0" w:line="255" w:lineRule="auto"/>
        <w:rPr>
          <w:sz w:val="20"/>
          <w:szCs w:val="20"/>
          <w:color w:val="auto"/>
        </w:rPr>
      </w:pPr>
      <w:r>
        <w:rPr>
          <w:rFonts w:ascii="Arial" w:cs="Arial" w:eastAsia="Arial" w:hAnsi="Arial"/>
          <w:sz w:val="18"/>
          <w:szCs w:val="18"/>
          <w:color w:val="auto"/>
        </w:rPr>
        <w:t>No increases in the Payroll Withholding Rate may be made during an Offering Period. A Participant may elect to make one decrease in the Payroll Withholding Rate during an Offering Period, which change shall become effective as soon as reasonably practical after a new enrollment form has been received by the Corporation. Otherwise, if a Participant wishes to change the Payroll Withholding Rate, he or she may do so by filing a new enrollment form with the Corporation at the prescribed location not less than ten business days before the Offering Date as of which such increase or decrease is to be effective. The new Payroll Withholding Rate shall be a percentage of the Participant’s Compensation, not more than 15%.</w:t>
      </w:r>
    </w:p>
    <w:p>
      <w:pPr>
        <w:spacing w:after="0" w:line="19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DISCONTINUING PAYROLL DEDUCTIONS.</w:t>
      </w:r>
    </w:p>
    <w:p>
      <w:pPr>
        <w:spacing w:after="0" w:line="23" w:lineRule="exact"/>
        <w:rPr>
          <w:sz w:val="20"/>
          <w:szCs w:val="20"/>
          <w:color w:val="auto"/>
        </w:rPr>
      </w:pPr>
    </w:p>
    <w:p>
      <w:pPr>
        <w:jc w:val="both"/>
        <w:ind w:left="980" w:right="20"/>
        <w:spacing w:after="0" w:line="253" w:lineRule="auto"/>
        <w:rPr>
          <w:sz w:val="20"/>
          <w:szCs w:val="20"/>
          <w:color w:val="auto"/>
        </w:rPr>
      </w:pPr>
      <w:r>
        <w:rPr>
          <w:rFonts w:ascii="Arial" w:cs="Arial" w:eastAsia="Arial" w:hAnsi="Arial"/>
          <w:sz w:val="18"/>
          <w:szCs w:val="18"/>
          <w:color w:val="auto"/>
        </w:rPr>
        <w:t>If a Participant wishes to discontinue employee contributions entirely, he or she may do so by filing a new enrollment form with the Corporation at the prescribed location at any time. Payroll withholding shall cease as soon as reasonably practicable after such form has been received by the Corporation. (In addition, employee contributions may be discontinued automatically pursuant to Section 8.2.) A Participant who has discontinued employee contributions may resume such contributions by filing a new enrollment form with the Corporation pursuant to Section 3.3 above.</w:t>
      </w:r>
    </w:p>
    <w:p>
      <w:pPr>
        <w:spacing w:after="0" w:line="18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THE PLAN</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5.1   WITHDRAWAL.</w:t>
      </w:r>
    </w:p>
    <w:p>
      <w:pPr>
        <w:spacing w:after="0" w:line="23" w:lineRule="exact"/>
        <w:rPr>
          <w:rFonts w:ascii="Arial" w:cs="Arial" w:eastAsia="Arial" w:hAnsi="Arial"/>
          <w:sz w:val="18"/>
          <w:szCs w:val="18"/>
          <w:b w:val="1"/>
          <w:bCs w:val="1"/>
          <w:color w:val="auto"/>
        </w:rPr>
      </w:pPr>
    </w:p>
    <w:p>
      <w:pPr>
        <w:jc w:val="both"/>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Participant may elect to withdraw from the Plan by filing the prescribed form with the Corporation at the prescribed location at any time before the last day of a Contribution Period. As soon as reasonably practicable thereafter, payroll deductions shall cease, and the entire amount credited to the Participant's Plan Account shall be refunded to him or her in cash, without interest. No partial withdrawals shall be permitted.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RE-ENROLLMENT AFTER WITHDRAWAL.</w:t>
      </w:r>
    </w:p>
    <w:p>
      <w:pPr>
        <w:spacing w:after="0" w:line="23"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A former Participant who has withdrawn from the Plan shall not be a Participant until he or she re-enrolls in the Plan under Section 3.3. Re-enrollment may be effective only at the commencement of an Offering Period.</w:t>
      </w:r>
    </w:p>
    <w:p>
      <w:pPr>
        <w:spacing w:after="0" w:line="18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EMPLOYMENT STATUS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6.1   TERMINATION OF EMPLOYMENT.</w:t>
      </w:r>
    </w:p>
    <w:p>
      <w:pPr>
        <w:spacing w:after="0" w:line="23" w:lineRule="exact"/>
        <w:rPr>
          <w:rFonts w:ascii="Arial" w:cs="Arial" w:eastAsia="Arial" w:hAnsi="Arial"/>
          <w:sz w:val="18"/>
          <w:szCs w:val="18"/>
          <w:b w:val="1"/>
          <w:bCs w:val="1"/>
          <w:color w:val="auto"/>
        </w:rPr>
      </w:pPr>
    </w:p>
    <w:p>
      <w:pPr>
        <w:jc w:val="both"/>
        <w:ind w:left="9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Termination of employment as an Eligible Employee for any reason, including death, shall be automatically treated as a withdrawal from the Plan under Section 5.1. (A transfer from one Participating Corporation to another shall not be treated as a termination of employment.)</w:t>
      </w:r>
    </w:p>
    <w:p>
      <w:pPr>
        <w:spacing w:after="0" w:line="1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6.2   DEATH.</w:t>
      </w:r>
    </w:p>
    <w:p>
      <w:pPr>
        <w:spacing w:after="0" w:line="23" w:lineRule="exact"/>
        <w:rPr>
          <w:rFonts w:ascii="Arial" w:cs="Arial" w:eastAsia="Arial" w:hAnsi="Arial"/>
          <w:sz w:val="18"/>
          <w:szCs w:val="18"/>
          <w:b w:val="1"/>
          <w:bCs w:val="1"/>
          <w:color w:val="auto"/>
        </w:rPr>
      </w:pPr>
    </w:p>
    <w:p>
      <w:pPr>
        <w:jc w:val="both"/>
        <w:ind w:left="98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the Participant's death, the amount credited to his or her Plan Account shall be paid to a beneficiary designated by him or her for this purpose on the prescribed form or, if none, to the Participant's estate. Such form shall be valid only if it was filed with the Corporation at the prescribed location before the Participant's death.</w:t>
      </w:r>
    </w:p>
    <w:p>
      <w:pPr>
        <w:spacing w:after="0" w:line="186" w:lineRule="exact"/>
        <w:rPr>
          <w:rFonts w:ascii="Arial" w:cs="Arial" w:eastAsia="Arial" w:hAnsi="Arial"/>
          <w:sz w:val="18"/>
          <w:szCs w:val="18"/>
          <w:b w:val="1"/>
          <w:bCs w:val="1"/>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PLAN ACCOUNTS AND PURCHASE OF SHARES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7.1   PLAN ACCOUNTS.</w:t>
      </w:r>
    </w:p>
    <w:p>
      <w:pPr>
        <w:spacing w:after="0" w:line="23" w:lineRule="exact"/>
        <w:rPr>
          <w:rFonts w:ascii="Arial" w:cs="Arial" w:eastAsia="Arial" w:hAnsi="Arial"/>
          <w:sz w:val="18"/>
          <w:szCs w:val="18"/>
          <w:b w:val="1"/>
          <w:bCs w:val="1"/>
          <w:color w:val="auto"/>
        </w:rPr>
      </w:pPr>
    </w:p>
    <w:p>
      <w:pPr>
        <w:jc w:val="both"/>
        <w:ind w:left="98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Corporation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Corporation’s general assets and applied to general corporate purposes. A Participant may not make any separate cash payment or contribution to his or her Plan Account. No interest shall be credited to Plan Accounts.</w:t>
      </w:r>
    </w:p>
    <w:p>
      <w:pPr>
        <w:spacing w:after="0" w:line="19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PURCHASE PRICE.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Purchase Price for each share of Common Stock purchased at the Termination Date of an Offering Period shall be the lower of:</w:t>
      </w:r>
    </w:p>
    <w:p>
      <w:pPr>
        <w:spacing w:after="0" w:line="23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85% of the Fair Market Value of such share on the last trading day in such Offering Period; or</w:t>
      </w:r>
    </w:p>
    <w:p>
      <w:pPr>
        <w:spacing w:after="0" w:line="22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85% of the Fair Market Value of such share on the last trading day before the Offering Date.</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NUMBER OF SHARES PURCHASED.</w:t>
      </w:r>
    </w:p>
    <w:p>
      <w:pPr>
        <w:spacing w:after="0" w:line="23" w:lineRule="exact"/>
        <w:rPr>
          <w:sz w:val="20"/>
          <w:szCs w:val="20"/>
          <w:color w:val="auto"/>
        </w:rPr>
      </w:pPr>
    </w:p>
    <w:p>
      <w:pPr>
        <w:jc w:val="both"/>
        <w:ind w:left="980"/>
        <w:spacing w:after="0" w:line="268" w:lineRule="auto"/>
        <w:rPr>
          <w:sz w:val="20"/>
          <w:szCs w:val="20"/>
          <w:color w:val="auto"/>
        </w:rPr>
      </w:pPr>
      <w:r>
        <w:rPr>
          <w:rFonts w:ascii="Arial" w:cs="Arial" w:eastAsia="Arial" w:hAnsi="Arial"/>
          <w:sz w:val="17"/>
          <w:szCs w:val="17"/>
          <w:color w:val="auto"/>
        </w:rPr>
        <w:t>As of the Termination Date of each Offering Period, each Participant shall be deemed to have elected to purchase the number of shares of Common Stock calculated in accordance with this Section 7.3, unless the Participant’s participation has terminated, through withdrawal or otherwise, in accorandance with Section 5.1 or Section 6. The amount then in the Participant's Plan Account shall be divided by the Purchase Price, and the whole number of shares that results shall be purchased from the Corporation with the funds in the Participant's Plan Account. The foregoing notwithstanding, no Participant shall purchase more than 4,000 shares of Common Stock with respect to any Contribution Period nor more than the amounts of Common Stock set forth in Sections 8.2 and 13.1. Notwithstanding the foregoing, t he Committee may determine with respect to all Participants that any fractional share, as calculated under this Section 7.3, shall be (i) rounded down to the next lower whole share or (ii) credited as a fractional share.</w:t>
      </w:r>
    </w:p>
    <w:p>
      <w:pPr>
        <w:spacing w:after="0" w:line="18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AVAILABLE SHARES INSUFFICIENT.</w:t>
      </w:r>
    </w:p>
    <w:p>
      <w:pPr>
        <w:spacing w:after="0" w:line="23"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In the event that the aggregate number of shares that all Participants are to purchase on any Termination Date exceeds the maximum number of shares remaining available for issuance under Section 13.1, then the number of shares to which each Participant is entitled shall be determined by multiplying the number of shares available for issuance by a fraction, the numerator of which is the number of shares that such Participant has elected to purchase on the Termination Date and the denominator of which is the number of shares that all Participants have elected to purchase on the Termination Date. In such event, the Corporation shall give written notice of such reduction of the number of shares subject to the option to each Participant affected thereby.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bookmarkStart w:id="27" w:name="page28"/>
    <w:bookmarkEnd w:id="27"/>
    <w:p>
      <w:pPr>
        <w:ind w:left="500"/>
        <w:spacing w:after="0"/>
        <w:tabs>
          <w:tab w:leader="none" w:pos="9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ISSUANCE OF COMMON STOCK CERTIFICATES.</w:t>
      </w:r>
    </w:p>
    <w:p>
      <w:pPr>
        <w:spacing w:after="0" w:line="23"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Certificates representing the shares of Common Stock purchased by a Participant under the Plan shall be issued to him or her as soon as reasonably practicable after the Termination Date of each Offering Period, except that the Committee may determine that such shares shall be held for each Participant's benefit by a broker designated by the Committee (unless the Participant has elected that certificates be issued directly to him or her). Shares may be registered in the name of the Participant or jointly in the name of the Participant and his or her spouse as joint tenants with right of survivorship or as community property. The Committee may impose such restrictions on the transfer or resale of issued shares as it may deem advisable.</w:t>
      </w:r>
    </w:p>
    <w:p>
      <w:pPr>
        <w:spacing w:after="0" w:line="17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RESTRICTED RESALE OF SHARES ACQUIRED UNDER PLAN.</w:t>
      </w:r>
    </w:p>
    <w:p>
      <w:pPr>
        <w:spacing w:after="0" w:line="23" w:lineRule="exact"/>
        <w:rPr>
          <w:sz w:val="20"/>
          <w:szCs w:val="20"/>
          <w:color w:val="auto"/>
        </w:rPr>
      </w:pPr>
    </w:p>
    <w:p>
      <w:pPr>
        <w:jc w:val="both"/>
        <w:ind w:left="980" w:right="20"/>
        <w:spacing w:after="0" w:line="255" w:lineRule="auto"/>
        <w:rPr>
          <w:sz w:val="20"/>
          <w:szCs w:val="20"/>
          <w:color w:val="auto"/>
        </w:rPr>
      </w:pPr>
      <w:r>
        <w:rPr>
          <w:rFonts w:ascii="Arial" w:cs="Arial" w:eastAsia="Arial" w:hAnsi="Arial"/>
          <w:sz w:val="18"/>
          <w:szCs w:val="18"/>
          <w:color w:val="auto"/>
        </w:rPr>
        <w:t>Notwithstanding anything else set forth herein, shares of Common Stock acquired under this Plan may not be resold or transferred for a period of one year after the date of purchase. Certificates for shares issued under this Plan shall contain an appropriate legend identifying such restriction on resale.</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UNUSED CASH BALANCES.</w:t>
      </w:r>
    </w:p>
    <w:p>
      <w:pPr>
        <w:spacing w:after="0" w:line="23"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An amount remaining in the Participant's Plan Account that represents the Purchase Price for any fractional share shall be carried over in the Participant's Plan Account to the next Offering Period. Any amount remaining in the Participant's Plan Account that represents the Purchase Price for whole shares that could not be purchased by reason of Section 7.4 above, Section 8.2 or Section 13.1 shall be refunded to the Participant in cash, without interest.</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STOCKHOLDER APPROVAL.</w:t>
      </w:r>
    </w:p>
    <w:p>
      <w:pPr>
        <w:spacing w:after="0" w:line="23" w:lineRule="exact"/>
        <w:rPr>
          <w:sz w:val="20"/>
          <w:szCs w:val="20"/>
          <w:color w:val="auto"/>
        </w:rPr>
      </w:pPr>
    </w:p>
    <w:p>
      <w:pPr>
        <w:jc w:val="both"/>
        <w:ind w:left="980" w:right="20"/>
        <w:spacing w:after="0" w:line="261" w:lineRule="auto"/>
        <w:rPr>
          <w:sz w:val="20"/>
          <w:szCs w:val="20"/>
          <w:color w:val="auto"/>
        </w:rPr>
      </w:pPr>
      <w:r>
        <w:rPr>
          <w:rFonts w:ascii="Arial" w:cs="Arial" w:eastAsia="Arial" w:hAnsi="Arial"/>
          <w:sz w:val="18"/>
          <w:szCs w:val="18"/>
          <w:color w:val="auto"/>
        </w:rPr>
        <w:t>Any other provision of the Plan notwithstanding, no shares of Common Stock shall be purchased under the Plan unless and until the Corporation's stockholders have approved the adoption of the Plan.</w:t>
      </w:r>
    </w:p>
    <w:p>
      <w:pPr>
        <w:spacing w:after="0" w:line="180"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STOCK OWNERSHIP</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8.1   FIVE PERCENT LIMIT.</w:t>
      </w:r>
    </w:p>
    <w:p>
      <w:pPr>
        <w:spacing w:after="0" w:line="23" w:lineRule="exact"/>
        <w:rPr>
          <w:rFonts w:ascii="Arial" w:cs="Arial" w:eastAsia="Arial" w:hAnsi="Arial"/>
          <w:sz w:val="18"/>
          <w:szCs w:val="18"/>
          <w:b w:val="1"/>
          <w:bCs w:val="1"/>
          <w:color w:val="auto"/>
        </w:rPr>
      </w:pPr>
    </w:p>
    <w:p>
      <w:pPr>
        <w:jc w:val="both"/>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Any other provision of the Plan notwithstanding, no Participant shall be granted a right to purchase Common Stock under the Plan if such Participant, immediately after his or her election to purchase such Common Stock, would own stock possessing more than 5% of the total combined voting power or value of all classes of stock of the Corporation or any parent or Subsidiary of the Corporation. For purposes of this Section 8.1, the following rules shall apply:</w:t>
      </w:r>
    </w:p>
    <w:p>
      <w:pPr>
        <w:spacing w:after="0" w:line="190"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Ownership of stock shall be determined after applying the attribution rules of section 424(d) of the Code;</w:t>
      </w:r>
    </w:p>
    <w:p>
      <w:pPr>
        <w:spacing w:after="0" w:line="225" w:lineRule="exact"/>
        <w:rPr>
          <w:sz w:val="20"/>
          <w:szCs w:val="20"/>
          <w:color w:val="auto"/>
        </w:rPr>
      </w:pPr>
    </w:p>
    <w:p>
      <w:pPr>
        <w:jc w:val="both"/>
        <w:ind w:left="1620" w:right="20" w:hanging="647"/>
        <w:spacing w:after="0" w:line="277" w:lineRule="auto"/>
        <w:tabs>
          <w:tab w:leader="none" w:pos="16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Each Participant shall be deemed to own any stock that he or she has a right or option to purchase under this or any other plan; and</w:t>
      </w:r>
    </w:p>
    <w:p>
      <w:pPr>
        <w:spacing w:after="0" w:line="170" w:lineRule="exact"/>
        <w:rPr>
          <w:sz w:val="20"/>
          <w:szCs w:val="20"/>
          <w:color w:val="auto"/>
        </w:rPr>
      </w:pPr>
    </w:p>
    <w:p>
      <w:pPr>
        <w:jc w:val="both"/>
        <w:ind w:left="1620" w:hanging="647"/>
        <w:spacing w:after="0" w:line="277" w:lineRule="auto"/>
        <w:tabs>
          <w:tab w:leader="none" w:pos="16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Each Participant shall be deemed to have the right to purchase no more than 4,000 shares of Common Stock under this Plan with respect to each Offering Period.</w:t>
      </w:r>
    </w:p>
    <w:p>
      <w:pPr>
        <w:spacing w:after="0" w:line="17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8.2</w:t>
        <w:tab/>
        <w:t>DOLLAR LIMIT.</w:t>
      </w:r>
    </w:p>
    <w:p>
      <w:pPr>
        <w:spacing w:after="0" w:line="23" w:lineRule="exact"/>
        <w:rPr>
          <w:sz w:val="20"/>
          <w:szCs w:val="20"/>
          <w:color w:val="auto"/>
        </w:rPr>
      </w:pPr>
    </w:p>
    <w:p>
      <w:pPr>
        <w:jc w:val="both"/>
        <w:ind w:left="980" w:right="20"/>
        <w:spacing w:after="0" w:line="273" w:lineRule="auto"/>
        <w:rPr>
          <w:sz w:val="20"/>
          <w:szCs w:val="20"/>
          <w:color w:val="auto"/>
        </w:rPr>
      </w:pPr>
      <w:r>
        <w:rPr>
          <w:rFonts w:ascii="Arial" w:cs="Arial" w:eastAsia="Arial" w:hAnsi="Arial"/>
          <w:sz w:val="17"/>
          <w:szCs w:val="17"/>
          <w:color w:val="auto"/>
        </w:rPr>
        <w:t>Any other provision of the Plan notwithstanding, no Participant shall acquire a right to purchase Common Stock which permits his rights to purchase stock under all “employee purchase plans (as such term is defined in Section 423 of the Code) of the Corporation and its parent and Subsidiary corporations to accrue at a rate which exceeds $25,000 of the Fair Market Value of such stock (determined at the time the right was granted) for each calendar year in which such right is outstanding at any time.</w:t>
      </w:r>
    </w:p>
    <w:p>
      <w:pPr>
        <w:spacing w:after="0" w:line="177" w:lineRule="exact"/>
        <w:rPr>
          <w:sz w:val="20"/>
          <w:szCs w:val="20"/>
          <w:color w:val="auto"/>
        </w:rPr>
      </w:pPr>
    </w:p>
    <w:p>
      <w:pPr>
        <w:jc w:val="both"/>
        <w:ind w:left="980"/>
        <w:spacing w:after="0" w:line="276" w:lineRule="auto"/>
        <w:rPr>
          <w:sz w:val="20"/>
          <w:szCs w:val="20"/>
          <w:color w:val="auto"/>
        </w:rPr>
      </w:pPr>
      <w:r>
        <w:rPr>
          <w:rFonts w:ascii="Arial" w:cs="Arial" w:eastAsia="Arial" w:hAnsi="Arial"/>
          <w:sz w:val="17"/>
          <w:szCs w:val="17"/>
          <w:color w:val="auto"/>
        </w:rPr>
        <w:t>For purposes of this Section 8.2, the Fair Market Value of Common Stock shall be determined in each case as of the Offering Date of the Offering Period in which such Common Stock is purchased. Employee stock purchase plans not described in section 423 of the Code shall be disregarded. If a Participant is precluded by this Section 8.2 from purchasing additional Common Stock under the Plan, then his or her employee contributions shall automatically be discontinued and shall resume at the beginning of the earliest Contribution Period ending in the next calendar year (if he or she then is an Eligible Employee).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RIGHTS NOT TRANSFERABLE</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rights of any Participant under the Plan, or any Participant's interest in any Common Stock or moneys to which he or she may be entitled under the Plan, shall not be transferable by voluntary or involuntary assignment or by operation of law, or in any other manner other than by beneficiary designation, will or the laws of descent and distribution. If a Participant in any manner attempts to transfer, assign or otherwise encumber his or her rights or interest under the Plan, other than by beneficiary designation, will or the laws of descent and distribution, then such act shall be treated as an election by the Participant to withdraw from the Plan under Section 5.1.</w:t>
      </w:r>
    </w:p>
    <w:p>
      <w:pPr>
        <w:spacing w:after="0" w:line="184"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Nothing in the Plan or in any right granted under the Plan shall confer upon the Participant any right to continue in the employ of a Participating Corporation for any period of specific duration or interfere with or otherwise restrict in any way the rights of the Participating Corporations or of the Participant, which rights are hereby expressly reserved by each, to terminate his or her employment at any time and for any reason, with or without cause.</w:t>
      </w:r>
    </w:p>
    <w:p>
      <w:pPr>
        <w:spacing w:after="0" w:line="183"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Participant shall have no rights as a stockholder with respect to any shares of Common Stock that he or she may have a right to purchase under the Plan until such shares have been purchased on the Termination Date of the applicable Offering Period.</w:t>
      </w:r>
    </w:p>
    <w:p>
      <w:pPr>
        <w:sectPr>
          <w:pgSz w:w="11900" w:h="16838" w:orient="portrait"/>
          <w:cols w:equalWidth="0" w:num="1">
            <w:col w:w="10820"/>
          </w:cols>
          <w:pgMar w:left="240" w:top="341" w:right="839" w:bottom="126" w:gutter="0" w:footer="0" w:header="0"/>
        </w:sectPr>
      </w:pPr>
    </w:p>
    <w:bookmarkStart w:id="28" w:name="page29"/>
    <w:bookmarkEnd w:id="28"/>
    <w:p>
      <w:pPr>
        <w:ind w:right="20"/>
        <w:spacing w:after="0" w:line="342" w:lineRule="auto"/>
        <w:rPr>
          <w:sz w:val="20"/>
          <w:szCs w:val="20"/>
          <w:color w:val="auto"/>
        </w:rPr>
      </w:pPr>
      <w:r>
        <w:rPr>
          <w:rFonts w:ascii="Arial" w:cs="Arial" w:eastAsia="Arial" w:hAnsi="Arial"/>
          <w:sz w:val="16"/>
          <w:szCs w:val="16"/>
          <w:color w:val="auto"/>
        </w:rPr>
        <w:t>Even if the right to purchase shares is granted hereunder to a Participant, this does not mean that the Participant remains further entitled to purchase Common Stock. Such right to purchase Common Stock is granted voluntarily by the Company and may be revoked by the Company at any time.</w:t>
      </w:r>
    </w:p>
    <w:p>
      <w:pPr>
        <w:spacing w:after="0" w:line="120"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REQUIREMENTS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Common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Corporation's securities may then be traded.</w:t>
      </w:r>
    </w:p>
    <w:p>
      <w:pPr>
        <w:spacing w:after="0" w:line="18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OFFERED UNDER THE PLAN</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13.1  AUTHORIZED SHARES.</w:t>
      </w:r>
    </w:p>
    <w:p>
      <w:pPr>
        <w:spacing w:after="0" w:line="23" w:lineRule="exact"/>
        <w:rPr>
          <w:rFonts w:ascii="Arial" w:cs="Arial" w:eastAsia="Arial" w:hAnsi="Arial"/>
          <w:sz w:val="18"/>
          <w:szCs w:val="18"/>
          <w:b w:val="1"/>
          <w:bCs w:val="1"/>
          <w:color w:val="auto"/>
        </w:rPr>
      </w:pPr>
    </w:p>
    <w:p>
      <w:pPr>
        <w:ind w:left="9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aggregate number of shares of Common Stock to be reserved by the Company and available for purchase under the Plan shall be 2,500,000.</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13.2  ANTI-DILUTION ADJUSTMENTS.</w:t>
      </w:r>
    </w:p>
    <w:p>
      <w:pPr>
        <w:spacing w:after="0" w:line="23" w:lineRule="exact"/>
        <w:rPr>
          <w:rFonts w:ascii="Arial" w:cs="Arial" w:eastAsia="Arial" w:hAnsi="Arial"/>
          <w:sz w:val="18"/>
          <w:szCs w:val="18"/>
          <w:b w:val="1"/>
          <w:bCs w:val="1"/>
          <w:color w:val="auto"/>
        </w:rPr>
      </w:pPr>
    </w:p>
    <w:p>
      <w:pPr>
        <w:jc w:val="both"/>
        <w:ind w:left="9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aggregate number of shares of Common Stock offered under the Plan, the number of shares by which the share reserve is to increase each calendar year, the 4,000-share limitation described in Section 7.3 and the price of shares that any Participant has elected to purchase shall be adjusted proportionately by the Committee for any increase or decrease in the number of outstanding shares of Common Stock resulting from a subdivision or consolidation of shares or the payment of a stock dividend, any other increase or decrease in such shares effected without receipt or payment of consideration by the Corporation, the distribution of the shares of a Subsidiary to the Corporation's stockholders or a similar event.</w:t>
      </w:r>
    </w:p>
    <w:p>
      <w:pPr>
        <w:spacing w:after="0" w:line="19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13.3  REORGANIZATIONS.</w:t>
      </w:r>
    </w:p>
    <w:p>
      <w:pPr>
        <w:spacing w:after="0" w:line="23" w:lineRule="exact"/>
        <w:rPr>
          <w:rFonts w:ascii="Arial" w:cs="Arial" w:eastAsia="Arial" w:hAnsi="Arial"/>
          <w:sz w:val="18"/>
          <w:szCs w:val="18"/>
          <w:b w:val="1"/>
          <w:bCs w:val="1"/>
          <w:color w:val="auto"/>
        </w:rPr>
      </w:pPr>
    </w:p>
    <w:p>
      <w:pPr>
        <w:jc w:val="both"/>
        <w:ind w:left="98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Any other provision of the Plan notwithstanding, immediately prior to the effective time of a Change in Control, the Offering Period and Contribution Period then in progress shall terminate and shares shall be purchased pursuant to Section 7. In the event of a merger or consolidation to which the Corporation is a constituent corporation and which does not constitute a Change in Control, the Plan shall continue unless the plan of merger or consolidation provides otherwise. The Plan shall in no event be construed to restrict in any way the Corporation's right to undertake a dissolution, liquidation, merger, consolidation or other reorganization.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DISCONTINUANCE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 may be amended by the Board from time to time to the extent that the Board deems necessary or appropriate in light of, and consistent with, Section 423 of the Code; provided, however, that no such amendment shall be effective without approval of the shareholders of the Corporation if shareholder approval of such amendment is then required under Rule 16b-3 under the Exchange Act or any successor rule or Section 423 of the Code or any other applicable law or regulation.. The Board shall have the right to amend, suspend or terminate the Plan at any time and without notice; provided, however, that the Board shall not have the right to modify, cancel or amend any outstanding right to purchase Common Stock hereunder before such termination unless each Participant consents in writing.</w:t>
      </w:r>
    </w:p>
    <w:p>
      <w:pPr>
        <w:spacing w:after="0" w:line="17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15.1  “BOARD”</w:t>
      </w:r>
    </w:p>
    <w:p>
      <w:pPr>
        <w:spacing w:after="0" w:line="23"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Means the Board of Directors of the Corporation, as constituted from time to time.</w:t>
      </w: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“CHANGE IN CONTROL”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1800" w:right="20" w:hanging="809"/>
        <w:spacing w:after="0" w:line="279" w:lineRule="auto"/>
        <w:tabs>
          <w:tab w:leader="none" w:pos="178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7"/>
          <w:szCs w:val="17"/>
          <w:color w:val="auto"/>
        </w:rPr>
        <w:t>The consummation of a merger or consolidation of the Corporation with or into another entity or any other corporate reorganization, if more than 50% of the combined voting power of the continuing or surviving entity's securities outstanding immediately after such merger, consolidation or other reorganization is owned by persons who were not stockholders of the Corporation immediately prior to such merger, consolidation or other reorganization;</w:t>
      </w:r>
    </w:p>
    <w:p>
      <w:pPr>
        <w:spacing w:after="0" w:line="171" w:lineRule="exact"/>
        <w:rPr>
          <w:sz w:val="20"/>
          <w:szCs w:val="20"/>
          <w:color w:val="auto"/>
        </w:rPr>
      </w:pPr>
    </w:p>
    <w:p>
      <w:pPr>
        <w:ind w:left="980"/>
        <w:spacing w:after="0"/>
        <w:tabs>
          <w:tab w:leader="none" w:pos="17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The sale, transfer or other disposition of all or substantially all of the Corporation's assets;</w:t>
      </w:r>
    </w:p>
    <w:p>
      <w:pPr>
        <w:spacing w:after="0" w:line="225" w:lineRule="exact"/>
        <w:rPr>
          <w:sz w:val="20"/>
          <w:szCs w:val="20"/>
          <w:color w:val="auto"/>
        </w:rPr>
      </w:pPr>
    </w:p>
    <w:p>
      <w:pPr>
        <w:jc w:val="both"/>
        <w:ind w:left="1800" w:right="20" w:hanging="809"/>
        <w:spacing w:after="0" w:line="276" w:lineRule="auto"/>
        <w:tabs>
          <w:tab w:leader="none" w:pos="178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7"/>
          <w:szCs w:val="17"/>
          <w:color w:val="auto"/>
        </w:rPr>
        <w:t>A change in the composition of the Board as a result of which fewer than two-thirds of the incumbent directors are directors who either (i) had been directors of the Corporation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73" w:lineRule="exact"/>
        <w:rPr>
          <w:sz w:val="20"/>
          <w:szCs w:val="20"/>
          <w:color w:val="auto"/>
        </w:rPr>
      </w:pPr>
    </w:p>
    <w:p>
      <w:pPr>
        <w:jc w:val="both"/>
        <w:ind w:left="1800" w:hanging="809"/>
        <w:spacing w:after="0" w:line="255" w:lineRule="auto"/>
        <w:tabs>
          <w:tab w:leader="none" w:pos="1780"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8"/>
          <w:szCs w:val="18"/>
          <w:color w:val="auto"/>
        </w:rPr>
        <w:t>Any transaction as a result of which any person is the “beneficial owner” (as defined in Rule 13d-3 under the Exchange Act), directly or indirectly, of securities of the Corporation representing at least 50% of the total voting power represented by the Corporation's then outstanding voting securities. For purposes of this Section 15.2.2 , the term “person” shall have the same meaning as when used in sections 13(d) and 14(d) of the Exchange Act but shall exclude (i) a trustee or other fiduciary holding securities under an employee benefit plan of the Corporation or of a Parent or Subsidiary and (ii) a corporation owned directly or indirectly by the stockholders of the Corporation in substantially the same proportions as their ownership of the common stock of the Corporation.</w:t>
      </w:r>
    </w:p>
    <w:p>
      <w:pPr>
        <w:spacing w:after="0" w:line="189"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A transaction shall not constitute a Change in Control if its sole purpose is to change the state of the Corporation's incorporation or to create a holding company that will be owned in substantially the same proportions by the persons who held the Corporation's securities immediately before such transaction.</w:t>
      </w:r>
    </w:p>
    <w:p>
      <w:pPr>
        <w:sectPr>
          <w:pgSz w:w="11900" w:h="16838" w:orient="portrait"/>
          <w:cols w:equalWidth="0" w:num="1">
            <w:col w:w="10820"/>
          </w:cols>
          <w:pgMar w:left="240" w:top="125" w:right="839" w:bottom="0" w:gutter="0" w:footer="0" w:header="0"/>
        </w:sectPr>
      </w:pPr>
    </w:p>
    <w:bookmarkStart w:id="29" w:name="page30"/>
    <w:bookmarkEnd w:id="29"/>
    <w:p>
      <w:pPr>
        <w:spacing w:after="0"/>
        <w:tabs>
          <w:tab w:leader="none" w:pos="460" w:val="left"/>
        </w:tabs>
        <w:rPr>
          <w:sz w:val="20"/>
          <w:szCs w:val="20"/>
          <w:color w:val="auto"/>
        </w:rPr>
      </w:pPr>
      <w:r>
        <w:rPr>
          <w:rFonts w:ascii="Arial" w:cs="Arial" w:eastAsia="Arial" w:hAnsi="Arial"/>
          <w:sz w:val="18"/>
          <w:szCs w:val="18"/>
          <w:color w:val="auto"/>
        </w:rPr>
        <w:t>15.3</w:t>
        <w:tab/>
        <w:t>“CODE”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Internal Revenue Code of 1986, as amended.</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15.4</w:t>
        <w:tab/>
        <w:t>“COMMITTEE”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Compensation Committee of the Board, as described in Section 2.</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color w:val="auto"/>
        </w:rPr>
        <w:t>“COMMON STOCK”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common stock of the Corporation.</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“CONTRIBUTION PERIOD”</w:t>
      </w:r>
    </w:p>
    <w:p>
      <w:pPr>
        <w:spacing w:after="0" w:line="23" w:lineRule="exact"/>
        <w:rPr>
          <w:sz w:val="20"/>
          <w:szCs w:val="20"/>
          <w:color w:val="auto"/>
        </w:rPr>
      </w:pPr>
    </w:p>
    <w:p>
      <w:pPr>
        <w:jc w:val="both"/>
        <w:ind w:left="480" w:right="20"/>
        <w:spacing w:after="0" w:line="261" w:lineRule="auto"/>
        <w:rPr>
          <w:sz w:val="20"/>
          <w:szCs w:val="20"/>
          <w:color w:val="auto"/>
        </w:rPr>
      </w:pPr>
      <w:r>
        <w:rPr>
          <w:rFonts w:ascii="Arial" w:cs="Arial" w:eastAsia="Arial" w:hAnsi="Arial"/>
          <w:sz w:val="18"/>
          <w:szCs w:val="18"/>
          <w:color w:val="auto"/>
        </w:rPr>
        <w:t>Means a six-month period during which contributions may be made toward the purchase of Common Stock under the Plan, as determined pursuant to Section 3.2.</w:t>
      </w:r>
    </w:p>
    <w:p>
      <w:pPr>
        <w:spacing w:after="0" w:line="18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6882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“CORPORATION”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Daktronics, Inc., a South Dakota corporation.</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“COMPENSATION”</w:t>
      </w:r>
    </w:p>
    <w:p>
      <w:pPr>
        <w:spacing w:after="0" w:line="23" w:lineRule="exact"/>
        <w:rPr>
          <w:sz w:val="20"/>
          <w:szCs w:val="20"/>
          <w:color w:val="auto"/>
        </w:rPr>
      </w:pPr>
    </w:p>
    <w:p>
      <w:pPr>
        <w:jc w:val="both"/>
        <w:ind w:left="480"/>
        <w:spacing w:after="0" w:line="269" w:lineRule="auto"/>
        <w:rPr>
          <w:sz w:val="20"/>
          <w:szCs w:val="20"/>
          <w:color w:val="auto"/>
        </w:rPr>
      </w:pPr>
      <w:r>
        <w:rPr>
          <w:rFonts w:ascii="Arial" w:cs="Arial" w:eastAsia="Arial" w:hAnsi="Arial"/>
          <w:sz w:val="17"/>
          <w:szCs w:val="17"/>
          <w:color w:val="auto"/>
        </w:rPr>
        <w:t>Means (i) the total compensation paid in cash to a Participant by a Participating Corporation, including salaries, wages, bonuses, incentive compensation, commissions, overtime pay and shift premiums, plus (ii) any pre-tax contributions made by the Participant under section 401(k) or 125 of the Code. “Compensation” shall exclude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 Committee shall determine whether a particular item is included in Compensation, determined in a manner consistent with t he requirements of Section 423 of the Code.</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15.9</w:t>
        <w:tab/>
        <w:t>“ELIGIBLE EMPLOYEE”</w:t>
      </w:r>
    </w:p>
    <w:p>
      <w:pPr>
        <w:spacing w:after="0" w:line="23" w:lineRule="exact"/>
        <w:rPr>
          <w:sz w:val="20"/>
          <w:szCs w:val="20"/>
          <w:color w:val="auto"/>
        </w:rPr>
      </w:pPr>
    </w:p>
    <w:p>
      <w:pPr>
        <w:jc w:val="both"/>
        <w:ind w:left="480" w:right="20"/>
        <w:spacing w:after="0" w:line="255" w:lineRule="auto"/>
        <w:rPr>
          <w:sz w:val="20"/>
          <w:szCs w:val="20"/>
          <w:color w:val="auto"/>
        </w:rPr>
      </w:pPr>
      <w:r>
        <w:rPr>
          <w:rFonts w:ascii="Arial" w:cs="Arial" w:eastAsia="Arial" w:hAnsi="Arial"/>
          <w:sz w:val="18"/>
          <w:szCs w:val="18"/>
          <w:color w:val="auto"/>
        </w:rPr>
        <w:t>Means any employee of a Participating Corporation whose customary employment is for more than five months per calendar year and for more than 20 hours per week provided that such employee has been employed by any Participating Corporation for a continuous period of six (6) months preceding an applicable Offering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15.10 “EXCHANGE ACT”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15.11 “FAIR MARKET VALUE”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market price of Common Stock, determined by the Committee as follows:</w:t>
      </w:r>
    </w:p>
    <w:p>
      <w:pPr>
        <w:spacing w:after="0" w:line="211" w:lineRule="exact"/>
        <w:rPr>
          <w:sz w:val="20"/>
          <w:szCs w:val="20"/>
          <w:color w:val="auto"/>
        </w:rPr>
      </w:pPr>
    </w:p>
    <w:p>
      <w:pPr>
        <w:jc w:val="both"/>
        <w:ind w:left="1300" w:right="20" w:hanging="809"/>
        <w:spacing w:after="0" w:line="257" w:lineRule="auto"/>
        <w:tabs>
          <w:tab w:leader="none" w:pos="1280" w:val="left"/>
        </w:tabs>
        <w:rPr>
          <w:sz w:val="20"/>
          <w:szCs w:val="20"/>
          <w:color w:val="auto"/>
        </w:rPr>
      </w:pPr>
      <w:r>
        <w:rPr>
          <w:rFonts w:ascii="Arial" w:cs="Arial" w:eastAsia="Arial" w:hAnsi="Arial"/>
          <w:sz w:val="18"/>
          <w:szCs w:val="18"/>
          <w:color w:val="auto"/>
        </w:rPr>
        <w:t>15.11.1</w:t>
      </w:r>
      <w:r>
        <w:rPr>
          <w:sz w:val="20"/>
          <w:szCs w:val="20"/>
          <w:color w:val="auto"/>
        </w:rPr>
        <w:tab/>
      </w:r>
      <w:r>
        <w:rPr>
          <w:rFonts w:ascii="Arial" w:cs="Arial" w:eastAsia="Arial" w:hAnsi="Arial"/>
          <w:sz w:val="18"/>
          <w:szCs w:val="18"/>
          <w:color w:val="auto"/>
        </w:rPr>
        <w:t>If the Common Stock was traded over-the-counter on the date in question but was not traded on The Nasdaq National Market or The Nasdaq SmallCap Market, then the Fair Market Value shall be equal to the mean between the last reported representative bid and asked prices quoted for such date by the principal automated inter-dealer quotation system on which the Common Stock was quoted or, if the Common Stock was not quoted on any such system, by the “Pink Sheets” published by Pink Sheets LLC;</w:t>
      </w:r>
    </w:p>
    <w:p>
      <w:pPr>
        <w:spacing w:after="0" w:line="188" w:lineRule="exact"/>
        <w:rPr>
          <w:sz w:val="20"/>
          <w:szCs w:val="20"/>
          <w:color w:val="auto"/>
        </w:rPr>
      </w:pPr>
    </w:p>
    <w:p>
      <w:pPr>
        <w:jc w:val="both"/>
        <w:ind w:left="1300" w:right="20" w:hanging="809"/>
        <w:spacing w:after="0" w:line="264" w:lineRule="auto"/>
        <w:tabs>
          <w:tab w:leader="none" w:pos="1280" w:val="left"/>
        </w:tabs>
        <w:rPr>
          <w:sz w:val="20"/>
          <w:szCs w:val="20"/>
          <w:color w:val="auto"/>
        </w:rPr>
      </w:pPr>
      <w:r>
        <w:rPr>
          <w:rFonts w:ascii="Arial" w:cs="Arial" w:eastAsia="Arial" w:hAnsi="Arial"/>
          <w:sz w:val="18"/>
          <w:szCs w:val="18"/>
          <w:color w:val="auto"/>
        </w:rPr>
        <w:t>15.11.2</w:t>
      </w:r>
      <w:r>
        <w:rPr>
          <w:sz w:val="20"/>
          <w:szCs w:val="20"/>
          <w:color w:val="auto"/>
        </w:rPr>
        <w:tab/>
      </w:r>
      <w:r>
        <w:rPr>
          <w:rFonts w:ascii="Arial" w:cs="Arial" w:eastAsia="Arial" w:hAnsi="Arial"/>
          <w:sz w:val="18"/>
          <w:szCs w:val="18"/>
          <w:color w:val="auto"/>
        </w:rPr>
        <w:t>If the Common Stock was traded over-the-counter market on the date in question and was traded on The Nasdaq National Market or The Nasdaq SmallCap Market, then the Fair Market Value shall be equal to the last-transaction price quoted for such date by The Nasdaq National Market or The Nasdaq SmallCap Market;</w:t>
      </w:r>
    </w:p>
    <w:p>
      <w:pPr>
        <w:spacing w:after="0" w:line="181" w:lineRule="exact"/>
        <w:rPr>
          <w:sz w:val="20"/>
          <w:szCs w:val="20"/>
          <w:color w:val="auto"/>
        </w:rPr>
      </w:pPr>
    </w:p>
    <w:p>
      <w:pPr>
        <w:jc w:val="both"/>
        <w:ind w:left="1300" w:right="20" w:hanging="809"/>
        <w:spacing w:after="0" w:line="277" w:lineRule="auto"/>
        <w:tabs>
          <w:tab w:leader="none" w:pos="1280" w:val="left"/>
        </w:tabs>
        <w:rPr>
          <w:sz w:val="20"/>
          <w:szCs w:val="20"/>
          <w:color w:val="auto"/>
        </w:rPr>
      </w:pPr>
      <w:r>
        <w:rPr>
          <w:rFonts w:ascii="Arial" w:cs="Arial" w:eastAsia="Arial" w:hAnsi="Arial"/>
          <w:sz w:val="18"/>
          <w:szCs w:val="18"/>
          <w:color w:val="auto"/>
        </w:rPr>
        <w:t>15.11.3</w:t>
      </w:r>
      <w:r>
        <w:rPr>
          <w:sz w:val="20"/>
          <w:szCs w:val="20"/>
          <w:color w:val="auto"/>
        </w:rPr>
        <w:tab/>
      </w:r>
      <w:r>
        <w:rPr>
          <w:rFonts w:ascii="Arial" w:cs="Arial" w:eastAsia="Arial" w:hAnsi="Arial"/>
          <w:sz w:val="18"/>
          <w:szCs w:val="18"/>
          <w:color w:val="auto"/>
        </w:rPr>
        <w:t>If the Common Stock was traded on a stock exchange on the date in question, then the Fair Market Value shall be equal to the closing price reported by the applicable composite transactions report for such date; or</w:t>
      </w:r>
    </w:p>
    <w:p>
      <w:pPr>
        <w:spacing w:after="0" w:line="170" w:lineRule="exact"/>
        <w:rPr>
          <w:sz w:val="20"/>
          <w:szCs w:val="20"/>
          <w:color w:val="auto"/>
        </w:rPr>
      </w:pPr>
    </w:p>
    <w:p>
      <w:pPr>
        <w:jc w:val="both"/>
        <w:ind w:left="1300" w:right="20" w:hanging="809"/>
        <w:spacing w:after="0" w:line="279" w:lineRule="auto"/>
        <w:tabs>
          <w:tab w:leader="none" w:pos="1280" w:val="left"/>
        </w:tabs>
        <w:rPr>
          <w:sz w:val="20"/>
          <w:szCs w:val="20"/>
          <w:color w:val="auto"/>
        </w:rPr>
      </w:pPr>
      <w:r>
        <w:rPr>
          <w:rFonts w:ascii="Arial" w:cs="Arial" w:eastAsia="Arial" w:hAnsi="Arial"/>
          <w:sz w:val="18"/>
          <w:szCs w:val="18"/>
          <w:color w:val="auto"/>
        </w:rPr>
        <w:t>15.11.4</w:t>
      </w:r>
      <w:r>
        <w:rPr>
          <w:sz w:val="20"/>
          <w:szCs w:val="20"/>
          <w:color w:val="auto"/>
        </w:rPr>
        <w:tab/>
      </w:r>
      <w:r>
        <w:rPr>
          <w:rFonts w:ascii="Arial" w:cs="Arial" w:eastAsia="Arial" w:hAnsi="Arial"/>
          <w:sz w:val="17"/>
          <w:szCs w:val="17"/>
          <w:color w:val="auto"/>
        </w:rPr>
        <w:t>If none of the foregoing provisions is applicable, then the Fair Market Value shall be determined by the Committee in good faith on such basis as it deems appropriate. Whenever possible, the determination of Fair Market Value by the Committee shall be based on the prices reported in THE WALL STREET JOURNAL or as reported directly to the Corporation by Nasdaq or a stock exchange. Such determination shall be conclusive and binding on all persons.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15.12 “OFFERING PERIOD”</w:t>
      </w:r>
    </w:p>
    <w:p>
      <w:pPr>
        <w:spacing w:after="0" w:line="23" w:lineRule="exact"/>
        <w:rPr>
          <w:sz w:val="20"/>
          <w:szCs w:val="20"/>
          <w:color w:val="auto"/>
        </w:rPr>
      </w:pPr>
    </w:p>
    <w:p>
      <w:pPr>
        <w:jc w:val="both"/>
        <w:ind w:left="480" w:right="20"/>
        <w:spacing w:after="0" w:line="261" w:lineRule="auto"/>
        <w:rPr>
          <w:sz w:val="20"/>
          <w:szCs w:val="20"/>
          <w:color w:val="auto"/>
        </w:rPr>
      </w:pPr>
      <w:r>
        <w:rPr>
          <w:rFonts w:ascii="Arial" w:cs="Arial" w:eastAsia="Arial" w:hAnsi="Arial"/>
          <w:sz w:val="18"/>
          <w:szCs w:val="18"/>
          <w:color w:val="auto"/>
        </w:rPr>
        <w:t>Means a six-month period with respect to which the right to purchase Common Stock may be granted under the Plan, as determined pursuant to Section 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15.13 “PARTICIPANT”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an Eligible Employee who elects to participate in the Plan, as provided in Section 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15.14 “PARTICIPATING CORPORATION”</w:t>
      </w:r>
    </w:p>
    <w:p>
      <w:pPr>
        <w:spacing w:after="0" w:line="23" w:lineRule="exact"/>
        <w:rPr>
          <w:sz w:val="20"/>
          <w:szCs w:val="20"/>
          <w:color w:val="auto"/>
        </w:rPr>
      </w:pPr>
    </w:p>
    <w:p>
      <w:pPr>
        <w:jc w:val="center"/>
        <w:ind w:right="100"/>
        <w:spacing w:after="0" w:line="511" w:lineRule="auto"/>
        <w:rPr>
          <w:sz w:val="20"/>
          <w:szCs w:val="20"/>
          <w:color w:val="auto"/>
        </w:rPr>
      </w:pPr>
      <w:r>
        <w:rPr>
          <w:rFonts w:ascii="Arial" w:cs="Arial" w:eastAsia="Arial" w:hAnsi="Arial"/>
          <w:sz w:val="18"/>
          <w:szCs w:val="18"/>
          <w:color w:val="auto"/>
        </w:rPr>
        <w:t>Means (i) the Corporation and (ii) each present or future Subsidiary designated by the Committee as a Participating Corporation.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-97790</wp:posOffset>
            </wp:positionV>
            <wp:extent cx="6882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15.15 “PLAN”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this Daktronics, Inc. 2002 Employee Stock Purchase Plan, as it may be amended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15.16 “PLAN ACCOUNT”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Means the account established for each Participant pursuant to Section 7.1.</w:t>
      </w:r>
    </w:p>
    <w:p>
      <w:pPr>
        <w:sectPr>
          <w:pgSz w:w="11900" w:h="16838" w:orient="portrait"/>
          <w:cols w:equalWidth="0" w:num="1">
            <w:col w:w="10320"/>
          </w:cols>
          <w:pgMar w:left="740" w:top="125" w:right="839" w:bottom="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color w:val="auto"/>
        </w:rPr>
        <w:t>15.17 “PURCHASE PRICE”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Means the price at which Participants may purchase Common Stock under the Plan, as determined pursuant to Section 7.2.</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15.18 “SUBSIDIARY”</w:t>
      </w:r>
    </w:p>
    <w:p>
      <w:pPr>
        <w:spacing w:after="0" w:line="23"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Means any corporation (other than the Corporation) in an unbroken chain of corporations beginning with the Corporation, if each of the corporations other than the last corporation in the unbroken chain owns stock possessing 50% or more of the total combined voting power of all classes of stock in one of the other corporations in such chain.</w:t>
      </w:r>
    </w:p>
    <w:p>
      <w:pPr>
        <w:spacing w:after="0" w:line="18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construed consistent with and governed by the laws of the State of South Dakota and the laws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6882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00"/>
          </w:cols>
          <w:pgMar w:left="240" w:top="125" w:right="85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
      <w:numFmt w:val="bullet"/>
      <w:start w:val="1"/>
    </w:lvl>
    <w:lvl w:ilvl="1">
      <w:lvlJc w:val="left"/>
      <w:lvlText w:val="%2)"/>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Letter"/>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4"/>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decimal"/>
      <w:start w:val="4"/>
    </w:lvl>
  </w:abstractNum>
  <w:abstractNum w:abstractNumId="28">
    <w:nsid w:val="614FD4A1"/>
    <w:multiLevelType w:val="hybridMultilevel"/>
    <w:lvl w:ilvl="0">
      <w:lvlJc w:val="left"/>
      <w:lvlText w:val="%1."/>
      <w:numFmt w:val="decimal"/>
      <w:start w:val="5"/>
    </w:lvl>
  </w:abstractNum>
  <w:abstractNum w:abstractNumId="29">
    <w:nsid w:val="419AC241"/>
    <w:multiLevelType w:val="hybridMultilevel"/>
    <w:lvl w:ilvl="0">
      <w:lvlJc w:val="left"/>
      <w:lvlText w:val="%1."/>
      <w:numFmt w:val="decimal"/>
      <w:start w:val="6"/>
    </w:lvl>
  </w:abstractNum>
  <w:abstractNum w:abstractNumId="30">
    <w:nsid w:val="5577F8E1"/>
    <w:multiLevelType w:val="hybridMultilevel"/>
    <w:lvl w:ilvl="0">
      <w:lvlJc w:val="left"/>
      <w:lvlText w:val="%1."/>
      <w:numFmt w:val="decimal"/>
      <w:start w:val="8"/>
    </w:lvl>
  </w:abstractNum>
  <w:abstractNum w:abstractNumId="31">
    <w:nsid w:val="440BADFC"/>
    <w:multiLevelType w:val="hybridMultilevel"/>
    <w:lvl w:ilvl="0">
      <w:lvlJc w:val="left"/>
      <w:lvlText w:val="%1."/>
      <w:numFmt w:val="decimal"/>
      <w:start w:val="9"/>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decimal"/>
      <w:start w:val="11"/>
    </w:lvl>
  </w:abstractNum>
  <w:abstractNum w:abstractNumId="34">
    <w:nsid w:val="77465F01"/>
    <w:multiLevelType w:val="hybridMultilevel"/>
    <w:lvl w:ilvl="0">
      <w:lvlJc w:val="left"/>
      <w:lvlText w:val="%1."/>
      <w:numFmt w:val="decimal"/>
      <w:start w:val="12"/>
    </w:lvl>
  </w:abstractNum>
  <w:abstractNum w:abstractNumId="35">
    <w:nsid w:val="7724C67E"/>
    <w:multiLevelType w:val="hybridMultilevel"/>
    <w:lvl w:ilvl="0">
      <w:lvlJc w:val="left"/>
      <w:lvlText w:val="%1."/>
      <w:numFmt w:val="decimal"/>
      <w:start w:val="13"/>
    </w:lvl>
  </w:abstractNum>
  <w:abstractNum w:abstractNumId="36">
    <w:nsid w:val="5C482A97"/>
    <w:multiLevelType w:val="hybridMultilevel"/>
    <w:lvl w:ilvl="0">
      <w:lvlJc w:val="left"/>
      <w:lvlText w:val="%1."/>
      <w:numFmt w:val="decimal"/>
      <w:start w:val="14"/>
    </w:lvl>
  </w:abstractNum>
  <w:abstractNum w:abstractNumId="37">
    <w:nsid w:val="2463B9EA"/>
    <w:multiLevelType w:val="hybridMultilevel"/>
    <w:lvl w:ilvl="0">
      <w:lvlJc w:val="left"/>
      <w:lvlText w:val="%1."/>
      <w:numFmt w:val="decimal"/>
      <w:start w:val="15"/>
    </w:lvl>
  </w:abstractNum>
  <w:abstractNum w:abstractNumId="38">
    <w:nsid w:val="5E884ADC"/>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2019-12-10T12:00:00Z</dcterms:created>
  <dcterms:modified xsi:type="dcterms:W3CDTF">2019-12-10T12:00:00Z</dcterms:modified>
</cp:coreProperties>
</file>