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88" w:lineRule="exact"/>
        <w:rPr>
          <w:sz w:val="24"/>
          <w:szCs w:val="24"/>
          <w:color w:val="auto"/>
        </w:rPr>
      </w:pPr>
    </w:p>
    <w:p>
      <w:pPr>
        <w:ind w:left="320" w:right="2680" w:hanging="4045"/>
        <w:spacing w:after="0" w:line="201" w:lineRule="exact"/>
        <w:tabs>
          <w:tab w:leader="none" w:pos="30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ab/>
        <w:t xml:space="preserve">QUARTERLY REPORT PURSUANT TO SECTION 13 OR 15(d) OF THE SECURITIES EXCHANGE ACT OF 1934 </w:t>
      </w:r>
      <w:r>
        <w:rPr>
          <w:rFonts w:ascii="Times New Roman" w:cs="Times New Roman" w:eastAsia="Times New Roman" w:hAnsi="Times New Roman"/>
          <w:sz w:val="16"/>
          <w:szCs w:val="16"/>
          <w:color w:val="auto"/>
        </w:rPr>
        <w:t>For the quarterly period ended October 31, 2020</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or</w:t>
      </w:r>
    </w:p>
    <w:p>
      <w:pPr>
        <w:spacing w:after="0" w:line="17" w:lineRule="exact"/>
        <w:rPr>
          <w:sz w:val="24"/>
          <w:szCs w:val="24"/>
          <w:color w:val="auto"/>
        </w:rPr>
      </w:pPr>
    </w:p>
    <w:p>
      <w:pPr>
        <w:jc w:val="center"/>
        <w:ind w:right="2680"/>
        <w:spacing w:after="0" w:line="184" w:lineRule="exact"/>
        <w:tabs>
          <w:tab w:leader="none" w:pos="140" w:val="left"/>
        </w:tabs>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b w:val="1"/>
          <w:bCs w:val="1"/>
          <w:color w:val="auto"/>
        </w:rPr>
        <w:tab/>
        <w:t>TRANSITION REPORT PURSUANT TO SECTION 13 OR 15(d)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 the transition period from ___ to 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3022600</wp:posOffset>
            </wp:positionH>
            <wp:positionV relativeFrom="paragraph">
              <wp:posOffset>120650</wp:posOffset>
            </wp:positionV>
            <wp:extent cx="109728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668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Daktronics, Inc.</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5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60" w:type="dxa"/>
            <w:vAlign w:val="bottom"/>
          </w:tcPr>
          <w:p>
            <w:pPr>
              <w:spacing w:after="0"/>
              <w:rPr>
                <w:sz w:val="18"/>
                <w:szCs w:val="18"/>
                <w:color w:val="auto"/>
              </w:rPr>
            </w:pPr>
          </w:p>
        </w:tc>
        <w:tc>
          <w:tcPr>
            <w:tcW w:w="338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South Dakota</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46-0306862</w:t>
            </w:r>
          </w:p>
        </w:tc>
        <w:tc>
          <w:tcPr>
            <w:tcW w:w="40" w:type="dxa"/>
            <w:vAlign w:val="bottom"/>
          </w:tcPr>
          <w:p>
            <w:pPr>
              <w:spacing w:after="0"/>
              <w:rPr>
                <w:sz w:val="18"/>
                <w:szCs w:val="18"/>
                <w:color w:val="auto"/>
              </w:rPr>
            </w:pPr>
          </w:p>
        </w:tc>
      </w:tr>
      <w:tr>
        <w:trPr>
          <w:trHeight w:val="33"/>
        </w:trPr>
        <w:tc>
          <w:tcPr>
            <w:tcW w:w="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9"/>
        </w:trPr>
        <w:tc>
          <w:tcPr>
            <w:tcW w:w="60" w:type="dxa"/>
            <w:vAlign w:val="bottom"/>
          </w:tcPr>
          <w:p>
            <w:pPr>
              <w:spacing w:after="0"/>
              <w:rPr>
                <w:sz w:val="18"/>
                <w:szCs w:val="18"/>
                <w:color w:val="auto"/>
              </w:rPr>
            </w:pPr>
          </w:p>
        </w:tc>
        <w:tc>
          <w:tcPr>
            <w:tcW w:w="33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60" w:type="dxa"/>
            <w:vAlign w:val="bottom"/>
          </w:tcPr>
          <w:p>
            <w:pPr>
              <w:spacing w:after="0"/>
              <w:rPr>
                <w:sz w:val="18"/>
                <w:szCs w:val="18"/>
                <w:color w:val="auto"/>
              </w:rPr>
            </w:pPr>
          </w:p>
        </w:tc>
        <w:tc>
          <w:tcPr>
            <w:tcW w:w="3380" w:type="dxa"/>
            <w:vAlign w:val="bottom"/>
          </w:tcPr>
          <w:p>
            <w:pPr>
              <w:jc w:val="center"/>
              <w:ind w:left="65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26"/>
        </w:trPr>
        <w:tc>
          <w:tcPr>
            <w:tcW w:w="60" w:type="dxa"/>
            <w:vAlign w:val="bottom"/>
          </w:tcPr>
          <w:p>
            <w:pPr>
              <w:spacing w:after="0"/>
              <w:rPr>
                <w:sz w:val="24"/>
                <w:szCs w:val="24"/>
                <w:color w:val="auto"/>
              </w:rPr>
            </w:pPr>
          </w:p>
        </w:tc>
        <w:tc>
          <w:tcPr>
            <w:tcW w:w="3380" w:type="dxa"/>
            <w:vAlign w:val="bottom"/>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201 Daktronics Drive</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Brookings,</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SD</w:t>
            </w:r>
          </w:p>
        </w:tc>
        <w:tc>
          <w:tcPr>
            <w:tcW w:w="4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57006</w:t>
            </w:r>
          </w:p>
        </w:tc>
        <w:tc>
          <w:tcPr>
            <w:tcW w:w="40" w:type="dxa"/>
            <w:vAlign w:val="bottom"/>
          </w:tcPr>
          <w:p>
            <w:pPr>
              <w:spacing w:after="0"/>
              <w:rPr>
                <w:sz w:val="24"/>
                <w:szCs w:val="24"/>
                <w:color w:val="auto"/>
              </w:rPr>
            </w:pPr>
          </w:p>
        </w:tc>
      </w:tr>
      <w:tr>
        <w:trPr>
          <w:trHeight w:val="257"/>
        </w:trPr>
        <w:tc>
          <w:tcPr>
            <w:tcW w:w="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80" w:type="dxa"/>
            <w:vAlign w:val="bottom"/>
            <w:gridSpan w:val="4"/>
          </w:tcPr>
          <w:p>
            <w:pPr>
              <w:jc w:val="center"/>
              <w:ind w:right="40"/>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0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424"/>
        </w:trPr>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780" w:type="dxa"/>
            <w:vAlign w:val="bottom"/>
            <w:gridSpan w:val="3"/>
          </w:tcPr>
          <w:p>
            <w:pPr>
              <w:jc w:val="center"/>
              <w:ind w:left="1519"/>
              <w:spacing w:after="0"/>
              <w:rPr>
                <w:sz w:val="20"/>
                <w:szCs w:val="20"/>
                <w:color w:val="auto"/>
              </w:rPr>
            </w:pPr>
            <w:r>
              <w:rPr>
                <w:rFonts w:ascii="Times New Roman" w:cs="Times New Roman" w:eastAsia="Times New Roman" w:hAnsi="Times New Roman"/>
                <w:sz w:val="16"/>
                <w:szCs w:val="16"/>
                <w:b w:val="1"/>
                <w:bCs w:val="1"/>
                <w:color w:val="auto"/>
              </w:rPr>
              <w:t>(605) 692-0200</w:t>
            </w: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7760" w:type="dxa"/>
            <w:vAlign w:val="bottom"/>
            <w:gridSpan w:val="7"/>
          </w:tcPr>
          <w:p>
            <w:pPr>
              <w:jc w:val="center"/>
              <w:ind w:right="340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378"/>
        </w:trPr>
        <w:tc>
          <w:tcPr>
            <w:tcW w:w="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760" w:type="dxa"/>
            <w:vAlign w:val="bottom"/>
            <w:gridSpan w:val="7"/>
          </w:tcPr>
          <w:p>
            <w:pPr>
              <w:jc w:val="center"/>
              <w:ind w:right="33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28"/>
        </w:trPr>
        <w:tc>
          <w:tcPr>
            <w:tcW w:w="6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120" w:type="dxa"/>
            <w:vAlign w:val="bottom"/>
            <w:gridSpan w:val="2"/>
          </w:tcPr>
          <w:p>
            <w:pPr>
              <w:spacing w:after="0"/>
              <w:rPr>
                <w:sz w:val="11"/>
                <w:szCs w:val="11"/>
                <w:color w:val="auto"/>
              </w:rPr>
            </w:pPr>
          </w:p>
        </w:tc>
      </w:tr>
      <w:tr>
        <w:trPr>
          <w:trHeight w:val="217"/>
        </w:trPr>
        <w:tc>
          <w:tcPr>
            <w:tcW w:w="60" w:type="dxa"/>
            <w:vAlign w:val="bottom"/>
            <w:tcBorders>
              <w:top w:val="single" w:sz="8" w:color="auto"/>
              <w:left w:val="single" w:sz="8" w:color="auto"/>
            </w:tcBorders>
          </w:tcPr>
          <w:p>
            <w:pPr>
              <w:spacing w:after="0"/>
              <w:rPr>
                <w:sz w:val="18"/>
                <w:szCs w:val="18"/>
                <w:color w:val="auto"/>
              </w:rPr>
            </w:pPr>
          </w:p>
        </w:tc>
        <w:tc>
          <w:tcPr>
            <w:tcW w:w="3380" w:type="dxa"/>
            <w:vAlign w:val="bottom"/>
            <w:tcBorders>
              <w:top w:val="single" w:sz="8" w:color="auto"/>
            </w:tcBorders>
          </w:tcPr>
          <w:p>
            <w:pPr>
              <w:ind w:left="15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60" w:type="dxa"/>
            <w:vAlign w:val="bottom"/>
            <w:tcBorders>
              <w:top w:val="single" w:sz="8" w:color="auto"/>
            </w:tcBorders>
          </w:tcPr>
          <w:p>
            <w:pPr>
              <w:spacing w:after="0"/>
              <w:rPr>
                <w:sz w:val="18"/>
                <w:szCs w:val="18"/>
                <w:color w:val="auto"/>
              </w:rPr>
            </w:pPr>
          </w:p>
        </w:tc>
        <w:tc>
          <w:tcPr>
            <w:tcW w:w="300" w:type="dxa"/>
            <w:vAlign w:val="bottom"/>
            <w:tcBorders>
              <w:top w:val="single" w:sz="8" w:color="auto"/>
              <w:right w:val="single" w:sz="8" w:color="auto"/>
            </w:tcBorders>
          </w:tcPr>
          <w:p>
            <w:pPr>
              <w:spacing w:after="0"/>
              <w:rPr>
                <w:sz w:val="18"/>
                <w:szCs w:val="18"/>
                <w:color w:val="auto"/>
              </w:rPr>
            </w:pPr>
          </w:p>
        </w:tc>
        <w:tc>
          <w:tcPr>
            <w:tcW w:w="1720" w:type="dxa"/>
            <w:vAlign w:val="bottom"/>
            <w:tcBorders>
              <w:top w:val="single" w:sz="8" w:color="auto"/>
            </w:tcBorders>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8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80" w:type="dxa"/>
            <w:vAlign w:val="bottom"/>
            <w:tcBorders>
              <w:top w:val="single" w:sz="8" w:color="auto"/>
              <w:right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40" w:type="dxa"/>
            <w:vAlign w:val="bottom"/>
          </w:tcPr>
          <w:p>
            <w:pPr>
              <w:spacing w:after="0"/>
              <w:rPr>
                <w:sz w:val="18"/>
                <w:szCs w:val="18"/>
                <w:color w:val="auto"/>
              </w:rPr>
            </w:pPr>
          </w:p>
        </w:tc>
      </w:tr>
      <w:tr>
        <w:trPr>
          <w:trHeight w:val="33"/>
        </w:trPr>
        <w:tc>
          <w:tcPr>
            <w:tcW w:w="3440" w:type="dxa"/>
            <w:vAlign w:val="bottom"/>
            <w:tcBorders>
              <w:left w:val="single" w:sz="8" w:color="auto"/>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3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Common Stock, No Par Value</w:t>
            </w: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8"/>
              </w:rPr>
              <w:t>DAKT</w:t>
            </w:r>
          </w:p>
        </w:tc>
        <w:tc>
          <w:tcPr>
            <w:tcW w:w="3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Borders>
              <w:right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40" w:type="dxa"/>
            <w:vAlign w:val="bottom"/>
          </w:tcPr>
          <w:p>
            <w:pPr>
              <w:spacing w:after="0"/>
              <w:rPr>
                <w:sz w:val="18"/>
                <w:szCs w:val="18"/>
                <w:color w:val="auto"/>
              </w:rPr>
            </w:pPr>
          </w:p>
        </w:tc>
      </w:tr>
      <w:tr>
        <w:trPr>
          <w:trHeight w:val="33"/>
        </w:trPr>
        <w:tc>
          <w:tcPr>
            <w:tcW w:w="3440" w:type="dxa"/>
            <w:vAlign w:val="bottom"/>
            <w:tcBorders>
              <w:left w:val="single" w:sz="8" w:color="auto"/>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344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rPr>
              <w:t>Preferred Stock Purchase Rights</w:t>
            </w:r>
          </w:p>
        </w:tc>
        <w:tc>
          <w:tcPr>
            <w:tcW w:w="7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720" w:type="dxa"/>
            <w:vAlign w:val="bottom"/>
          </w:tcPr>
          <w:p>
            <w:pPr>
              <w:jc w:val="center"/>
              <w:ind w:left="279"/>
              <w:spacing w:after="0"/>
              <w:rPr>
                <w:sz w:val="20"/>
                <w:szCs w:val="20"/>
                <w:color w:val="auto"/>
              </w:rPr>
            </w:pPr>
            <w:r>
              <w:rPr>
                <w:rFonts w:ascii="Times New Roman" w:cs="Times New Roman" w:eastAsia="Times New Roman" w:hAnsi="Times New Roman"/>
                <w:sz w:val="16"/>
                <w:szCs w:val="16"/>
                <w:color w:val="auto"/>
                <w:w w:val="98"/>
              </w:rPr>
              <w:t>DAKT</w:t>
            </w:r>
          </w:p>
        </w:tc>
        <w:tc>
          <w:tcPr>
            <w:tcW w:w="380" w:type="dxa"/>
            <w:vAlign w:val="bottom"/>
            <w:tcBorders>
              <w:right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4080" w:type="dxa"/>
            <w:vAlign w:val="bottom"/>
            <w:tcBorders>
              <w:right w:val="single" w:sz="8" w:color="auto"/>
            </w:tcBorders>
          </w:tcPr>
          <w:p>
            <w:pPr>
              <w:jc w:val="center"/>
              <w:ind w:right="419"/>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40" w:type="dxa"/>
            <w:vAlign w:val="bottom"/>
          </w:tcPr>
          <w:p>
            <w:pPr>
              <w:spacing w:after="0"/>
              <w:rPr>
                <w:sz w:val="18"/>
                <w:szCs w:val="18"/>
                <w:color w:val="auto"/>
              </w:rPr>
            </w:pPr>
          </w:p>
        </w:tc>
      </w:tr>
      <w:tr>
        <w:trPr>
          <w:trHeight w:val="33"/>
        </w:trPr>
        <w:tc>
          <w:tcPr>
            <w:tcW w:w="60" w:type="dxa"/>
            <w:vAlign w:val="bottom"/>
            <w:tcBorders>
              <w:left w:val="single" w:sz="8" w:color="auto"/>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0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4"/>
          <w:szCs w:val="24"/>
          <w:color w:val="auto"/>
        </w:rPr>
      </w:pPr>
    </w:p>
    <w:p>
      <w:pPr>
        <w:jc w:val="both"/>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16"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0"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71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03"/>
        </w:trPr>
        <w:tc>
          <w:tcPr>
            <w:tcW w:w="2340" w:type="dxa"/>
            <w:vAlign w:val="bottom"/>
            <w:vMerge w:val="continue"/>
          </w:tcPr>
          <w:p>
            <w:pPr>
              <w:spacing w:after="0"/>
              <w:rPr>
                <w:sz w:val="17"/>
                <w:szCs w:val="17"/>
                <w:color w:val="auto"/>
              </w:rPr>
            </w:pPr>
          </w:p>
        </w:tc>
        <w:tc>
          <w:tcPr>
            <w:tcW w:w="7120" w:type="dxa"/>
            <w:vAlign w:val="bottom"/>
          </w:tcPr>
          <w:p>
            <w:pPr>
              <w:ind w:left="468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7120" w:type="dxa"/>
            <w:vAlign w:val="bottom"/>
          </w:tcPr>
          <w:p>
            <w:pPr>
              <w:ind w:left="900"/>
              <w:spacing w:after="0" w:line="161" w:lineRule="exact"/>
              <w:rPr>
                <w:sz w:val="20"/>
                <w:szCs w:val="20"/>
                <w:color w:val="auto"/>
              </w:rPr>
            </w:pPr>
            <w:r>
              <w:rPr>
                <w:rFonts w:ascii="MS PGothic" w:cs="MS PGothic" w:eastAsia="MS PGothic" w:hAnsi="MS PGothic"/>
                <w:sz w:val="16"/>
                <w:szCs w:val="16"/>
                <w:color w:val="auto"/>
              </w:rPr>
              <w:t>☐</w:t>
            </w:r>
          </w:p>
        </w:tc>
        <w:tc>
          <w:tcPr>
            <w:tcW w:w="820" w:type="dxa"/>
            <w:vAlign w:val="bottom"/>
            <w:vMerge w:val="restart"/>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2340" w:type="dxa"/>
            <w:vAlign w:val="bottom"/>
            <w:vMerge w:val="continue"/>
          </w:tcPr>
          <w:p>
            <w:pPr>
              <w:spacing w:after="0"/>
              <w:rPr>
                <w:sz w:val="18"/>
                <w:szCs w:val="18"/>
                <w:color w:val="auto"/>
              </w:rPr>
            </w:pPr>
          </w:p>
        </w:tc>
        <w:tc>
          <w:tcPr>
            <w:tcW w:w="7120" w:type="dxa"/>
            <w:vAlign w:val="bottom"/>
          </w:tcPr>
          <w:p>
            <w:pPr>
              <w:ind w:left="46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2340" w:type="dxa"/>
            <w:vAlign w:val="bottom"/>
          </w:tcPr>
          <w:p>
            <w:pPr>
              <w:spacing w:after="0"/>
              <w:rPr>
                <w:sz w:val="22"/>
                <w:szCs w:val="22"/>
                <w:color w:val="auto"/>
              </w:rPr>
            </w:pPr>
          </w:p>
        </w:tc>
        <w:tc>
          <w:tcPr>
            <w:tcW w:w="7120" w:type="dxa"/>
            <w:vAlign w:val="bottom"/>
          </w:tcPr>
          <w:p>
            <w:pPr>
              <w:ind w:left="468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90"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The number of shares of the registrant’s common stock outstanding as of November 30, 2020 was 62,750,443.</w:t>
      </w:r>
    </w:p>
    <w:p>
      <w:pPr>
        <w:sectPr>
          <w:pgSz w:w="11900" w:h="16838" w:orient="portrait"/>
          <w:cols w:equalWidth="0" w:num="1">
            <w:col w:w="11240"/>
          </w:cols>
          <w:pgMar w:left="320" w:top="435" w:right="339" w:bottom="1440" w:gutter="0" w:footer="0" w:header="0"/>
        </w:sectPr>
      </w:pPr>
    </w:p>
    <w:bookmarkStart w:id="1" w:name="page2"/>
    <w:bookmarkEnd w:id="1"/>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FORM 10-Q</w:t>
      </w:r>
    </w:p>
    <w:p>
      <w:pPr>
        <w:spacing w:after="0" w:line="9"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color w:val="auto"/>
        </w:rPr>
        <w:t>For the Quarter Ended October 31, 2020</w:t>
      </w:r>
    </w:p>
    <w:p>
      <w:pPr>
        <w:spacing w:after="0" w:line="20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8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70"/>
        </w:trPr>
        <w:tc>
          <w:tcPr>
            <w:tcW w:w="7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Part I.</w:t>
              </w:r>
            </w:hyperlink>
          </w:p>
        </w:tc>
        <w:tc>
          <w:tcPr>
            <w:tcW w:w="8580" w:type="dxa"/>
            <w:vAlign w:val="bottom"/>
            <w:gridSpan w:val="10"/>
          </w:tcPr>
          <w:p>
            <w:pPr>
              <w:ind w:left="80"/>
              <w:spacing w:after="0"/>
              <w:rPr>
                <w:rFonts w:ascii="Times New Roman" w:cs="Times New Roman" w:eastAsia="Times New Roman" w:hAnsi="Times New Roman"/>
                <w:sz w:val="18"/>
                <w:szCs w:val="18"/>
                <w:b w:val="1"/>
                <w:bCs w:val="1"/>
                <w:u w:val="single" w:color="auto"/>
                <w:color w:val="0000FF"/>
              </w:rPr>
            </w:pPr>
            <w:hyperlink w:anchor="page3">
              <w:r>
                <w:rPr>
                  <w:rFonts w:ascii="Times New Roman" w:cs="Times New Roman" w:eastAsia="Times New Roman" w:hAnsi="Times New Roman"/>
                  <w:sz w:val="18"/>
                  <w:szCs w:val="18"/>
                  <w:b w:val="1"/>
                  <w:bCs w:val="1"/>
                  <w:u w:val="single" w:color="auto"/>
                  <w:color w:val="0000FF"/>
                </w:rPr>
                <w:t>Financial Information</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Item 1.</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 (Unaudited)</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r>
      <w:tr>
        <w:trPr>
          <w:trHeight w:val="270"/>
        </w:trPr>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940" w:type="dxa"/>
            <w:vAlign w:val="bottom"/>
            <w:gridSpan w:val="9"/>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Consolidated Balance Sheets as of October 31, 2020 and May 2, 2020</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1</w:t>
              </w:r>
            </w:hyperlink>
          </w:p>
        </w:tc>
      </w:tr>
      <w:tr>
        <w:trPr>
          <w:trHeight w:val="229"/>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9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Operations for the Three and Six Months Ended October</w:t>
              </w:r>
            </w:hyperlink>
          </w:p>
        </w:tc>
        <w:tc>
          <w:tcPr>
            <w:tcW w:w="980" w:type="dxa"/>
            <w:vAlign w:val="bottom"/>
            <w:gridSpan w:val="2"/>
          </w:tcPr>
          <w:p>
            <w:pPr>
              <w:spacing w:after="0"/>
              <w:rPr>
                <w:sz w:val="19"/>
                <w:szCs w:val="19"/>
                <w:color w:val="auto"/>
              </w:rPr>
            </w:pPr>
          </w:p>
        </w:tc>
        <w:tc>
          <w:tcPr>
            <w:tcW w:w="1280" w:type="dxa"/>
            <w:vAlign w:val="bottom"/>
          </w:tcPr>
          <w:p>
            <w:pPr>
              <w:spacing w:after="0"/>
              <w:rPr>
                <w:sz w:val="19"/>
                <w:szCs w:val="19"/>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940" w:type="dxa"/>
            <w:vAlign w:val="bottom"/>
            <w:gridSpan w:val="9"/>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31, 2020 and November 2, 2019</w:t>
              </w:r>
            </w:hyperlink>
          </w:p>
        </w:tc>
        <w:tc>
          <w:tcPr>
            <w:tcW w:w="1280" w:type="dxa"/>
            <w:vAlign w:val="bottom"/>
          </w:tcPr>
          <w:p>
            <w:pPr>
              <w:ind w:left="920"/>
              <w:spacing w:after="0" w:line="196" w:lineRule="exact"/>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3</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940" w:type="dxa"/>
            <w:vAlign w:val="bottom"/>
            <w:gridSpan w:val="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Comprehensive Income for the Three and Six Months</w:t>
              </w:r>
            </w:hyperlink>
          </w:p>
        </w:tc>
        <w:tc>
          <w:tcPr>
            <w:tcW w:w="128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Ended October 31, 2020 and November 2, 2019</w:t>
              </w:r>
            </w:hyperlink>
          </w:p>
        </w:tc>
        <w:tc>
          <w:tcPr>
            <w:tcW w:w="3280" w:type="dxa"/>
            <w:vAlign w:val="bottom"/>
            <w:tcBorders>
              <w:top w:val="single" w:sz="8" w:color="0000EE"/>
            </w:tcBorders>
          </w:tcPr>
          <w:p>
            <w:pPr>
              <w:spacing w:after="0"/>
              <w:rPr>
                <w:sz w:val="17"/>
                <w:szCs w:val="17"/>
                <w:color w:val="auto"/>
              </w:rPr>
            </w:pPr>
          </w:p>
        </w:tc>
        <w:tc>
          <w:tcPr>
            <w:tcW w:w="1200" w:type="dxa"/>
            <w:vAlign w:val="bottom"/>
            <w:gridSpan w:val="4"/>
          </w:tcPr>
          <w:p>
            <w:pPr>
              <w:spacing w:after="0"/>
              <w:rPr>
                <w:sz w:val="17"/>
                <w:szCs w:val="17"/>
                <w:color w:val="auto"/>
              </w:rPr>
            </w:pPr>
          </w:p>
        </w:tc>
        <w:tc>
          <w:tcPr>
            <w:tcW w:w="1280" w:type="dxa"/>
            <w:vAlign w:val="bottom"/>
          </w:tcPr>
          <w:p>
            <w:pPr>
              <w:ind w:left="920"/>
              <w:spacing w:after="0" w:line="196" w:lineRule="exact"/>
              <w:rPr>
                <w:rFonts w:ascii="Times New Roman" w:cs="Times New Roman" w:eastAsia="Times New Roman" w:hAnsi="Times New Roman"/>
                <w:sz w:val="18"/>
                <w:szCs w:val="18"/>
                <w:u w:val="single" w:color="auto"/>
                <w:color w:val="0000FF"/>
              </w:rPr>
            </w:pPr>
            <w:hyperlink w:anchor="page6">
              <w:r>
                <w:rPr>
                  <w:rFonts w:ascii="Times New Roman" w:cs="Times New Roman" w:eastAsia="Times New Roman" w:hAnsi="Times New Roman"/>
                  <w:sz w:val="18"/>
                  <w:szCs w:val="18"/>
                  <w:u w:val="single" w:color="auto"/>
                  <w:color w:val="0000FF"/>
                </w:rPr>
                <w:t>4</w:t>
              </w:r>
            </w:hyperlink>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Condensed Consolidated Statements of Shareholders' Equity for the Three and Six Months Ended</w:t>
              </w:r>
            </w:hyperlink>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940" w:type="dxa"/>
            <w:vAlign w:val="bottom"/>
            <w:gridSpan w:val="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October 31, 2020 and November 2, 2019</w:t>
              </w:r>
            </w:hyperlink>
          </w:p>
        </w:tc>
        <w:tc>
          <w:tcPr>
            <w:tcW w:w="1280" w:type="dxa"/>
            <w:vAlign w:val="bottom"/>
          </w:tcPr>
          <w:p>
            <w:pPr>
              <w:ind w:left="920"/>
              <w:spacing w:after="0" w:line="196" w:lineRule="exact"/>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5</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98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Condensed Consolidated Statements of Cash Flows for the Six Months Ended October 31, 2020</w:t>
              </w:r>
            </w:hyperlink>
          </w:p>
        </w:tc>
        <w:tc>
          <w:tcPr>
            <w:tcW w:w="1020" w:type="dxa"/>
            <w:vAlign w:val="bottom"/>
            <w:gridSpan w:val="3"/>
          </w:tcPr>
          <w:p>
            <w:pPr>
              <w:spacing w:after="0"/>
              <w:rPr>
                <w:sz w:val="21"/>
                <w:szCs w:val="21"/>
                <w:color w:val="auto"/>
              </w:rPr>
            </w:pPr>
          </w:p>
        </w:tc>
        <w:tc>
          <w:tcPr>
            <w:tcW w:w="1280" w:type="dxa"/>
            <w:vAlign w:val="bottom"/>
          </w:tcPr>
          <w:p>
            <w:pPr>
              <w:spacing w:after="0"/>
              <w:rPr>
                <w:sz w:val="21"/>
                <w:szCs w:val="21"/>
                <w:color w:val="auto"/>
              </w:rPr>
            </w:pPr>
          </w:p>
        </w:tc>
      </w:tr>
      <w:tr>
        <w:trPr>
          <w:trHeight w:val="196"/>
        </w:trPr>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940" w:type="dxa"/>
            <w:vAlign w:val="bottom"/>
            <w:gridSpan w:val="9"/>
          </w:tcPr>
          <w:p>
            <w:pPr>
              <w:spacing w:after="0" w:line="196" w:lineRule="exact"/>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and November 2, 2019</w:t>
              </w:r>
            </w:hyperlink>
          </w:p>
        </w:tc>
        <w:tc>
          <w:tcPr>
            <w:tcW w:w="1280" w:type="dxa"/>
            <w:vAlign w:val="bottom"/>
          </w:tcPr>
          <w:p>
            <w:pPr>
              <w:ind w:left="920"/>
              <w:spacing w:after="0" w:line="196" w:lineRule="exact"/>
              <w:rPr>
                <w:rFonts w:ascii="Times New Roman" w:cs="Times New Roman" w:eastAsia="Times New Roman" w:hAnsi="Times New Roman"/>
                <w:sz w:val="18"/>
                <w:szCs w:val="18"/>
                <w:u w:val="single" w:color="auto"/>
                <w:color w:val="0000FF"/>
              </w:rPr>
            </w:pPr>
            <w:hyperlink w:anchor="page9">
              <w:r>
                <w:rPr>
                  <w:rFonts w:ascii="Times New Roman" w:cs="Times New Roman" w:eastAsia="Times New Roman" w:hAnsi="Times New Roman"/>
                  <w:sz w:val="18"/>
                  <w:szCs w:val="18"/>
                  <w:u w:val="single" w:color="auto"/>
                  <w:color w:val="0000FF"/>
                </w:rPr>
                <w:t>7</w:t>
              </w:r>
            </w:hyperlink>
          </w:p>
        </w:tc>
      </w:tr>
      <w:tr>
        <w:trPr>
          <w:trHeight w:val="20"/>
        </w:trPr>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6300" w:type="dxa"/>
            <w:vAlign w:val="bottom"/>
            <w:gridSpan w:val="8"/>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91"/>
        </w:trPr>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9"/>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the Condensed Consolidated Financial Statements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10">
              <w:r>
                <w:rPr>
                  <w:rFonts w:ascii="Times New Roman" w:cs="Times New Roman" w:eastAsia="Times New Roman" w:hAnsi="Times New Roman"/>
                  <w:sz w:val="18"/>
                  <w:szCs w:val="18"/>
                  <w:u w:val="single" w:color="auto"/>
                  <w:color w:val="0000FF"/>
                </w:rPr>
                <w:t>8</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Item 2.</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20">
              <w:r>
                <w:rPr>
                  <w:rFonts w:ascii="Times New Roman" w:cs="Times New Roman" w:eastAsia="Times New Roman" w:hAnsi="Times New Roman"/>
                  <w:sz w:val="18"/>
                  <w:szCs w:val="18"/>
                  <w:u w:val="single" w:color="auto"/>
                  <w:color w:val="0000FF"/>
                </w:rPr>
                <w:t>18</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3.</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Quantitative and Qualitative Disclosures About Market Risk</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4.</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Controls and Procedures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594"/>
        </w:trPr>
        <w:tc>
          <w:tcPr>
            <w:tcW w:w="720" w:type="dxa"/>
            <w:vAlign w:val="bottom"/>
          </w:tcPr>
          <w:p>
            <w:pPr>
              <w:spacing w:after="0"/>
              <w:rPr>
                <w:rFonts w:ascii="Times New Roman" w:cs="Times New Roman" w:eastAsia="Times New Roman" w:hAnsi="Times New Roman"/>
                <w:sz w:val="18"/>
                <w:szCs w:val="18"/>
                <w:b w:val="1"/>
                <w:bCs w:val="1"/>
                <w:u w:val="single" w:color="auto"/>
                <w:color w:val="0000FF"/>
              </w:rPr>
            </w:pPr>
            <w:hyperlink w:anchor="page33">
              <w:r>
                <w:rPr>
                  <w:rFonts w:ascii="Times New Roman" w:cs="Times New Roman" w:eastAsia="Times New Roman" w:hAnsi="Times New Roman"/>
                  <w:sz w:val="18"/>
                  <w:szCs w:val="18"/>
                  <w:b w:val="1"/>
                  <w:bCs w:val="1"/>
                  <w:u w:val="single" w:color="auto"/>
                  <w:color w:val="0000FF"/>
                </w:rPr>
                <w:t>Part II.</w:t>
              </w:r>
            </w:hyperlink>
          </w:p>
        </w:tc>
        <w:tc>
          <w:tcPr>
            <w:tcW w:w="8580" w:type="dxa"/>
            <w:vAlign w:val="bottom"/>
            <w:gridSpan w:val="10"/>
          </w:tcPr>
          <w:p>
            <w:pPr>
              <w:ind w:left="80"/>
              <w:spacing w:after="0"/>
              <w:rPr>
                <w:rFonts w:ascii="Times New Roman" w:cs="Times New Roman" w:eastAsia="Times New Roman" w:hAnsi="Times New Roman"/>
                <w:sz w:val="18"/>
                <w:szCs w:val="18"/>
                <w:b w:val="1"/>
                <w:bCs w:val="1"/>
                <w:u w:val="single" w:color="auto"/>
                <w:color w:val="0000FF"/>
              </w:rPr>
            </w:pPr>
            <w:hyperlink w:anchor="page33">
              <w:r>
                <w:rPr>
                  <w:rFonts w:ascii="Times New Roman" w:cs="Times New Roman" w:eastAsia="Times New Roman" w:hAnsi="Times New Roman"/>
                  <w:sz w:val="18"/>
                  <w:szCs w:val="18"/>
                  <w:b w:val="1"/>
                  <w:bCs w:val="1"/>
                  <w:u w:val="single" w:color="auto"/>
                  <w:color w:val="0000FF"/>
                </w:rPr>
                <w:t>Other Information</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31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1.</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Legal Proceedings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270"/>
        </w:trPr>
        <w:tc>
          <w:tcPr>
            <w:tcW w:w="720" w:type="dxa"/>
            <w:vAlign w:val="bottom"/>
          </w:tcPr>
          <w:p>
            <w:pPr>
              <w:spacing w:after="0"/>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u w:val="single" w:color="auto"/>
                  <w:color w:val="0000FF"/>
                </w:rPr>
                <w:t>Item 1A</w:t>
              </w:r>
              <w:r>
                <w:rPr>
                  <w:rFonts w:ascii="Times New Roman" w:cs="Times New Roman" w:eastAsia="Times New Roman" w:hAnsi="Times New Roman"/>
                  <w:sz w:val="18"/>
                  <w:szCs w:val="18"/>
                  <w:color w:val="0000FF"/>
                </w:rPr>
                <w:t>.</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Risk Factors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2.</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Unregistered Sales of Equity Securities and Use of Proceeds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Item 3.</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Defaults Upon Senior Securities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31</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4.</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Mine Safety Disclosures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5.</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Other Information</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r>
      <w:tr>
        <w:trPr>
          <w:trHeight w:val="270"/>
        </w:trPr>
        <w:tc>
          <w:tcPr>
            <w:tcW w:w="720" w:type="dxa"/>
            <w:vAlign w:val="bottom"/>
          </w:tcPr>
          <w:p>
            <w:pPr>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Item 6.</w:t>
              </w:r>
            </w:hyperlink>
          </w:p>
        </w:tc>
        <w:tc>
          <w:tcPr>
            <w:tcW w:w="8580" w:type="dxa"/>
            <w:vAlign w:val="bottom"/>
            <w:gridSpan w:val="10"/>
          </w:tcPr>
          <w:p>
            <w:pPr>
              <w:ind w:left="8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Exhibits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32</w:t>
              </w:r>
            </w:hyperlink>
          </w:p>
        </w:tc>
      </w:tr>
      <w:tr>
        <w:trPr>
          <w:trHeight w:val="594"/>
        </w:trPr>
        <w:tc>
          <w:tcPr>
            <w:tcW w:w="9300" w:type="dxa"/>
            <w:vAlign w:val="bottom"/>
            <w:gridSpan w:val="11"/>
          </w:tcPr>
          <w:p>
            <w:pPr>
              <w:spacing w:after="0"/>
              <w:rPr>
                <w:rFonts w:ascii="Times New Roman" w:cs="Times New Roman" w:eastAsia="Times New Roman" w:hAnsi="Times New Roman"/>
                <w:sz w:val="18"/>
                <w:szCs w:val="18"/>
                <w:b w:val="1"/>
                <w:bCs w:val="1"/>
                <w:u w:val="single" w:color="auto"/>
                <w:color w:val="0000FF"/>
              </w:rPr>
            </w:pPr>
            <w:hyperlink w:anchor="page35">
              <w:r>
                <w:rPr>
                  <w:rFonts w:ascii="Times New Roman" w:cs="Times New Roman" w:eastAsia="Times New Roman" w:hAnsi="Times New Roman"/>
                  <w:sz w:val="18"/>
                  <w:szCs w:val="18"/>
                  <w:b w:val="1"/>
                  <w:bCs w:val="1"/>
                  <w:u w:val="single" w:color="auto"/>
                  <w:color w:val="0000FF"/>
                </w:rPr>
                <w:t>Signatures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5">
              <w:r>
                <w:rPr>
                  <w:rFonts w:ascii="Times New Roman" w:cs="Times New Roman" w:eastAsia="Times New Roman" w:hAnsi="Times New Roman"/>
                  <w:sz w:val="18"/>
                  <w:szCs w:val="18"/>
                  <w:u w:val="single" w:color="auto"/>
                  <w:color w:val="0000FF"/>
                </w:rPr>
                <w:t>33</w:t>
              </w:r>
            </w:hyperlink>
          </w:p>
        </w:tc>
      </w:tr>
      <w:tr>
        <w:trPr>
          <w:trHeight w:val="270"/>
        </w:trPr>
        <w:tc>
          <w:tcPr>
            <w:tcW w:w="9300" w:type="dxa"/>
            <w:vAlign w:val="bottom"/>
            <w:gridSpan w:val="11"/>
          </w:tcPr>
          <w:p>
            <w:pPr>
              <w:spacing w:after="0"/>
              <w:rPr>
                <w:rFonts w:ascii="Times New Roman" w:cs="Times New Roman" w:eastAsia="Times New Roman" w:hAnsi="Times New Roman"/>
                <w:sz w:val="18"/>
                <w:szCs w:val="18"/>
                <w:b w:val="1"/>
                <w:bCs w:val="1"/>
                <w:u w:val="single" w:color="auto"/>
                <w:color w:val="0000FF"/>
              </w:rPr>
            </w:pPr>
            <w:hyperlink w:anchor="page36">
              <w:r>
                <w:rPr>
                  <w:rFonts w:ascii="Times New Roman" w:cs="Times New Roman" w:eastAsia="Times New Roman" w:hAnsi="Times New Roman"/>
                  <w:sz w:val="18"/>
                  <w:szCs w:val="18"/>
                  <w:b w:val="1"/>
                  <w:bCs w:val="1"/>
                  <w:u w:val="single" w:color="auto"/>
                  <w:color w:val="0000FF"/>
                </w:rPr>
                <w:t>Index to Exhibits</w:t>
              </w:r>
            </w:hyperlink>
          </w:p>
        </w:tc>
        <w:tc>
          <w:tcPr>
            <w:tcW w:w="1280" w:type="dxa"/>
            <w:vAlign w:val="bottom"/>
          </w:tcPr>
          <w:p>
            <w:pPr>
              <w:ind w:left="920"/>
              <w:spacing w:after="0"/>
              <w:rPr>
                <w:rFonts w:ascii="Times New Roman" w:cs="Times New Roman" w:eastAsia="Times New Roman" w:hAnsi="Times New Roman"/>
                <w:sz w:val="18"/>
                <w:szCs w:val="18"/>
                <w:u w:val="single" w:color="auto"/>
                <w:color w:val="0000FF"/>
              </w:rPr>
            </w:pPr>
            <w:hyperlink w:anchor="page36">
              <w:r>
                <w:rPr>
                  <w:rFonts w:ascii="Times New Roman" w:cs="Times New Roman" w:eastAsia="Times New Roman" w:hAnsi="Times New Roman"/>
                  <w:sz w:val="18"/>
                  <w:szCs w:val="18"/>
                  <w:u w:val="single" w:color="auto"/>
                  <w:color w:val="0000FF"/>
                </w:rPr>
                <w:t>34</w:t>
              </w:r>
            </w:hyperlink>
          </w:p>
        </w:tc>
      </w:tr>
    </w:tbl>
    <w:p>
      <w:pPr>
        <w:sectPr>
          <w:pgSz w:w="11900" w:h="16838" w:orient="portrait"/>
          <w:cols w:equalWidth="0" w:num="1">
            <w:col w:w="10580"/>
          </w:cols>
          <w:pgMar w:left="360" w:top="549" w:right="9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320" w:type="dxa"/>
            <w:vAlign w:val="bottom"/>
          </w:tcPr>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ART I. FINANCIAL INFORMATION</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9"/>
        </w:trPr>
        <w:tc>
          <w:tcPr>
            <w:tcW w:w="83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20" w:type="dxa"/>
            <w:vAlign w:val="bottom"/>
          </w:tcPr>
          <w:p>
            <w:pPr>
              <w:jc w:val="center"/>
              <w:ind w:left="26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20" w:type="dxa"/>
            <w:vAlign w:val="bottom"/>
          </w:tcPr>
          <w:p>
            <w:pPr>
              <w:jc w:val="center"/>
              <w:ind w:left="2670"/>
              <w:spacing w:after="0"/>
              <w:rPr>
                <w:sz w:val="20"/>
                <w:szCs w:val="20"/>
                <w:color w:val="auto"/>
              </w:rPr>
            </w:pPr>
            <w:r>
              <w:rPr>
                <w:rFonts w:ascii="Times New Roman" w:cs="Times New Roman" w:eastAsia="Times New Roman" w:hAnsi="Times New Roman"/>
                <w:sz w:val="18"/>
                <w:szCs w:val="18"/>
                <w:color w:val="auto"/>
              </w:rPr>
              <w:t>(unaudited)</w:t>
            </w: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1"/>
        </w:trPr>
        <w:tc>
          <w:tcPr>
            <w:tcW w:w="8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24"/>
                <w:szCs w:val="24"/>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w:t>
            </w:r>
          </w:p>
        </w:tc>
        <w:tc>
          <w:tcPr>
            <w:tcW w:w="0" w:type="dxa"/>
            <w:vAlign w:val="bottom"/>
          </w:tcPr>
          <w:p>
            <w:pPr>
              <w:spacing w:after="0"/>
              <w:rPr>
                <w:sz w:val="1"/>
                <w:szCs w:val="1"/>
                <w:color w:val="auto"/>
              </w:rPr>
            </w:pPr>
          </w:p>
        </w:tc>
      </w:tr>
      <w:tr>
        <w:trPr>
          <w:trHeight w:val="238"/>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7"/>
        </w:trPr>
        <w:tc>
          <w:tcPr>
            <w:tcW w:w="8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69,836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40,398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72,577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71,428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86,803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3,519</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Property and equipment and other assets available for sale</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259,424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252,002</w:t>
            </w:r>
          </w:p>
        </w:tc>
        <w:tc>
          <w:tcPr>
            <w:tcW w:w="0" w:type="dxa"/>
            <w:vAlign w:val="bottom"/>
          </w:tcPr>
          <w:p>
            <w:pPr>
              <w:spacing w:after="0"/>
              <w:rPr>
                <w:sz w:val="1"/>
                <w:szCs w:val="1"/>
                <w:color w:val="auto"/>
              </w:rPr>
            </w:pPr>
          </w:p>
        </w:tc>
      </w:tr>
      <w:tr>
        <w:trPr>
          <w:trHeight w:val="169"/>
        </w:trPr>
        <w:tc>
          <w:tcPr>
            <w:tcW w:w="8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67,484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receivables, less current maturities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27,683</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13,323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372,651</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47,834</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50,897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36,626</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Warranty obligations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9,764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37"/>
        </w:trPr>
        <w:tc>
          <w:tcPr>
            <w:tcW w:w="83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130,394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145,965</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15,860</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10,707</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22,105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Long-term income taxes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582</w:t>
            </w:r>
          </w:p>
        </w:tc>
        <w:tc>
          <w:tcPr>
            <w:tcW w:w="0" w:type="dxa"/>
            <w:vAlign w:val="bottom"/>
          </w:tcPr>
          <w:p>
            <w:pPr>
              <w:spacing w:after="0"/>
              <w:rPr>
                <w:sz w:val="1"/>
                <w:szCs w:val="1"/>
                <w:color w:val="auto"/>
              </w:rPr>
            </w:pP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3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52,712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49,706</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60"/>
          </w:cols>
          <w:pgMar w:left="320" w:top="118" w:right="519" w:bottom="1440" w:gutter="0" w:footer="0" w:header="0"/>
        </w:sectPr>
      </w:pPr>
    </w:p>
    <w:p>
      <w:pPr>
        <w:spacing w:after="0" w:line="17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60"/>
          </w:cols>
          <w:pgMar w:left="320" w:top="118" w:right="519" w:bottom="1440" w:gutter="0" w:footer="0" w:header="0"/>
          <w:type w:val="continuous"/>
        </w:sectPr>
      </w:pPr>
    </w:p>
    <w:bookmarkStart w:id="3" w:name="page4"/>
    <w:bookmarkEnd w:id="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24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May 2,</w:t>
            </w:r>
          </w:p>
        </w:tc>
      </w:tr>
      <w:tr>
        <w:trPr>
          <w:trHeight w:val="238"/>
        </w:trPr>
        <w:tc>
          <w:tcPr>
            <w:tcW w:w="8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5"/>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no par value, authorized 115,000,000 shares; 46,094,125 and 45,913,209</w:t>
            </w: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8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shares issued at October 31, 2020 and May 2, 2020, respectively</w:t>
            </w:r>
          </w:p>
        </w:tc>
        <w:tc>
          <w:tcPr>
            <w:tcW w:w="14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60,010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60,010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44,627</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95,973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85,090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83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Treasury Stock, at cost, 1,297,409 and 1,343,281 shares at October 31, 2020 and May 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83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2020,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r>
      <w:tr>
        <w:trPr>
          <w:trHeight w:val="243"/>
        </w:trPr>
        <w:tc>
          <w:tcPr>
            <w:tcW w:w="8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190,405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176,980</w:t>
            </w:r>
          </w:p>
        </w:tc>
      </w:tr>
      <w:tr>
        <w:trPr>
          <w:trHeight w:val="297"/>
        </w:trPr>
        <w:tc>
          <w:tcPr>
            <w:tcW w:w="83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373,511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372,651</w:t>
            </w:r>
          </w:p>
        </w:tc>
      </w:tr>
      <w:tr>
        <w:trPr>
          <w:trHeight w:val="163"/>
        </w:trPr>
        <w:tc>
          <w:tcPr>
            <w:tcW w:w="8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60"/>
          </w:cols>
          <w:pgMar w:left="320" w:top="118" w:right="519" w:bottom="1440" w:gutter="0" w:footer="0" w:header="0"/>
        </w:sectPr>
      </w:pPr>
    </w:p>
    <w:bookmarkStart w:id="4" w:name="page5"/>
    <w:bookmarkEnd w:id="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4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127,367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271,011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355,167</w:t>
            </w: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94,053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134,824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201,936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269,575</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33,314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40,087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69,075</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85,592</w:t>
            </w:r>
          </w:p>
        </w:tc>
      </w:tr>
      <w:tr>
        <w:trPr>
          <w:trHeight w:val="283"/>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Selling</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34,474</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18,058</w:t>
            </w: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20,621</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49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26,655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35,263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52,867</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73,153</w:t>
            </w:r>
          </w:p>
        </w:tc>
      </w:tr>
      <w:tr>
        <w:trPr>
          <w:trHeight w:val="237"/>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6,659</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16,208</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12,439</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4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4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77"/>
        </w:trPr>
        <w:tc>
          <w:tcPr>
            <w:tcW w:w="49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14,738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12,483</w:t>
            </w: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2,388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(1,821)</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10,883</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14,304</w:t>
            </w:r>
          </w:p>
        </w:tc>
      </w:tr>
      <w:tr>
        <w:trPr>
          <w:trHeight w:val="20"/>
        </w:trPr>
        <w:tc>
          <w:tcPr>
            <w:tcW w:w="4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70"/>
        </w:trPr>
        <w:tc>
          <w:tcPr>
            <w:tcW w:w="4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45,115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45,114</w:t>
            </w:r>
          </w:p>
        </w:tc>
      </w:tr>
      <w:tr>
        <w:trPr>
          <w:trHeight w:val="27"/>
        </w:trPr>
        <w:tc>
          <w:tcPr>
            <w:tcW w:w="4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44,977</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45,267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44,947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45,361</w:t>
            </w:r>
          </w:p>
        </w:tc>
      </w:tr>
      <w:tr>
        <w:trPr>
          <w:trHeight w:val="283"/>
        </w:trPr>
        <w:tc>
          <w:tcPr>
            <w:tcW w:w="4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7"/>
        </w:trPr>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49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0"/>
        </w:trPr>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4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5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r>
      <w:tr>
        <w:trPr>
          <w:trHeight w:val="238"/>
        </w:trPr>
        <w:tc>
          <w:tcPr>
            <w:tcW w:w="5160" w:type="dxa"/>
            <w:vAlign w:val="bottom"/>
          </w:tcPr>
          <w:p>
            <w:pPr>
              <w:spacing w:after="0"/>
              <w:rPr>
                <w:sz w:val="20"/>
                <w:szCs w:val="20"/>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27"/>
        </w:trPr>
        <w:tc>
          <w:tcPr>
            <w:tcW w:w="51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77"/>
        </w:trPr>
        <w:tc>
          <w:tcPr>
            <w:tcW w:w="5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14,304</w:t>
            </w:r>
          </w:p>
        </w:tc>
      </w:tr>
      <w:tr>
        <w:trPr>
          <w:trHeight w:val="283"/>
        </w:trPr>
        <w:tc>
          <w:tcPr>
            <w:tcW w:w="5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7"/>
        </w:trPr>
        <w:tc>
          <w:tcPr>
            <w:tcW w:w="5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1,421</w:t>
            </w: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4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12,304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13,968</w:t>
            </w:r>
          </w:p>
        </w:tc>
      </w:tr>
      <w:tr>
        <w:trPr>
          <w:trHeight w:val="20"/>
        </w:trPr>
        <w:tc>
          <w:tcPr>
            <w:tcW w:w="5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09803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80"/>
          </w:cols>
          <w:pgMar w:left="320" w:top="118" w:right="399" w:bottom="1440" w:gutter="0" w:footer="0" w:header="0"/>
        </w:sectPr>
      </w:pPr>
    </w:p>
    <w:bookmarkStart w:id="6" w:name="page7"/>
    <w:bookmarkEnd w:id="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Treasury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Comprehensive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85,090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176,980</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7,467</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1,037</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reissued</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36"/>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August 1, 2020</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45,192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92,557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186,222</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3,416</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95,973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190,405</w:t>
            </w:r>
          </w:p>
        </w:tc>
      </w:tr>
      <w:tr>
        <w:trPr>
          <w:trHeight w:val="20"/>
        </w:trPr>
        <w:tc>
          <w:tcPr>
            <w:tcW w:w="3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Accumulated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Additional</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Other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Common</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Paid-In</w:t>
            </w:r>
          </w:p>
        </w:tc>
        <w:tc>
          <w:tcPr>
            <w:tcW w:w="18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Retained</w:t>
            </w: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Treasury</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Comprehensive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Capital</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Earnings</w:t>
            </w:r>
          </w:p>
        </w:tc>
        <w:tc>
          <w:tcPr>
            <w:tcW w:w="18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3"/>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April 27,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93,593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187,663</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7,030</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r>
      <w:tr>
        <w:trPr>
          <w:trHeight w:val="225"/>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 ($0.05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purchase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r>
      <w:tr>
        <w:trPr>
          <w:trHeight w:val="27"/>
        </w:trPr>
        <w:tc>
          <w:tcPr>
            <w:tcW w:w="3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3"/>
        </w:trPr>
        <w:tc>
          <w:tcPr>
            <w:tcW w:w="3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August 3, 2019</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98,373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192,193</w:t>
            </w:r>
          </w:p>
        </w:tc>
      </w:tr>
      <w:tr>
        <w:trPr>
          <w:trHeight w:val="237"/>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7,274</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Cumulative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25"/>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net of tax</w:t>
            </w:r>
          </w:p>
        </w:tc>
        <w:tc>
          <w:tcPr>
            <w:tcW w:w="1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savings plan activity</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798</w:t>
            </w:r>
          </w:p>
        </w:tc>
      </w:tr>
      <w:tr>
        <w:trPr>
          <w:trHeight w:val="243"/>
        </w:trPr>
        <w:tc>
          <w:tcPr>
            <w:tcW w:w="3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declared ($0.05 per share)</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r>
      <w:tr>
        <w:trPr>
          <w:trHeight w:val="27"/>
        </w:trPr>
        <w:tc>
          <w:tcPr>
            <w:tcW w:w="3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purchase</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50"/>
        </w:trPr>
        <w:tc>
          <w:tcPr>
            <w:tcW w:w="36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November 2, 2019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59,276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43,546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103,397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198,011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316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1686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38"/>
        </w:trPr>
        <w:tc>
          <w:tcPr>
            <w:tcW w:w="8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loss on sale of property, equipment and other assets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1,184</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Equity in loss of affiliates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18,343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0" w:type="dxa"/>
            <w:vAlign w:val="bottom"/>
          </w:tcPr>
          <w:p>
            <w:pPr>
              <w:spacing w:after="0"/>
              <w:rPr>
                <w:sz w:val="1"/>
                <w:szCs w:val="1"/>
                <w:color w:val="auto"/>
              </w:rPr>
            </w:pPr>
          </w:p>
        </w:tc>
      </w:tr>
      <w:tr>
        <w:trPr>
          <w:trHeight w:val="237"/>
        </w:trPr>
        <w:tc>
          <w:tcPr>
            <w:tcW w:w="83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39,975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Proceeds from sales of property, equipment and other assets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Proceeds from sales or maturities of marketable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22,775</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Purchases of and loans to equity investment</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0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12,260</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Principal payments on long-term obligations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Payments for common shares repurchased</w:t>
            </w: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 payments related to RSU issuances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7"/>
        </w:trPr>
        <w:tc>
          <w:tcPr>
            <w:tcW w:w="830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3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169"/>
        </w:trPr>
        <w:tc>
          <w:tcPr>
            <w:tcW w:w="8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Beginning of period</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35,742</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73,453</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29,324</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paid (received) for:</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43"/>
        </w:trPr>
        <w:tc>
          <w:tcPr>
            <w:tcW w:w="8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1,051</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43"/>
        </w:trPr>
        <w:tc>
          <w:tcPr>
            <w:tcW w:w="83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Contributions of common stock under the ESPP</w:t>
            </w:r>
          </w:p>
        </w:tc>
        <w:tc>
          <w:tcPr>
            <w:tcW w:w="16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18" w:right="359"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20"/>
          </w:cols>
          <w:pgMar w:left="320" w:top="118" w:right="359" w:bottom="1440" w:gutter="0" w:footer="0" w:header="0"/>
          <w:type w:val="continuous"/>
        </w:sectPr>
      </w:pPr>
    </w:p>
    <w:bookmarkStart w:id="9" w:name="page10"/>
    <w:bookmarkEnd w:id="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NOTES TO THE CONDENSED CONSOLIDATED FINANCIAL STATEMENTS </w:t>
      </w:r>
      <w:r>
        <w:rPr>
          <w:rFonts w:ascii="Times New Roman" w:cs="Times New Roman" w:eastAsia="Times New Roman" w:hAnsi="Times New Roman"/>
          <w:sz w:val="18"/>
          <w:szCs w:val="18"/>
          <w:color w:val="auto"/>
        </w:rPr>
        <w:t>(dollar amounts in thousands, except per share data)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Daktronics, Inc. and its subsidiaries (the “Company”, “Daktronics”, “we”, “our”, or “us”) are the world's industry leader in designing and manufacturing electronic scoreboards, programmable display systems and large screen video displays for sporting, commercial and transportation applications.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contain all adjustments (consisting of normal recurring adjustments) necessary to fairly present our financial position, results of operations and cash flows for the periods presented. The preparation of financial statements in conformity with generally accepted accounting principles in the United States of America ("GAAP") requires management to make estimates and assumptions affecting the reported amounts therein. Due to the inherent uncertainty involved in making estimates, actual results in future periods may differ from those estimates.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information and disclosures normally included in financial statements prepared in accordance with GAAP have been condensed or omitted. The balance sheet at May 2, 2020, has been derived from the audited financial statements at that date, but it does not include all the information and disclosures required by GAAP for complete financial statements. These financial statements should be read in conjunction with our financial statements and notes thereto for the year ended May 2, 2020, which are contained in our Annual Report on Form 10-K previously filed with the Securities and Exchange Commission ("SEC"). The results of operations for the interim periods presented are not necessarily indicative of results that may be expected for any other interim period or for the full fiscal year.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ending May 1, 2021 will consist of 52 weeks and the fiscal year ended May 2, 2020 was a 53-week year; therefore, the six months ended October 31, 2020 contains operating results for 26 weeks while the six months ended November 2, 2019 contains operating results for 27 weeks.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condensed consolidated balance sheets that sum to the totals of the same amounts shown in the condensed consolidated statements of cash flows. We have bank guarantees that are secured with cash collateral which is maintained in the restricted cash account.</w:t>
      </w:r>
    </w:p>
    <w:p>
      <w:pPr>
        <w:spacing w:after="0" w:line="11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0" w:type="dxa"/>
            <w:vAlign w:val="bottom"/>
          </w:tcPr>
          <w:p>
            <w:pPr>
              <w:spacing w:after="0"/>
              <w:rPr>
                <w:sz w:val="1"/>
                <w:szCs w:val="1"/>
                <w:color w:val="auto"/>
              </w:rPr>
            </w:pPr>
          </w:p>
        </w:tc>
      </w:tr>
      <w:tr>
        <w:trPr>
          <w:trHeight w:val="238"/>
        </w:trPr>
        <w:tc>
          <w:tcPr>
            <w:tcW w:w="7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69,836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29,265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6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 statement of cash</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73,453</w:t>
            </w:r>
          </w:p>
        </w:tc>
        <w:tc>
          <w:tcPr>
            <w:tcW w:w="2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29,324</w:t>
            </w:r>
          </w:p>
        </w:tc>
        <w:tc>
          <w:tcPr>
            <w:tcW w:w="0" w:type="dxa"/>
            <w:vAlign w:val="bottom"/>
          </w:tcPr>
          <w:p>
            <w:pPr>
              <w:spacing w:after="0"/>
              <w:rPr>
                <w:sz w:val="1"/>
                <w:szCs w:val="1"/>
                <w:color w:val="auto"/>
              </w:rPr>
            </w:pPr>
          </w:p>
        </w:tc>
      </w:tr>
      <w:tr>
        <w:trPr>
          <w:trHeight w:val="24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flows</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Business Developments - Coronavirus Pandemic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first six months of fiscal 2021, we continued to see the global spread of the coronavirus pandemic ("COVID-19"), which grew to create significant volatility, uncertainty and global economic disruption. As disclosed in our Current Report on Form 8-K filed on April 1, 2020, we are taking proactive steps to solidify our financial position and mitigate any adverse consequences. These steps include preserving liquidity by drawing down $15,000 of our existing line of credit, which is included in the "Other long-term obligations" line item in our condensed consolidated balance sheets. In addition, we are pursuing other sources of financing, reducing investments in capital assets, have reduced executive pay and board member compensation, and have or are continuing to institute initiatives to reduce other costs in the business. Our board of directors voted to suspend stock repurchases under our share repurchase program and to suspend dividends for the foreseeable future. We believe these measures help to preserve our ability to borrow for liquidity needs and position us well for when the pandemic passes and economies begin to recover.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2020, we offered special voluntary retirement and voluntary exit incentive program ("Offering") and during the first six months of fiscal 2021, we conducted two reductions in force ("RIF") to adjust our capacity and reduce on-going expenses due to the reduced revenue and uncertainties created by the COVID-19 pandemic. During the first quarter of fiscal 2021, 60 employees agreed to participate in the Offering and completed employment. The approximate cost of this Offering was $931 during the first quarter of fiscal 2021. Under the RIF, employment was terminated with 108 employees with severance totaling $1,426 during the first quarter of fiscal 2021 and 150 employees with severance totaling $2,742 during the second quarter of fiscal 2021.</w:t>
      </w:r>
    </w:p>
    <w:p>
      <w:pPr>
        <w:sectPr>
          <w:pgSz w:w="11900" w:h="16838" w:orient="portrait"/>
          <w:cols w:equalWidth="0" w:num="1">
            <w:col w:w="11240"/>
          </w:cols>
          <w:pgMar w:left="320" w:top="118"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Various government programs have been announced which provide financial relief for affected businesses that suffered reductions in revenue resulting from the COVID-19 pandemic including the Canada Emergency Wage Subsidy ("CEWS") under the COVID-19 Economic Response Plan in Canada, the Australian JobKeeper subsidy in Australia, the Temporary COVID-19 Wage Subsidy in Ireland, and the Job Retention Program in the United Kingdom. We received governmental wage subsidies of $812 during the first quarter of fiscal 2021 and $566 during the second quarter of fiscal 2021 and recorded such as a reduction of compensation expense, which is mostly included in the "Costs of sales" line item in our condensed consolidated statements of operations. Under the Coronavirus Aid, Relief, and Economic Security Act, we have elected to defer payments of the employer portion of social security taxes during the payroll tax deferral period. The payroll tax deferral period ends on December 31, 2020. As of October 31, 2020 the total amount of such deferral was $3,976, which is included in the "Other long-term obligations" line item in our condensed consolidated balance sheet. Per the terms of the deferral program, 50 percent of the deferred amount is due on December 31, 2021 with the remaining 50 percent due on December 31,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significant accounting policies and estimates as described in our Annual Report on Form 10-K for the fiscal year ended May 2, 2020, other than described in the Accounting Standards Adopted section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Financial Accounting Standards Board ("FASB") issued Accounting Standards Update ("ASU") 2017-04, </w:t>
      </w:r>
      <w:r>
        <w:rPr>
          <w:rFonts w:ascii="Times New Roman" w:cs="Times New Roman" w:eastAsia="Times New Roman" w:hAnsi="Times New Roman"/>
          <w:sz w:val="18"/>
          <w:szCs w:val="18"/>
          <w:i w:val="1"/>
          <w:iCs w:val="1"/>
          <w:color w:val="auto"/>
        </w:rPr>
        <w:t>Intangibles-Goodwill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(Topic 350), </w:t>
      </w:r>
      <w:r>
        <w:rPr>
          <w:rFonts w:ascii="Times New Roman" w:cs="Times New Roman" w:eastAsia="Times New Roman" w:hAnsi="Times New Roman"/>
          <w:sz w:val="18"/>
          <w:szCs w:val="18"/>
          <w:color w:val="auto"/>
        </w:rPr>
        <w:t>which simplifies the subsequent measurement of goodwill by removing the second step of the two-step impairment test. The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an entity to perform its annual or interim goodwill impairment test by comparing the fair value of a reporting unit with its carrying amount. A goodwill impairment will be the amount by which a reporting unit’s carrying value exceeds its fair value, not to exceed the carrying amount of goodwill. We adopted ASU 2017-04 during the first quarter of fiscal 2021 and the adoption did not have an impact on our condensed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xml:space="preserve"> which provides guidance regarding the measurement and recognition of credit impairment for certain financial assets. ASU 2016-13 improves financial reporting by requiring more timely recording of credit losses on loans and other financial instruments held by financial institutions and other organizations. Under the new guidance, the ASU requires an organization to measure all expected credit losses for financial assets held at the reporting date based on historical experience, current conditions, and reasonable supportable forecasts. We adopted ASU 2016-13 and its related guidance during the first quarter of fiscal 2021 and the adoption did not have a material impact on our condensed consolidated financial statements.</w:t>
      </w:r>
    </w:p>
    <w:p>
      <w:pPr>
        <w:spacing w:after="0" w:line="184" w:lineRule="exact"/>
        <w:rPr>
          <w:sz w:val="20"/>
          <w:szCs w:val="20"/>
          <w:color w:val="auto"/>
        </w:rPr>
      </w:pPr>
    </w:p>
    <w:p>
      <w:pPr>
        <w:ind w:right="1440"/>
        <w:spacing w:after="0" w:line="282" w:lineRule="auto"/>
        <w:rPr>
          <w:sz w:val="20"/>
          <w:szCs w:val="20"/>
          <w:color w:val="auto"/>
        </w:rPr>
      </w:pPr>
      <w:r>
        <w:rPr>
          <w:rFonts w:ascii="Times New Roman" w:cs="Times New Roman" w:eastAsia="Times New Roman" w:hAnsi="Times New Roman"/>
          <w:sz w:val="18"/>
          <w:szCs w:val="18"/>
          <w:color w:val="auto"/>
        </w:rPr>
        <w:t>We estimate an allowance for doubtful accounts using a loss rate method. We measure all expected credit losses for financial assets held at the reporting date based on historical experience, current conditions, and reasonable supportable forecasts.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reconciliation of the beginning and ending allowance for doubtful accounts is as follows: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340" w:type="dxa"/>
            <w:vAlign w:val="bottom"/>
          </w:tcPr>
          <w:p>
            <w:pPr>
              <w:spacing w:after="0"/>
              <w:rPr>
                <w:sz w:val="24"/>
                <w:szCs w:val="24"/>
                <w:color w:val="auto"/>
              </w:rPr>
            </w:pPr>
          </w:p>
        </w:tc>
        <w:tc>
          <w:tcPr>
            <w:tcW w:w="9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9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9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Charged to costs and expenses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9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9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Deductions (1)</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9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92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(1) Includes accounts determined to be uncollectible and charged against reserves.</w:t>
            </w: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tcPr>
          <w:p>
            <w:pPr>
              <w:spacing w:after="0"/>
              <w:rPr>
                <w:sz w:val="17"/>
                <w:szCs w:val="17"/>
                <w:color w:val="auto"/>
              </w:rPr>
            </w:pPr>
          </w:p>
        </w:tc>
        <w:tc>
          <w:tcPr>
            <w:tcW w:w="9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Not Yet Adopted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ASU's issued not yet adopted as of October 31,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Investments in Affiliates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Investments in affiliates over which we have significant influence are accounted for under the equity method of accounting, recording the investment at cost and then subsequently adjusting to account for our share of the affiliates profit or losses, in accordance with the provisions of Accounting Standards Codification ("ASC") 323, </w:t>
      </w:r>
      <w:r>
        <w:rPr>
          <w:rFonts w:ascii="Times New Roman" w:cs="Times New Roman" w:eastAsia="Times New Roman" w:hAnsi="Times New Roman"/>
          <w:sz w:val="18"/>
          <w:szCs w:val="18"/>
          <w:i w:val="1"/>
          <w:iCs w:val="1"/>
          <w:color w:val="auto"/>
        </w:rPr>
        <w:t>Investments – Equity Method and Joint Ventures</w:t>
      </w:r>
      <w:r>
        <w:rPr>
          <w:rFonts w:ascii="Times New Roman" w:cs="Times New Roman" w:eastAsia="Times New Roman" w:hAnsi="Times New Roman"/>
          <w:sz w:val="18"/>
          <w:szCs w:val="18"/>
          <w:color w:val="auto"/>
        </w:rPr>
        <w:t>. Investments in affiliates over which we do not have the ability to exert significant influence over the affiliate's operating and financing activities are accounted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under the cost method of accounting, recording the investment at cost and then subsequently adjusting for any changes in ownership or dividends, in accordance with the provisions of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We have evaluated our relationships with our affiliates and have determined that these entities are not variable interest entities. Cash paid for investments in affiliates and loans to affiliates are included in the "Purchases of and loans to equity investment" line item in our condensed consolidated statements of cash flows. Equity method investments as a whole are assessed for other-than-temporary impairments whenever events or changes in circumstances indicate that the carrying amount of the investment may not be recoverable.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amount of investments accounted for under the equity method was $16,112 and $17,257 at October 31, 2020 and May 2, 2020, respectively. Our proportional share of the respective affiliates' earnings or losses is included in the "Other (expense) income, net" line item in our condensed consolidated statements of operations. For the six months ended October 31, 2020 and November 2, 2019, our share of the losses of our affiliates was $1,145 and $241, respectively. We purchased services for research and development activities from our equity method investments. The total of these related party transactions was $560 for the six months ended October 31, 2020, which was included in the "Product design and development" line item in in our condensed consolidated statement of operations and remains unpaid and is included in the "Accounts payable" line item in our condensed consolidated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Per Share ("EPS")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follow the provisions of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where basic EPS is computed by dividing income attributable to common shareholders by the weighted average number of common shares outstanding for the period. Diluted EPS reflects the potential dilution which may occur if securities or other obligations to issue common stock were exercised or converted into common stock or resulted in the issuance of common stock which share in our earnings.</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reconciliation of the net income and common share amounts used in the calculation of basic and diluted EPS for the three and six months ended October 31, 2020 and November 2, 2019: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7"/>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October 31, 2020</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November 2, 2019</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7,274</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October 31, 2020</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10,883</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10,883</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44,947</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6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For the six months ended November 2, 2019</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4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14,304</w:t>
            </w: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2,348 shares of common stock with a weighted average exercise price of $9.28 for the three months ended October 31, 2020 and 2,282 shares of common stock with a weighted average exercise price of $9.90 for the three months ended November 2, 2019 were not included in the computation of diluted earnings per share because the effects would be anti-dilutive.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outstanding to purchase 2,233 shares of common stock with a weighted average exercise price of $9.61 for the six months ended October 31, 2020 and 2,238 shares of common stock with a weighted average exercise price of $9.97 for the six months ended November 2, 2019 were not included in the computation of diluted earnings per share because the effects would be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accordance with ASC 606-10-50, we disaggregate revenue from contracts with customers by the type of performance obligation and the timing of revenue recognition. We determine that disaggregating revenue in these categories achieves the disclosure objective to</w:t>
      </w:r>
    </w:p>
    <w:p>
      <w:pPr>
        <w:sectPr>
          <w:pgSz w:w="11900" w:h="16838" w:orient="portrait"/>
          <w:cols w:equalWidth="0" w:num="1">
            <w:col w:w="11240"/>
          </w:cols>
          <w:pgMar w:left="320" w:top="118"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depict how the nature, amount, timing and uncertainty of revenue and cash flows are affected by economic factors and to enable users of financial statements to understand the relationship to each reportable segment.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disaggregation of revenue by segments:</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0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October 31, 2020</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27,302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51,243</w:t>
            </w:r>
          </w:p>
        </w:tc>
      </w:tr>
      <w:tr>
        <w:trPr>
          <w:trHeight w:val="243"/>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62,967</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13,157</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30,356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127,367</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5"/>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23,226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6,736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64,078</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31,086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9,393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63,289</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30,356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37,822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27,578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16,288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127,367</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8"/>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Six Months Ended October 31, 2020</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121,349</w:t>
            </w:r>
          </w:p>
        </w:tc>
      </w:tr>
      <w:tr>
        <w:trPr>
          <w:trHeight w:val="243"/>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126,548</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23,114</w:t>
            </w:r>
          </w:p>
        </w:tc>
      </w:tr>
      <w:tr>
        <w:trPr>
          <w:trHeight w:val="236"/>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89,296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271,011</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0"/>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5"/>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46,118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12,304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128,105</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18,744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142,906</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64,862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89,296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56,521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30,511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271,011</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18" w:right="359" w:bottom="1440" w:gutter="0" w:footer="0" w:header="0"/>
        </w:sectPr>
      </w:pPr>
    </w:p>
    <w:bookmarkStart w:id="13" w:name="page14"/>
    <w:bookmarkEnd w:id="1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10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November 2, 2019</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41,413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78,567</w:t>
            </w:r>
          </w:p>
        </w:tc>
      </w:tr>
      <w:tr>
        <w:trPr>
          <w:trHeight w:val="243"/>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7,383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82,801</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13,543</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174,911</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5"/>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13,169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7,521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83,606</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46,150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12,809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11,918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91,305</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59,319</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30,193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20,330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25,418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174,911</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8"/>
        </w:trPr>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November 2, 2019</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High School</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Park and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Recreation</w:t>
            </w: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4"/>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Type of performance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obligation</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Unique configuration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87,000</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170,724</w:t>
            </w:r>
          </w:p>
        </w:tc>
      </w:tr>
      <w:tr>
        <w:trPr>
          <w:trHeight w:val="243"/>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Limited configuration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158,066</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and other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3,576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26,377</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118,625</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39,348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355,167</w:t>
            </w:r>
          </w:p>
        </w:tc>
      </w:tr>
      <w:tr>
        <w:trPr>
          <w:trHeight w:val="67"/>
        </w:trPr>
        <w:tc>
          <w:tcPr>
            <w:tcW w:w="24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31"/>
        </w:trPr>
        <w:tc>
          <w:tcPr>
            <w:tcW w:w="2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25"/>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Goods/services transferred at a</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2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point in time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55,007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22,289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44,711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14,218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23,688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159,913</w:t>
            </w:r>
          </w:p>
        </w:tc>
      </w:tr>
      <w:tr>
        <w:trPr>
          <w:trHeight w:val="27"/>
        </w:trPr>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5"/>
        </w:trPr>
        <w:tc>
          <w:tcPr>
            <w:tcW w:w="2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Goods/services transferred</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61"/>
        </w:trPr>
        <w:tc>
          <w:tcPr>
            <w:tcW w:w="24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over time</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15,947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29,162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195,254</w:t>
            </w:r>
          </w:p>
        </w:tc>
      </w:tr>
      <w:tr>
        <w:trPr>
          <w:trHeight w:val="237"/>
        </w:trPr>
        <w:tc>
          <w:tcPr>
            <w:tcW w:w="24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83,686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118,625</w:t>
            </w:r>
          </w:p>
        </w:tc>
        <w:tc>
          <w:tcPr>
            <w:tcW w:w="10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60,658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39,348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355,167</w:t>
            </w:r>
          </w:p>
        </w:tc>
      </w:tr>
      <w:tr>
        <w:trPr>
          <w:trHeight w:val="27"/>
        </w:trPr>
        <w:tc>
          <w:tcPr>
            <w:tcW w:w="2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5. Segment Reporting" for a disaggregation of revenue by geography.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balances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revenue recognized in excess of amounts billed and include unbilled receivables. Unbilled receivables, which represent an unconditional right to payment subject only to the passage of time, are reclassified to accounts receivable when they are billed according to the contract terms. Contract liabilities represent amounts billed to the customers in excess of revenue recognized to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changes in our contract assets and liabilities: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8"/>
        </w:trPr>
        <w:tc>
          <w:tcPr>
            <w:tcW w:w="3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Dollar Change</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 Change</w:t>
            </w:r>
          </w:p>
        </w:tc>
      </w:tr>
      <w:tr>
        <w:trPr>
          <w:trHeight w:val="27"/>
        </w:trPr>
        <w:tc>
          <w:tcPr>
            <w:tcW w:w="3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3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43"/>
        </w:trPr>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liabilities - current</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10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w:t>
            </w:r>
          </w:p>
        </w:tc>
      </w:tr>
      <w:tr>
        <w:trPr>
          <w:trHeight w:val="27"/>
        </w:trPr>
        <w:tc>
          <w:tcPr>
            <w:tcW w:w="3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 - noncurrent</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r>
      <w:tr>
        <w:trPr>
          <w:trHeight w:val="27"/>
        </w:trPr>
        <w:tc>
          <w:tcPr>
            <w:tcW w:w="37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our contract assets and contract liabilities from May 2, 2020 to October 31, 2020 were due to the timing of billing schedules and revenue recognition, which can vary significantly depending on the contractual payment terms and the seasonality of the sports markets. We had no material impairments of contract assets for the six months ended October 31, 2020.</w:t>
      </w:r>
    </w:p>
    <w:p>
      <w:pPr>
        <w:sectPr>
          <w:pgSz w:w="11900" w:h="16838" w:orient="portrait"/>
          <w:cols w:equalWidth="0" w:num="1">
            <w:col w:w="11240"/>
          </w:cols>
          <w:pgMar w:left="320" w:top="11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18" w:right="339" w:bottom="1440" w:gutter="0" w:footer="0" w:header="0"/>
          <w:type w:val="continuous"/>
        </w:sectPr>
      </w:pPr>
    </w:p>
    <w:bookmarkStart w:id="14" w:name="page15"/>
    <w:bookmarkEnd w:id="1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service-type warranty contracts, we allocate revenue to this performance obligation, recognize the revenue over time, and recognize costs as incurred. Earned and unearned revenues for these contracts are included in the "Contract assets" and "Contract liabilities" line items in our condensed consolidated balance sheets. Changes in unearned service-type warranty contracts, net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 2020</w:t>
            </w:r>
          </w:p>
        </w:tc>
      </w:tr>
      <w:tr>
        <w:trPr>
          <w:trHeight w:val="27"/>
        </w:trPr>
        <w:tc>
          <w:tcPr>
            <w:tcW w:w="6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24,490</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New contracts sold</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20,756</w:t>
            </w:r>
          </w:p>
        </w:tc>
      </w:tr>
      <w:tr>
        <w:trPr>
          <w:trHeight w:val="27"/>
        </w:trPr>
        <w:tc>
          <w:tcPr>
            <w:tcW w:w="6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Less: reductions for revenue recognized</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w:t>
            </w:r>
          </w:p>
        </w:tc>
      </w:tr>
      <w:tr>
        <w:trPr>
          <w:trHeight w:val="243"/>
        </w:trPr>
        <w:tc>
          <w:tcPr>
            <w:tcW w:w="6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
        </w:trPr>
        <w:tc>
          <w:tcPr>
            <w:tcW w:w="6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r>
      <w:tr>
        <w:trPr>
          <w:trHeight w:val="20"/>
        </w:trPr>
        <w:tc>
          <w:tcPr>
            <w:tcW w:w="6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2020 and May 2, 2020, our contracts in progress that were identified as loss contracts were immaterial. For these contracts, the provision for losses are included in the "Accrued expenses" line item in our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October 31, 2020, we recognized revenue of $37,973 related to our contract liabilities as of May 2, 2020.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Remaining performance obligations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October 31, 2020, the aggregate amount of the transaction price allocated to the remaining performance obligations was $254,253. We expect approximately $211,663 of our remaining performance obligations to be recognized over the next 12 months, with the remainder recognized thereafter. Remaining performance obligations related to product and service agreements at October 31, 2020 are $200,505 and $53,748, respectively.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Segment Reporting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We organize and manage our business by the following five segments which meet the definition of reportable segments under ASC 280-10,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Commercial, Live Events, High School Park and Recreation, Transportation, and International. These segments are based on the customer type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geography and are the same as our business units. We evaluate segment performance based on operating results through contribution margin, which is comprised of gross profit less selling expense. We exclude general and administration expense, product design and development expense, non-operating income and expense, and income tax expense (benefit) in the segment analysis. Separate financial information is available and regularly evaluated by our chief operating decision-maker (CODM), who is our president and chief executive officer, in making resource allocation decisions for our segments.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financial information for each of our five reporting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7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38"/>
        </w:trPr>
        <w:tc>
          <w:tcPr>
            <w:tcW w:w="5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39,651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64,862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83,686</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89,296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118,625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56,521</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60,658</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15,323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29,821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39,348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30,511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52,850</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127,367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174,911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271,011</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355,167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8,578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16,320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17,080</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16,654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18,973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3,627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4,064</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6,673</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10,673</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33,314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40,087</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69,075</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85,592</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Contribution margin: (1)</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9,222</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6,937</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12,019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17,234</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13,866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12,580</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8,827</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20,660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23,910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44,865</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51,118</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Non-allocated operating expenses: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14,388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18,058</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6,737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14,269</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16,208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12,439</w:t>
            </w:r>
          </w:p>
        </w:tc>
        <w:tc>
          <w:tcPr>
            <w:tcW w:w="0" w:type="dxa"/>
            <w:vAlign w:val="bottom"/>
          </w:tcPr>
          <w:p>
            <w:pPr>
              <w:spacing w:after="0"/>
              <w:rPr>
                <w:sz w:val="1"/>
                <w:szCs w:val="1"/>
                <w:color w:val="auto"/>
              </w:rPr>
            </w:pPr>
          </w:p>
        </w:tc>
      </w:tr>
      <w:tr>
        <w:trPr>
          <w:trHeight w:val="176"/>
        </w:trPr>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14,738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12,483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2,388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97"/>
        </w:trPr>
        <w:tc>
          <w:tcPr>
            <w:tcW w:w="51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3,416</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7,274</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10,883</w:t>
            </w:r>
          </w:p>
        </w:tc>
        <w:tc>
          <w:tcPr>
            <w:tcW w:w="2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14,304</w:t>
            </w:r>
          </w:p>
        </w:tc>
        <w:tc>
          <w:tcPr>
            <w:tcW w:w="0" w:type="dxa"/>
            <w:vAlign w:val="bottom"/>
          </w:tcPr>
          <w:p>
            <w:pPr>
              <w:spacing w:after="0"/>
              <w:rPr>
                <w:sz w:val="1"/>
                <w:szCs w:val="1"/>
                <w:color w:val="auto"/>
              </w:rPr>
            </w:pPr>
          </w:p>
        </w:tc>
      </w:tr>
      <w:tr>
        <w:trPr>
          <w:trHeight w:val="162"/>
        </w:trPr>
        <w:tc>
          <w:tcPr>
            <w:tcW w:w="5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1,869</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2,792</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43"/>
        </w:trPr>
        <w:tc>
          <w:tcPr>
            <w:tcW w:w="5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Unallocated corporate depreciation</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8,564</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8,724</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Contribution margin consists of gross profit less selling expense.</w:t>
      </w:r>
    </w:p>
    <w:p>
      <w:pPr>
        <w:sectPr>
          <w:pgSz w:w="11900" w:h="16838" w:orient="portrait"/>
          <w:cols w:equalWidth="0" w:num="1">
            <w:col w:w="11240"/>
          </w:cols>
          <w:pgMar w:left="320" w:top="118"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single geographic area comprises a material amount of our net sales or property and equipment, net of accumulated depreciation, other than the United States. The following table presents information about net sales and property and equipment, net of accumulated depreciation, in the United States and elsewhere: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26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1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38"/>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5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108,453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147,106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296,566</w:t>
            </w:r>
          </w:p>
        </w:tc>
        <w:tc>
          <w:tcPr>
            <w:tcW w:w="0" w:type="dxa"/>
            <w:vAlign w:val="bottom"/>
          </w:tcPr>
          <w:p>
            <w:pPr>
              <w:spacing w:after="0"/>
              <w:rPr>
                <w:sz w:val="1"/>
                <w:szCs w:val="1"/>
                <w:color w:val="auto"/>
              </w:rPr>
            </w:pP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34,489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58,601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127,367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174,911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271,011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355,167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b w:val="1"/>
          <w:bCs w:val="1"/>
          <w:color w:val="auto"/>
        </w:rPr>
        <w:t>October 31,</w:t>
      </w:r>
    </w:p>
    <w:p>
      <w:pPr>
        <w:spacing w:after="0" w:line="4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22860</wp:posOffset>
            </wp:positionV>
            <wp:extent cx="857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ind w:right="3340"/>
        <w:spacing w:after="0"/>
        <w:rPr>
          <w:sz w:val="20"/>
          <w:szCs w:val="20"/>
          <w:color w:val="auto"/>
        </w:rPr>
      </w:pPr>
      <w:r>
        <w:rPr>
          <w:rFonts w:ascii="Times New Roman" w:cs="Times New Roman" w:eastAsia="Times New Roman" w:hAnsi="Times New Roman"/>
          <w:sz w:val="18"/>
          <w:szCs w:val="18"/>
          <w:b w:val="1"/>
          <w:bCs w:val="1"/>
          <w:color w:val="auto"/>
        </w:rPr>
        <w:t>May 2,</w:t>
      </w:r>
    </w:p>
    <w:p>
      <w:pPr>
        <w:spacing w:after="0" w:line="31" w:lineRule="exact"/>
        <w:rPr>
          <w:sz w:val="20"/>
          <w:szCs w:val="20"/>
          <w:color w:val="auto"/>
        </w:rPr>
      </w:pPr>
    </w:p>
    <w:p>
      <w:pPr>
        <w:jc w:val="right"/>
        <w:ind w:right="3420"/>
        <w:spacing w:after="0"/>
        <w:rPr>
          <w:sz w:val="20"/>
          <w:szCs w:val="20"/>
          <w:color w:val="auto"/>
        </w:rPr>
      </w:pPr>
      <w:r>
        <w:rPr>
          <w:rFonts w:ascii="Times New Roman" w:cs="Times New Roman" w:eastAsia="Times New Roman" w:hAnsi="Times New Roman"/>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22860</wp:posOffset>
            </wp:positionV>
            <wp:extent cx="857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640" w:space="720"/>
            <w:col w:w="38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 of accumulated depreciation:</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55,522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58,422</w:t>
            </w:r>
          </w:p>
        </w:tc>
      </w:tr>
      <w:tr>
        <w:trPr>
          <w:trHeight w:val="243"/>
        </w:trPr>
        <w:tc>
          <w:tcPr>
            <w:tcW w:w="5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Outside United States</w:t>
            </w: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8,953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9,062</w:t>
            </w:r>
          </w:p>
        </w:tc>
      </w:tr>
      <w:tr>
        <w:trPr>
          <w:trHeight w:val="27"/>
        </w:trPr>
        <w:tc>
          <w:tcPr>
            <w:tcW w:w="55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8"/>
        </w:trPr>
        <w:tc>
          <w:tcPr>
            <w:tcW w:w="55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64,475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67,484</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numerous customers worldwide for sales of our products and services, and no customer accounted for 10% or more of net sales; therefore, we are not economically dependent on a limited number of customers for the sale of our products and services.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have numerous raw material and component suppliers, and no supplier accounts for 10% or more of our cost of sales; however, we have a number of single-source suppliers that could limit our supply or cause delays in obtaining raw material and components needed in manufacturing.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related to each reportable segment for the six months ended October 31, 2020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Live Events</w:t>
            </w: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0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w:t>
            </w:r>
          </w:p>
        </w:tc>
      </w:tr>
      <w:tr>
        <w:trPr>
          <w:trHeight w:val="243"/>
        </w:trPr>
        <w:tc>
          <w:tcPr>
            <w:tcW w:w="3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w:t>
            </w:r>
          </w:p>
        </w:tc>
      </w:tr>
      <w:tr>
        <w:trPr>
          <w:trHeight w:val="27"/>
        </w:trPr>
        <w:tc>
          <w:tcPr>
            <w:tcW w:w="3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8,050</w:t>
            </w: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perform an analysis of goodwill on an annual basis, and it is tested for impairment more frequently if events or changes in circumstances indicate that an asset might be impaired. Our annual analysis is performed during our third quarter of each fiscal year, based on the goodwill amount as of the first business day of our third fiscal quarter. We performed our annual impairment test on November 4, 2019 and concluded no goodwill impairment existed. We are currently in the process of completing our annual analysis as of the first business day of our third quarter of fiscal 2021, which began on November 2, 2020.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we began to see the impacts from the COVID-19 pandemic that could have a negative impact on our forecasted revenue and profitability and stock price. This, along with other market conditions, led us to perform an interim goodwill impairment analysis in the fourth quarter of fiscal 2020. After evaluating our results, events and circumstances, we determined no goodwill impairment was necessary. Although the COVID-19 pandemic continues to cause uncertainty, in the second quarter of fiscal 2021, we considered if any new events had occurred or if circumstances had changed such that it was more likely than not that the fair value of any of our reporting units was below its carrying amount, and we did not identify any further impairment indicators; therefore, we did not perform an additional interim impairment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Receivables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invoice customers based on a billing schedule as established in our contracts. We sometimes have the ability to file a contractor’s lien against the product installed as collateral and to file claims against surety bonds to protect our interest in receivables. Foreign sales are at times secured by irrevocable letters of credit or bank guarantees. Accounts receivable are reported net of an allowance for doubtful accounts of $3,216 and $2,828 at October 31, 2020 and May 2, 2020, respectively. Included in accounts receivable as of October 31, 2020 and May 2, 2020 was $621 and $687, respectively, of retainage on construction-type contracts, all of which is expected to be collected within one year.</w:t>
      </w:r>
    </w:p>
    <w:p>
      <w:pPr>
        <w:sectPr>
          <w:pgSz w:w="11900" w:h="16838" w:orient="portrait"/>
          <w:cols w:equalWidth="0" w:num="1">
            <w:col w:w="11240"/>
          </w:cols>
          <w:pgMar w:left="320" w:top="118" w:right="339"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some contracts with customers, we agree to installment payments exceeding 12 months. The present value of these contracts is recorded as a receivable as the revenue is recognized in accordance with GAAP, and profit is recognized to the extent the present value is in excess of cost. We generally retain a security interest in the equipment or in the cash flow generated by the equipment until the contract is paid. The present value of long-term contracts, including accrued interest and current maturities, was $3,033 and $4,633 as of October 31, 2020 and May 2, 2020, respectively. Contract receivables bearing annual interest rates of 5.0 to 9.0 percent are due in varying annual installments through 2024. The face value of long-term receivables was $3,192 as of October 31, 2020 and $5,166 as of May 2, 2020.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Financing Agreements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over certain assets. The third amendment adds a liquidity covenant and revises other financial covenants. The revolving amount of the agreement and note remains at $35,000, including up to $20,000 for commercial and standby letters of credit. The credit agreement and amendments require us to be in compliance with certain financial ratios and other covenants and contain customary events of default, including failure to comply with covenants, failure to pay or discharge material judgments and taxes, bankruptcy, failure to pay loans and fees, and change of control. The occurrence of an event of default by us would permit the lenders to terminate their commitments and accelerate loans repayment, obtain securitized assets, and require collateralization of outstanding letters of credit. As of October 31, 2020, $15,000 had been advanced to us under the loan portion of the line of credit, and the balance of letters of credit outstanding was approximately $6,853.</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October 31, 2020, we had $3,122 of such instruments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2020, we were in compliance with all applicable bank loan covenants.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 Repurchase Program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17, 2016, our Board of Directors approved a stock repurchase program under which we may purchase up to $40,000 of the Company's outstanding shares of common stock.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October 31, 2020, we had no repurchases of shares of our outstanding common stock. During the six months ended November 2, 2019, we repurchased 270 shares of common stock at a total cost of $1,682. As of October 31, 2020, we had $32,539 of remaining capacity under our current share repurchase program.</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part of our COVID-19 response, on April 1, 2020, our Board of Directors voted to suspend stock repurchases under our share repurchase program for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We are a party to legal proceedings and claims which arise during the ordinary course of business.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2020 and May 2, 2020, $2,166 and $2,072, respectively, were included in the "Accrued expenses" line item in our condensed consolidated balance sheets for the probable and reasonably estimated cost to settle a patent litigation claim.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other unresolved legal proceedings or claims, we do not believe there is a reasonable probability that any material loss will be incurred. Accordingly, no material accrual or disclosure of a potential range of loss has been made related to these matters. We do not expect the ultimate liability of these unresolved legal proceedings or claims to have a material effect on our financial position, liquidity or capital resources.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Warranties: </w:t>
      </w:r>
      <w:r>
        <w:rPr>
          <w:rFonts w:ascii="Times New Roman" w:cs="Times New Roman" w:eastAsia="Times New Roman" w:hAnsi="Times New Roman"/>
          <w:sz w:val="18"/>
          <w:szCs w:val="18"/>
          <w:color w:val="auto"/>
        </w:rPr>
        <w:t>Changes in our warranty obligation for the six months ended October 31, 2020 consisted of the following:</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 2020</w:t>
            </w:r>
          </w:p>
        </w:tc>
      </w:tr>
      <w:tr>
        <w:trPr>
          <w:trHeight w:val="27"/>
        </w:trPr>
        <w:tc>
          <w:tcPr>
            <w:tcW w:w="5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3"/>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accrued warranty obligations</w:t>
            </w:r>
          </w:p>
        </w:tc>
        <w:tc>
          <w:tcPr>
            <w:tcW w:w="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25,624</w:t>
            </w:r>
          </w:p>
        </w:tc>
      </w:tr>
      <w:tr>
        <w:trPr>
          <w:trHeight w:val="243"/>
        </w:trPr>
        <w:tc>
          <w:tcPr>
            <w:tcW w:w="5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4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5,001</w:t>
            </w:r>
          </w:p>
        </w:tc>
      </w:tr>
      <w:tr>
        <w:trPr>
          <w:trHeight w:val="27"/>
        </w:trPr>
        <w:tc>
          <w:tcPr>
            <w:tcW w:w="5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Settlements made during the period</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w:t>
            </w:r>
          </w:p>
        </w:tc>
      </w:tr>
      <w:tr>
        <w:trPr>
          <w:trHeight w:val="225"/>
        </w:trPr>
        <w:tc>
          <w:tcPr>
            <w:tcW w:w="55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Changes in accrued warranty obligations for pre-existing</w:t>
            </w: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558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warranties during the period, including expirations</w:t>
            </w: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55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accrued warranty obligations</w:t>
            </w:r>
          </w:p>
        </w:tc>
        <w:tc>
          <w:tcPr>
            <w:tcW w:w="4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26,600</w:t>
            </w:r>
          </w:p>
        </w:tc>
      </w:tr>
      <w:tr>
        <w:trPr>
          <w:trHeight w:val="20"/>
        </w:trPr>
        <w:tc>
          <w:tcPr>
            <w:tcW w:w="5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guarantees: </w:t>
      </w:r>
      <w:r>
        <w:rPr>
          <w:rFonts w:ascii="Times New Roman" w:cs="Times New Roman" w:eastAsia="Times New Roman" w:hAnsi="Times New Roman"/>
          <w:sz w:val="18"/>
          <w:szCs w:val="18"/>
          <w:color w:val="auto"/>
        </w:rPr>
        <w:t>We have entered into standby letters of credit, bank guarantees and surety bonds with financial institutions relating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of our future performance on contracts, primarily construction-type contracts. As of October 31, 2020, we had outstanding letters of credit, bank guarantees and surety bonds in the amount of $6,853, $3,122 and $31,314, respectively. Performance guarantees are issued to certain customers to guarantee the operation and installation of the equipment and our ability to complete a contract. These performance guarantees have various terms but are generally one year. We enter into written agreements with our customers, and those agreements often contain indemnification provisions that require us to make the customer whole if certain acts or omissions by us cause the customer financial loss. We make efforts to negotiate reasonable caps and limitations on the recovery of such damages. As of October 31, 2020, we were not aware of any indemnification claim from a customer.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and six months ended October 31, 2020 was 41.1 percent and 26.2 percent, respectively, as compared to an effective tax rate benefit of 63.8 percent and 14.6 percent for the three and six months ended November 2, 2019. The change in the effective tax rates are primarily driven by a decrease in tax credits and other permanent differences as a percentage of estimated current fiscal year pre-tax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U.S. federal income tax as well as income taxes of multiple state and foreign jurisdictions. Fiscal years 2017, 2018, 2019 and 2020 remain open to federal tax examinations, and fiscal years 2016, 2017, 2018, 2019 and 2020 remain open for various state income tax examinations. Certain subsidiaries are also subject to income tax in several foreign jurisdictions which have open tax years varying by jurisdiction beginning in fiscal 2009. In the event of any future tax assessments, we have elected to record the income taxes and any related interest and penalties as income tax expense in our condensed consolidated statement of operations.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October 31, 2020, undistributed earnings of our foreign subsidiaries are considered to be reinvested indefinitely. Additionally, we had $697 of unrecognized tax benefits which would reduce our effective tax rate if recognized.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at October 31, 2020 and May 2, 2020 according to the valuation techniques we used to determine their fair values. There have been no transfers of assets or liabilities among the fair value hierarchies presented.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Fair Value Measurements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6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October 31, 2020</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69,836</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7"/>
        </w:trPr>
        <w:tc>
          <w:tcPr>
            <w:tcW w:w="51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73,453</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73,990</w:t>
            </w:r>
          </w:p>
        </w:tc>
        <w:tc>
          <w:tcPr>
            <w:tcW w:w="0" w:type="dxa"/>
            <w:vAlign w:val="bottom"/>
          </w:tcPr>
          <w:p>
            <w:pPr>
              <w:spacing w:after="0"/>
              <w:rPr>
                <w:sz w:val="1"/>
                <w:szCs w:val="1"/>
                <w:color w:val="auto"/>
              </w:rPr>
            </w:pPr>
          </w:p>
        </w:tc>
      </w:tr>
      <w:tr>
        <w:trPr>
          <w:trHeight w:val="67"/>
        </w:trPr>
        <w:tc>
          <w:tcPr>
            <w:tcW w:w="51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May 2, 2020</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40,398</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40,398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Derivatives - asset position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Derivatives - liability position</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60" w:type="dxa"/>
            <w:vAlign w:val="bottom"/>
          </w:tcPr>
          <w:p>
            <w:pPr>
              <w:spacing w:after="0"/>
              <w:rPr>
                <w:sz w:val="21"/>
                <w:szCs w:val="21"/>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40,412</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1,474</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41,125</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 forward of the Level 3 contingent liabilities, both short- and long-term, for the six months ended October 31, 2020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 as of May 2, 2020</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761</w:t>
            </w:r>
          </w:p>
        </w:tc>
      </w:tr>
      <w:tr>
        <w:trPr>
          <w:trHeight w:val="243"/>
        </w:trPr>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Additions</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9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Settlements</w:t>
            </w: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43"/>
        </w:trPr>
        <w:tc>
          <w:tcPr>
            <w:tcW w:w="9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w:t>
            </w:r>
          </w:p>
        </w:tc>
        <w:tc>
          <w:tcPr>
            <w:tcW w:w="5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97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Acquisition-related contingent consideration as of October 31, 2020</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456</w:t>
            </w:r>
          </w:p>
        </w:tc>
      </w:tr>
      <w:tr>
        <w:trPr>
          <w:trHeight w:val="20"/>
        </w:trPr>
        <w:tc>
          <w:tcPr>
            <w:tcW w:w="9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valuation techniques used by us to value our financial instruments since the end of fiscal 2020. For additional information, see our Annual Report on Form 10-K for the fiscal year ended May 2, 2020 for the methods and assumptions used to estimate the fair value of each class of financial instrument.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within the meaning of Section 27A of the Securities Act of 1933, as amended, and Section 21B of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the intent, belief or current expectations with respect to, among other things: (i.) our competition; (ii.) our financing plans and ability to maintain adequate liquidity; (iii.) trends affecting our financial condition or results of operations; (iv.) our growth and operating strategies; (v.) the declaration and payment of dividends; (vi.) the timing and magnitude of future contracts; (vii.) raw material shortages and lead times; (viii.) fluctuations in margins; (ix.) the seasonality of our business; (x.) the introduction of new products and technology; (xi.) the amount and frequency of warranty claims; (xii.) our ability to manage the impact that new or adjusted tariffs may have on the cost of raw materials and components and our ability to sell product internationally; (xiii.) the resolution of litigation contingencies; (xiv.) the timing and magnitude of any acquisitions or dispositions; (xv.) the impact of governmental laws, regulations, and orders, including as a result of the COVID-19 pandemic caused by the coronavirus; and (xvi.) disruptions to our business caused by geopolitical events, military actions, work stoppages, natural disasters, or international health emergencies, such as the COVID-19</w:t>
      </w:r>
    </w:p>
    <w:p>
      <w:pPr>
        <w:sectPr>
          <w:pgSz w:w="11900" w:h="16838" w:orient="portrait"/>
          <w:cols w:equalWidth="0" w:num="1">
            <w:col w:w="11240"/>
          </w:cols>
          <w:pgMar w:left="320" w:top="118"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pandemic. The words “may,” “would,” “could,” “should,” “will,” “expect,” “estimate,” “anticipate,” “believe,” “intend,” “plan”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May 2, 2020 in the section entitled “Part I, Item 1A. Risk Factors” and “Part II, Item 7. Management's Discussion and Analysis of Financial Condition and Results of Operations,” and those factors discussed in detail in our other filings with the Securities and Exchange Commission.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discussion and analysis of financial condition and results of operations are based upon our condensed consolidated financial statements, which have been prepared in accordance with generally accepted accounting principles in the United States of America ("GAAP"). This discussion should be read in conjunction with the accompanying Condensed Consolidated Financial Statements and Notes to the Condensed Consolidated Financial Statements included in this Report. The preparation of these condensed financial statements requires us to make estimates and judgments affecting the reported amounts of assets, liabilities, revenues and expenses and related disclosure of contingent assets and liabilities. On a regular basis, we evaluate our estimates, including those related to total costs on long-term construction-type contracts, costs to be incurred for product warranties and extended maintenance contracts, bad debts, excess and obsolete inventory, income taxes, share-based compensation, goodwill impairment and contingencies. Our estimates are based on historical experience and on various other assumptions believed to be reasonable under the circumstances, the results of which form the basis for making judgments about the carrying values of assets and liabilities not readily apparent from other sources. Actual results may differ from these estimates.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the International business unit. The four domestic business units consist of Commercial, Live Events, High School Park and Recreation, and Transportation, all of which include the geographic territories of the United States and Canada. Disclosures related to our business segments are provided in "Note 5. Segment Reporting" of the Notes to the Condensed Consolidated Financial Statements included elsewhere in this Report.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net sales and profitability historically have fluctuated due to the impact of uniquely configured orders, such as display systems for professional sports facilities, colleges and universities, and spectacular projects in the commercial area, as well as the seasonality of the sports market. Uniquely configured orders can include several displays, controllers, and subcontracted structure builds, each of which can occur on varied schedules per the customer's needs. Historically, our third fiscal quarter sales and profit levels are lighter than other quarters due to the seasonality of our sports business, construction cycles, and the reduced number of production days due to holidays in the quarter.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gross margins tend to fluctuate more on uniquely configured orders than on limited configured orders. Uniquely configured orders involving competitive bidding and substantial subcontracting work for product installation generally have lower gross margins. Although we follow the over time method of recognizing revenues for uniquely configured orders, we nevertheless have experienced fluctuations in operating results and expect our future results of operations will be subject to similar fluctuations.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remaining performance obligations ("backlog") consist of contractually binding sales agreements or purchase orders for integrated electronic display systems and related products and service. Orders are included in backlog when we are in receipt of an executed contract and any required deposits or security. As a result, certain orders for which we have received binding letters of intent or contracts will not be included in backlog until all required contractual documents and deposits are received. Backlog can fluctuate due to large order bookings and the timing and seasonality of net sales. Because order backlog fluctuates and may be subject to extended delivery schedules, orders may be canceled and have varied estimated profitability. Our backlog is not necessarily indicative of future net sales or net income. Backlog is not a measure defined by GAAP, and our methodology for determining backlog may vary from the methodology used by other companies in determining their backlog amounts.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mission is to be the world leader at informing and entertaining audiences through dynamic audiovisual communication systems. We organize into business units to focus on customer loyalty over time to earn new and replacement business because our products have a finite lifetime. See "Note 5. Segment Reporting" of the Notes to the Condensed Consolidated Financial Statements included elsewhere in this Report for further information. Our strategies include the creation of a comprehensive line of innovative solutions and systems and our ability to create and leverage platform designs and technologies. These strategies align us to effectively deliver value to our varied customers and their market needs, while serving our stakeholders over the long-term. We focus on creating local capabilities for sales, service, and manufacturing in geographies with expected digital market opportunities. We believe consistently generating profitable growth will provide value to our stakeholders (customers, employees, shareholders, suppliers, and communities).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our success using a variety of measures including:</w:t>
      </w:r>
    </w:p>
    <w:p>
      <w:pPr>
        <w:spacing w:after="0" w:line="27"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percentage of market share by comparing our estimated revenue to the total estimated global digital display revenue,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order growth compared to the overall digital market order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metrics such as annual order volume and profit change as compared to our previous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retention and expansion rates,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profits over the long-term to provide a shareholder return.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factors impact our ability to succeed in these strategies and impact our business units to varying degrees. For example, the overall cost to manufacture and the selling prices of our products have decreased over the years and are expected to continue to decrease in the future. Our competitors outside the U.S. are impacted differently by the global trade environment allowing them to avoid tariff costs or reduce prices. As a result, additional competitors have entered the market, and each year we must sell more product to generate the same or greater level of net sales as in previous fiscal years. However, the decline of digital solution pricing over the years and increased user adoption and applications have increased the size of the global market.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Competitor offerings, actions and reactions also can vary and change over time or in certain customer situations. Projects with multimillion-dollar revenue potential attracts competition, and competitors can use marketing or other tactics to win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business unit's long-term performance can be impacted by economic conditions in different ways and to different degrees. The effects of an adverse economy are generally less severe on our sports related business as compared to our other businesses, although in severe economic downturns with social changes causing decreases in sporting event revenues, the sports business can also be seriously impacted.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Outlook: The COVID-19 pandemic has created disruptions since its initial outbreak, first impacting our China operations. Beginning in February, we created COVID-19 response teams to manage our local and global response activities. Using the guidance from the U.S. Centers for Disease Control and Prevention, the World Health Organization, and other applicable regulatory agencies, we enhanced or implemented robust health, safety, and cleaning protocols across our organization.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Throughout the first six months of fiscal 2021, employees have worked from home where possible, and we have limited travel for the time being. When unable to work safely or within the various regulations in certain geographies and locations and because demand decreased, our sales, manufacturing and field service teams have reduced capacity and furloughed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sales teams have continued to engage our customers to promote our value, mostly virtually, across our diverse markets and geographies. However, our customers reduced their spend on audiovisual systems and related services through the first half of our fiscal year as they work through the economic and business implications of COVID-19. We took corresponding actions to reduce operating expenses to align with expected order and sales declines expected for the remainder of the year. These expense reductions vary in permanency and may change throughout the fiscal year.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supply chain team has remained alert to potential short supply situations and shipping disruptions, and, if necessary, we are utilizing alternative sources and shipping methods.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the COVID-19 pandemic to continue to have an adverse impact on our revenue and our results of operations, the amount and duration of which we are currently unable to predict. The global impact of COVID-19 continues to rapidly evolve. The extent to which COVID-19 will impact our business will depend on future developments, which are highly uncertain and cannot be predicted with confidence, such as the ultimate severity and spread of the disease, the duration of the pandemic, the availability and effectiveness of vaccines, travel restrictions and social distancing requirements in the United States and other countries, the pace and extent of the economic recovery, and any change in trends and practices in how people gather. Given the speed and frequency of continuously evolving developments with respect to this pandemic, we cannot reasonably estimate the magnitude of the impact to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continue through fiscal 2021, our operating results are going to be challenged due to this crisis. We continue to manage our cost structure to meet the uncertain demand, while taking additional cost reductions as needed. Our customers' businesses are subject to the fluctuations in global economic cycles and conditions and other business risk factors which may impact their ability to operate their businesses. The performance and financial condition of our customers may cause us to alter our business terms or to cease doing business with a particular customer. Further, the potential impact of the COVID-19 pandemic on their businesses could adversely impact our customers' ability to pay us for work performed and increase our future estimate of credit losses.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COVID-19 impacts noted above, the outlook and unique key growth drivers and challenges by our business units include:</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Business Unit: </w:t>
      </w:r>
      <w:r>
        <w:rPr>
          <w:rFonts w:ascii="Times New Roman" w:cs="Times New Roman" w:eastAsia="Times New Roman" w:hAnsi="Times New Roman"/>
          <w:sz w:val="18"/>
          <w:szCs w:val="18"/>
          <w:color w:val="auto"/>
        </w:rPr>
        <w:t>In the near-term, our customers who rely on advertising revenues for Out-of-Home ("OOH") advertising or who are reliant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foot-traffic to drive sales have been adversely impacted by stay-at-home or quarantine orders which started in March 2020 with varied or no published expiration. These customers are expected to delay their discretionary capital spending through the COVID-19 economic recovery. Businesses using our displays for self-promotion or on-premise advertising may have reduced budgets for the foreseeable future or may choose to utilize displays as part of their recovery, both actions creating an impact to the Commercial business' near-term outlook. We cannot reasonably estimate the magnitude or length of time our Commercial business will be adversely impacted.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Commercial business unit will result from a number of factors, including:</w:t>
      </w:r>
    </w:p>
    <w:p>
      <w:pPr>
        <w:spacing w:after="0" w:line="225" w:lineRule="exact"/>
        <w:rPr>
          <w:sz w:val="20"/>
          <w:szCs w:val="20"/>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display product market growth due to market adoption and lower product costs, which drive marketplace expansion. Standard display products are used to attract or communicate with customers and potential customers of retail, commercial, and other establishments. Pricing and economic conditions are the principal factors that impact our success in this business unit. We utilize a reseller network to distribute our standard products.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accounts standard display market opportunities due to customers' desire to communicate their message, advertising and content consistently across the country. Increased demand is possible from national retailers, quick serve restaurants, petroleum retailers, and other nationwide organizations.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standard display offerings using micro-light emitting diode ("LED") designs.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liquid crystal display ("LCD") technology by existing and new customers.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interest in spectaculars, which include very large and sometimes highly customized displays as part of entertainment venues such as casinos, shopping centers, cruise ships and Times Square type locations.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systems demand growth due to market adoption and expanded use of this technology.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deployment of digital billboards as OOH advertising companies continue developing new sites and replacing digital billboards reaching end of life. This is dependent on no adverse changes occurring in the digital billboard regulatory environment restricting future billboard deployments, as well as maintaining our current market share in a business that is concentrated in a few large OOH companies.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Live Events Business Unit: </w:t>
      </w:r>
      <w:r>
        <w:rPr>
          <w:rFonts w:ascii="Times New Roman" w:cs="Times New Roman" w:eastAsia="Times New Roman" w:hAnsi="Times New Roman"/>
          <w:sz w:val="18"/>
          <w:szCs w:val="18"/>
          <w:color w:val="auto"/>
        </w:rPr>
        <w:t>Our customers have been adversely impacted by governmental limitations on the number of people allowed to gather in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spaces which started in March 2020 with varied or no published expiration. In the near-term, our customers who rely on advertising and event revenues are expected to delay spending on projects because of the COVID-19 pandemic. Changes to the ways and willingness of how people gather may change the long-term demand for our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Live Events business unit will result from a number of factors, including:</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spending more on larger display systems to enhance the game-day and event experience for attendees.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costs, driving an expansion of the marketplace.</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service offerings, including additional micro-LED offerings which remain the most integrated and comprehensive offerings in the industry.</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sports teams, which strive to out-perform their competitors with display systems.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desire for high-definition video displays, which typically drives larger displays or higher resolution displays, both of which increase the average transaction size.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 messaging system needs throughout a sports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LED technologies replacing signage previously using LCD technology in and surrounding live events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cycles within each of these areas.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High School Park and Recreation Business Unit: </w:t>
      </w:r>
      <w:r>
        <w:rPr>
          <w:rFonts w:ascii="Times New Roman" w:cs="Times New Roman" w:eastAsia="Times New Roman" w:hAnsi="Times New Roman"/>
          <w:sz w:val="18"/>
          <w:szCs w:val="18"/>
          <w:color w:val="auto"/>
        </w:rPr>
        <w:t>In the near-term, our customers who rely on advertising revenue for sports installations or who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impacted by governmental tax revenue availability may choose to delay spending on projects because of the impacts on their business caused by the COVID-19 pandemic.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High School Park and Recreation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video systems in high schools as school districts realize the revenue generating potential of these displays compared to traditional scoreboards and these systems' ability to provide or enhance academic curriculum offerings for students.</w:t>
      </w: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demand for different types of displays and dynamic messaging systems, such as message centers at schools to communicate to students, parents and the broader community.</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system costs driving the use of more sophisticated displays in school athletic facilities, such as large integrated video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control system options tailored for the markets' needs.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Transportation Business Unit: </w:t>
      </w:r>
      <w:r>
        <w:rPr>
          <w:rFonts w:ascii="Times New Roman" w:cs="Times New Roman" w:eastAsia="Times New Roman" w:hAnsi="Times New Roman"/>
          <w:sz w:val="18"/>
          <w:szCs w:val="18"/>
          <w:color w:val="auto"/>
        </w:rPr>
        <w:t>In the near term, customers in the mass-transit and airport part of the market are expected to delay spending as a result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use of this infrastructure and impact on their financial stability during the COVID-19 pandemic. In the long-term, roadway projects may be impacted due to reduced tax revenues. That impact will increase as the duration of the reduction in infrastructure usage continues.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Transportation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applications and acceptance of electronic displays to manage transportation systems, including roadway, airport, parking, transit and other applications.</w:t>
      </w:r>
    </w:p>
    <w:p>
      <w:pPr>
        <w:jc w:val="both"/>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use of the United States transportation infrastructure requires intelligent transportation systems. This growth is highly dependent on government spending, primarily by state and federal governments, along with the continuing acceptance of private/public partnerships as an alternative funding source.</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use of dynamic messaging systems for advertising and wayfinding use in public transport and airport terminals due to expanded market usage and displays, with LED technology replacing prior LCD installations and additional display offerings using micro-LEDs.</w:t>
      </w:r>
    </w:p>
    <w:p>
      <w:pPr>
        <w:spacing w:after="0" w:line="17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International Business Unit: </w:t>
      </w:r>
      <w:r>
        <w:rPr>
          <w:rFonts w:ascii="Times New Roman" w:cs="Times New Roman" w:eastAsia="Times New Roman" w:hAnsi="Times New Roman"/>
          <w:sz w:val="18"/>
          <w:szCs w:val="18"/>
          <w:color w:val="auto"/>
        </w:rPr>
        <w:t>In the near-term, our customers who rely on advertising, retail, event revenues and governmental tax revenue availability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delay spending on projects due to the impacts caused by the COVID-19 pandemic. Changes to the ways and willingness of how people gather may change the long-term demand for our systems.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 the long-term, we believe growth in the International business unit will result from a number of factors including:</w:t>
      </w:r>
    </w:p>
    <w:p>
      <w:pPr>
        <w:spacing w:after="0" w:line="225" w:lineRule="exact"/>
        <w:rPr>
          <w:sz w:val="20"/>
          <w:szCs w:val="20"/>
          <w:color w:val="auto"/>
        </w:rPr>
      </w:pPr>
    </w:p>
    <w:p>
      <w:pPr>
        <w:ind w:left="6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greater penetration in various geographies and building products more suited to individual markets. We continue to broaden our product offerings into the transportation segment in Europe and the Middle East.</w:t>
      </w:r>
    </w:p>
    <w:p>
      <w:pPr>
        <w:ind w:left="660" w:right="2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focus on sports facility, spectacular-type, OOH advertising products, and architectural lighting market opportunities and the factors listed in each of the other business units to the extent they apply outside of the United States and Canada.</w:t>
      </w:r>
    </w:p>
    <w:p>
      <w:pPr>
        <w:ind w:left="660" w:hanging="328"/>
        <w:spacing w:after="0" w:line="26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opportunities exist with expanded market usage of LED technology due to price considerations, usage of LED technology replacing prior LCD installations and additional display offerings using micro-LEDs.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Daktronics, Inc. operates on a 52- or 53-week fiscal year, with our fiscal year ending on the Saturday closest to April 30 of each year. When April 30 falls on a Wednesday, the fiscal year ends on the preceding Saturday. Within each fiscal year, each quarter is comprised of 13-week periods following the beginning of each fiscal year. In each 53-week year, an additional week is added to the first quarter, and each of the last three quarters is comprised of a 13-week period. The fiscal year ending May 1, 2021 will consist of 52 weeks and the fiscal year ended May 2, 2020 was a 53-week year; therefore, the six months ended October 31, 2020 contains operating results for 26 weeks while the six months ended November 2, 2019 contains operating results for 27 weeks.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OCTOBER 31, 2020 AND NOVEMBER 2,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8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18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15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Dollar Change</w:t>
            </w:r>
          </w:p>
        </w:tc>
        <w:tc>
          <w:tcPr>
            <w:tcW w:w="14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960" w:type="dxa"/>
            <w:vAlign w:val="bottom"/>
            <w:vMerge w:val="restart"/>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9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30,356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39,651</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37,822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59,319</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(21,497)</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27,578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30,193</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15,323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20,330</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16,288</w:t>
            </w:r>
          </w:p>
        </w:tc>
        <w:tc>
          <w:tcPr>
            <w:tcW w:w="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25,418</w:t>
            </w: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(9,130)</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127,367</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174,911</w:t>
            </w:r>
          </w:p>
        </w:tc>
        <w:tc>
          <w:tcPr>
            <w:tcW w:w="2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(47,544)</w:t>
            </w:r>
          </w:p>
        </w:tc>
        <w:tc>
          <w:tcPr>
            <w:tcW w:w="22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32,590</w:t>
            </w:r>
          </w:p>
        </w:tc>
        <w:tc>
          <w:tcPr>
            <w:tcW w:w="2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43,513</w:t>
            </w:r>
          </w:p>
        </w:tc>
        <w:tc>
          <w:tcPr>
            <w:tcW w:w="2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40,684</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41,008</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20,117</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22,853</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11,633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16,992</w:t>
            </w:r>
          </w:p>
        </w:tc>
        <w:tc>
          <w:tcPr>
            <w:tcW w:w="2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30,642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26,756</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3,886</w:t>
            </w:r>
          </w:p>
        </w:tc>
        <w:tc>
          <w:tcPr>
            <w:tcW w:w="22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3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135,666</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151,122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orders in all business units were impacted as a result of the economic downturn caused by the COVID-19 pandemic. The change in sales was also related to fluctuations in the timing of order bookings, and related conversion to sales. The change in orders was also impacted by the timing of large contract orders which cause lumpiness.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we booked two multimillion-dollar orders in the Live Events business unit and the International business unit orders increased for the three months ended October 31, 2020 compared to the same period one year ago primarily due to multimillion-dollar transportation related projects and account-based order placements in the OOH advertising customer niche.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Order Backlog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product order backlog as of October 31, 2020 was $201 million as compared to $182 million as of November 2, 2019 and $192 million at the end of the first quarter of fiscal 2021. Historically, our product order backlog varies due to the seasonality of our business, the timing of large projects, and customer delivery schedules for these orders. The product order backlog as of October 31, 2020 increased in the Live Events, High School Park and Recreation, Transportation, and International business units and decreased in the Commercial business unit from November 2,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40" w:type="dxa"/>
            <w:vAlign w:val="bottom"/>
          </w:tcPr>
          <w:p>
            <w:pPr>
              <w:spacing w:after="0"/>
              <w:rPr>
                <w:sz w:val="17"/>
                <w:szCs w:val="17"/>
                <w:color w:val="auto"/>
              </w:rPr>
            </w:pPr>
          </w:p>
        </w:tc>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40" w:type="dxa"/>
            <w:vAlign w:val="bottom"/>
          </w:tcPr>
          <w:p>
            <w:pPr>
              <w:spacing w:after="0"/>
              <w:rPr>
                <w:sz w:val="17"/>
                <w:szCs w:val="17"/>
                <w:color w:val="auto"/>
              </w:rPr>
            </w:pPr>
          </w:p>
        </w:tc>
        <w:tc>
          <w:tcPr>
            <w:tcW w:w="10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28.3%</w:t>
            </w:r>
          </w:p>
        </w:tc>
        <w:tc>
          <w:tcPr>
            <w:tcW w:w="1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7,862</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4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Events</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19.3</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11,934</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20.1</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30.8</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9,224</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30.6</w:t>
            </w:r>
          </w:p>
        </w:tc>
      </w:tr>
      <w:tr>
        <w:trPr>
          <w:trHeight w:val="243"/>
        </w:trPr>
        <w:tc>
          <w:tcPr>
            <w:tcW w:w="4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34.7</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7,003</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34.4</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22.3</w:t>
            </w:r>
          </w:p>
        </w:tc>
        <w:tc>
          <w:tcPr>
            <w:tcW w:w="1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4,064</w:t>
            </w:r>
          </w:p>
        </w:tc>
        <w:tc>
          <w:tcPr>
            <w:tcW w:w="156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16.0</w:t>
            </w:r>
          </w:p>
        </w:tc>
      </w:tr>
      <w:tr>
        <w:trPr>
          <w:trHeight w:val="257"/>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33,314</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26.2%</w:t>
            </w:r>
          </w:p>
        </w:tc>
        <w:tc>
          <w:tcPr>
            <w:tcW w:w="16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40,087</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22.9%</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logistics related costs including tariffs and duties,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improved gross profit rate is a result of the mix of service agreement sales in second quarter fiscal 2021 as compared to the second quarter of fiscal 2020. During the second quarter of fiscal 2020, we experienced additional expenses of approximately $3.0 million for project delivery costs and for an existing litigation claim estimate, and $0.6 million in tariff related expenses, decreasing the gross profit rate in that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continued to see the global spread of COVID-19 impact order volumes and we took various steps to solidify our financial position and reduce expenses. During the second quarter of fiscal 2021, we conducted a reduction in force of 150 employees to adjust our ca</w:t>
      </w:r>
    </w:p>
    <w:p>
      <w:pPr>
        <w:sectPr>
          <w:pgSz w:w="11900" w:h="16838" w:orient="portrait"/>
          <w:cols w:equalWidth="0" w:num="1">
            <w:col w:w="11240"/>
          </w:cols>
          <w:pgMar w:left="320" w:top="11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18" w:right="339" w:bottom="1440" w:gutter="0" w:footer="0" w:header="0"/>
          <w:type w:val="continuous"/>
        </w:sectPr>
      </w:pPr>
    </w:p>
    <w:bookmarkStart w:id="25" w:name="page26"/>
    <w:bookmarkEnd w:id="2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pacity and reduce on-going expenses due to the uncertainties created by the COVID-19 pandemic. The approximate cost was $1.3 million and is included in the "Costs of sales" line item in our condensed consolidated statements of operations, which was offset by $0.4 million of governmental wage subsidies.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earned a higher rate of gross profit on our service agreements due to reduced stand ready services conducted during the quarter. This was due to lower on-site demand as events were not being held. We believe this higher gross profit level will not be sustained in future quarters. Total warranty as a percent of sales decreased to 0.6 percent for the three months ended October 31, 2020 as compared to 2.2 percent during the three months ended November 2,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5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4,781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4,881</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12.9</w:t>
            </w: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(41.6)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8,362</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21.6</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5,988</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19.8</w:t>
            </w: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4,446</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29.0</w:t>
            </w: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5,895</w:t>
            </w:r>
          </w:p>
        </w:tc>
        <w:tc>
          <w:tcPr>
            <w:tcW w:w="1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29.0</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601</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812</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r>
      <w:tr>
        <w:trPr>
          <w:trHeight w:val="257"/>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20,660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consists of gross profit less selling expenses. 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margin is impacted by the previously discussed sales and gross margin for each business unit. Each business unit's contribution margin was impacted by a decrease in personnel related expenses offset by severance costs for reductions in force, as well as reductions in travel and entertainment, marketing, and convention related expenses as a result of the economic downturn caused by the COVID-19 pandemic. This was partially offset by a bad debt recovery in the International business unit from the prior year.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2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5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220" w:type="dxa"/>
            <w:vAlign w:val="bottom"/>
          </w:tcPr>
          <w:p>
            <w:pPr>
              <w:spacing w:after="0"/>
              <w:rPr>
                <w:sz w:val="17"/>
                <w:szCs w:val="17"/>
                <w:color w:val="auto"/>
              </w:rPr>
            </w:pPr>
          </w:p>
        </w:tc>
        <w:tc>
          <w:tcPr>
            <w:tcW w:w="12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7,264</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8,965</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6,737</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10,121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second quarter of fiscal 2021 decreased as compared to the same period one year ago primarily due to decreases in personnel related expenses and professional fees offset by severance costs from the reduction in force. This was to achieve lower operating costs to align with the uncertainties created by the COVID-19 pandemic.</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ectPr>
          <w:pgSz w:w="11900" w:h="16838" w:orient="portrait"/>
          <w:cols w:equalWidth="0" w:num="1">
            <w:col w:w="11240"/>
          </w:cols>
          <w:pgMar w:left="320" w:top="118"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design and development expenses in the second quarter of fiscal 2021 decreased as compared to the same period one year ago primarily due to decreased labor costs and professional services assigned to product design and development projects, offset by severance costs for the reduction in force. This was to achieve lower operating costs to align with the uncertainties created by the COVID-19 pandemic.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60" w:type="dxa"/>
            <w:vAlign w:val="bottom"/>
            <w:gridSpan w:val="5"/>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40" w:type="dxa"/>
            <w:vAlign w:val="bottom"/>
          </w:tcPr>
          <w:p>
            <w:pPr>
              <w:spacing w:after="0"/>
              <w:rPr>
                <w:sz w:val="17"/>
                <w:szCs w:val="17"/>
                <w:color w:val="auto"/>
              </w:rPr>
            </w:pPr>
          </w:p>
        </w:tc>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10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4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28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8"/>
              </w:rPr>
              <w:t>Change</w:t>
            </w:r>
          </w:p>
        </w:tc>
        <w:tc>
          <w:tcPr>
            <w:tcW w:w="200" w:type="dxa"/>
            <w:vAlign w:val="bottom"/>
          </w:tcPr>
          <w:p>
            <w:pPr>
              <w:spacing w:after="0"/>
              <w:rPr>
                <w:sz w:val="17"/>
                <w:szCs w:val="17"/>
                <w:color w:val="auto"/>
              </w:rPr>
            </w:pPr>
          </w:p>
        </w:tc>
        <w:tc>
          <w:tcPr>
            <w:tcW w:w="104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We generate interest income through short-term cash investments, marketable securities, and product sales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 basis or in exchange for the rights to sell and retain advertising revenues from displays, which result in long-term receivables. Interest expense is comprised primarily of interest costs on our line of credit and any long-term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and expense, net for the second quarter of fiscal 2021 compared to the same period one year ago was primarily due to the change in investment levels caused by the volatility of working capital needs and interest expense for our drawings on the line of credit.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second quarter of fiscal 2021 as compared to the same period one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ago was primarily due to foreign currency volatility and the increases in the losses recorded for equity method affiliates.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effective tax rate of 41.1 percent for the second quarter of fiscal 2021 as compared to an effective tax rate benefit of 63.8 percent for the second quarter of fiscal 2020. The change in the effective tax rate is primarily driven by a decrease in tax credits and other permanent differences as a percentage of estimated current fiscal year pre-tax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OCTOBER 31, 2020 AND NOVEMBER 2,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1080" w:type="dxa"/>
            <w:vAlign w:val="bottom"/>
            <w:tcBorders>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3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17"/>
                <w:szCs w:val="17"/>
                <w:color w:val="auto"/>
              </w:rPr>
            </w:pPr>
          </w:p>
        </w:tc>
        <w:tc>
          <w:tcPr>
            <w:tcW w:w="1560" w:type="dxa"/>
            <w:vAlign w:val="bottom"/>
            <w:gridSpan w:val="3"/>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Dollar Change</w:t>
            </w:r>
          </w:p>
        </w:tc>
        <w:tc>
          <w:tcPr>
            <w:tcW w:w="148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48"/>
        </w:trPr>
        <w:tc>
          <w:tcPr>
            <w:tcW w:w="60" w:type="dxa"/>
            <w:vAlign w:val="bottom"/>
          </w:tcPr>
          <w:p>
            <w:pPr>
              <w:spacing w:after="0"/>
              <w:rPr>
                <w:sz w:val="4"/>
                <w:szCs w:val="4"/>
                <w:color w:val="auto"/>
              </w:rPr>
            </w:pPr>
          </w:p>
        </w:tc>
        <w:tc>
          <w:tcPr>
            <w:tcW w:w="5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83,686</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89,296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118,625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(29,329)</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56,521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60,658</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39,348</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30,511</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52,850</w:t>
            </w:r>
          </w:p>
        </w:tc>
        <w:tc>
          <w:tcPr>
            <w:tcW w:w="2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271,011</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355,167</w:t>
            </w:r>
          </w:p>
        </w:tc>
        <w:tc>
          <w:tcPr>
            <w:tcW w:w="2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(84,156)</w:t>
            </w:r>
          </w:p>
        </w:tc>
        <w:tc>
          <w:tcPr>
            <w:tcW w:w="22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67"/>
        </w:trPr>
        <w:tc>
          <w:tcPr>
            <w:tcW w:w="60" w:type="dxa"/>
            <w:vAlign w:val="bottom"/>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39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CCEEFF"/>
            </w:tcBorders>
          </w:tcPr>
          <w:p>
            <w:pPr>
              <w:spacing w:after="0"/>
              <w:rPr>
                <w:sz w:val="20"/>
                <w:szCs w:val="20"/>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Orders: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58,123</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82,161</w:t>
            </w:r>
          </w:p>
        </w:tc>
        <w:tc>
          <w:tcPr>
            <w:tcW w:w="2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(24,038)</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Live Events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82,544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107,977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(25,433)</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48,216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53,405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(5,189)</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Transportation</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39,207</w:t>
            </w:r>
          </w:p>
        </w:tc>
        <w:tc>
          <w:tcPr>
            <w:tcW w:w="2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International</w:t>
            </w: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44,214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55,835</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(11,621)</w:t>
            </w:r>
          </w:p>
        </w:tc>
        <w:tc>
          <w:tcPr>
            <w:tcW w:w="22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Borders>
              <w:right w:val="single" w:sz="8" w:color="CCEEFF"/>
            </w:tcBorders>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257,819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338,585</w:t>
            </w:r>
          </w:p>
        </w:tc>
        <w:tc>
          <w:tcPr>
            <w:tcW w:w="2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(80,766)</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18" w:right="339" w:bottom="1440" w:gutter="0" w:footer="0" w:header="0"/>
          <w:type w:val="continuous"/>
        </w:sectPr>
      </w:pPr>
    </w:p>
    <w:bookmarkStart w:id="27" w:name="page28"/>
    <w:bookmarkEnd w:id="27"/>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orders in all business units were impacted as a result of the economic downturn caused by the COVID-19 pandemic as well as the six months ended November 2, 2019 included 27 weeks compared to the more common 26 weeks. The six months ended October 31, 2020 contained 26 weeks.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net sales, during the first six months ended October 31, 2020, we achieved a $10.4 million per week average run rate as compared to $13.2 million per week during the first six months ended November 2, 2019, or an approximate 21 percent decrease. The change in sales was also related to fluctuations in the timing of order bookings, and related conversion to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orders, during the first six months ended October 31, 2020, we achieved a $9.9 million per week average run rate as compared to $12.5 million per week during the first six months ended November 2, 2019, or an approximate 21 percent decrease. The change in orders was also impacted by the timing of large contract orders which cause lumpiness.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a Percent of</w:t>
            </w:r>
          </w:p>
        </w:tc>
      </w:tr>
      <w:tr>
        <w:trPr>
          <w:trHeight w:val="198"/>
        </w:trPr>
        <w:tc>
          <w:tcPr>
            <w:tcW w:w="340" w:type="dxa"/>
            <w:vAlign w:val="bottom"/>
          </w:tcPr>
          <w:p>
            <w:pPr>
              <w:spacing w:after="0"/>
              <w:rPr>
                <w:sz w:val="17"/>
                <w:szCs w:val="17"/>
                <w:color w:val="auto"/>
              </w:rPr>
            </w:pPr>
          </w:p>
        </w:tc>
        <w:tc>
          <w:tcPr>
            <w:tcW w:w="33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20" w:type="dxa"/>
            <w:vAlign w:val="bottom"/>
          </w:tcPr>
          <w:p>
            <w:pPr>
              <w:spacing w:after="0"/>
              <w:rPr>
                <w:sz w:val="17"/>
                <w:szCs w:val="17"/>
                <w:color w:val="auto"/>
              </w:rPr>
            </w:pPr>
          </w:p>
        </w:tc>
        <w:tc>
          <w:tcPr>
            <w:tcW w:w="10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c>
          <w:tcPr>
            <w:tcW w:w="1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Net Sales</w:t>
            </w:r>
          </w:p>
        </w:tc>
      </w:tr>
      <w:tr>
        <w:trPr>
          <w:trHeight w:val="48"/>
        </w:trPr>
        <w:tc>
          <w:tcPr>
            <w:tcW w:w="340" w:type="dxa"/>
            <w:vAlign w:val="bottom"/>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340" w:type="dxa"/>
            <w:vAlign w:val="bottom"/>
            <w:tcBorders>
              <w:right w:val="single" w:sz="8" w:color="CCEEFF"/>
            </w:tcBorders>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16,320</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25.2%</w:t>
            </w:r>
          </w:p>
        </w:tc>
        <w:tc>
          <w:tcPr>
            <w:tcW w:w="188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17,080</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20.4%</w:t>
            </w:r>
          </w:p>
        </w:tc>
      </w:tr>
      <w:tr>
        <w:trPr>
          <w:trHeight w:val="243"/>
        </w:trPr>
        <w:tc>
          <w:tcPr>
            <w:tcW w:w="34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Events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18.7</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24,671</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20.8</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18,973</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33.6</w:t>
            </w:r>
          </w:p>
        </w:tc>
        <w:tc>
          <w:tcPr>
            <w:tcW w:w="1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19,411</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340" w:type="dxa"/>
            <w:vAlign w:val="bottom"/>
          </w:tcPr>
          <w:p>
            <w:pPr>
              <w:spacing w:after="0"/>
              <w:rPr>
                <w:sz w:val="21"/>
                <w:szCs w:val="21"/>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35.1</w:t>
            </w: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13,757</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c>
          <w:tcPr>
            <w:tcW w:w="156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21.9</w:t>
            </w:r>
          </w:p>
        </w:tc>
        <w:tc>
          <w:tcPr>
            <w:tcW w:w="1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10,673</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20.2</w:t>
            </w:r>
          </w:p>
        </w:tc>
      </w:tr>
      <w:tr>
        <w:trPr>
          <w:trHeight w:val="257"/>
        </w:trPr>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69,075</w:t>
            </w:r>
          </w:p>
        </w:tc>
        <w:tc>
          <w:tcPr>
            <w:tcW w:w="15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25.5%</w:t>
            </w:r>
          </w:p>
        </w:tc>
        <w:tc>
          <w:tcPr>
            <w:tcW w:w="16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85,592</w:t>
            </w:r>
          </w:p>
        </w:tc>
        <w:tc>
          <w:tcPr>
            <w:tcW w:w="15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is net sales less cost of sales. Cost of sales consists primarily of inventory, logistics related costs including tariffs and duties, consumables,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salaries, other employee-related costs, facilities-related costs for manufacturing locations, machinery and equipment maintenance and depreciation, site sub-contractors, warranty costs, and other service delivery expenses.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increase in our gross profit percentage for the six months ended October 31, 2020 compared to the same period one year ago was the result of the mix of service agreement sales. During the second quarter of fiscal 2020, we experienced additional expenses of approximately $3.0 million for project delivery costs and for an existing litigation claim estimate, and $1.4 million in tariff related expenses, decreasing the gross profit rate for the year. We continued to see the global spread of COVID-19 impact order volumes and we took various steps to solidify our financial position and reduce expenses. During the first six months of fiscal 2021, we completed a special voluntary retirement and voluntary exit offering with 60 employees and we conducted a reduction in force of 258 employees to adjust our capacity and reduce on-going expenses due to the uncertainties created by the COVID-19 pandemic. The approximate cost of these programs included in the "Costs of sales" line item in our condensed consolidated statements of operations was $2.8 million, which was offset by $1.0 million of governmental wage subsidies.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earned a higher rate of gross profit on our service agreements due to reduced stand ready services conducted during the six months ended October 31, 2020. This was due to lower on-site demand as events were not being held. We believe this higher gross profit level will not be sustained in future quarters. Total warranty as a percent of sales decreased to 1.4 percent for the six months ended October 31, 2020 as compared to 2.2 percent during the six months ended November 2, 2019.</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Contribution Margin</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8"/>
        </w:trPr>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7"/>
                <w:szCs w:val="17"/>
                <w:color w:val="auto"/>
              </w:rPr>
            </w:pPr>
          </w:p>
        </w:tc>
        <w:tc>
          <w:tcPr>
            <w:tcW w:w="10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5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220" w:type="dxa"/>
            <w:vAlign w:val="bottom"/>
          </w:tcPr>
          <w:p>
            <w:pPr>
              <w:spacing w:after="0"/>
              <w:rPr>
                <w:sz w:val="17"/>
                <w:szCs w:val="17"/>
                <w:color w:val="auto"/>
              </w:rPr>
            </w:pPr>
          </w:p>
        </w:tc>
        <w:tc>
          <w:tcPr>
            <w:tcW w:w="10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17"/>
                <w:szCs w:val="17"/>
                <w:color w:val="auto"/>
              </w:rPr>
            </w:pP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7"/>
        </w:trPr>
        <w:tc>
          <w:tcPr>
            <w:tcW w:w="340" w:type="dxa"/>
            <w:vAlign w:val="bottom"/>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6,937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3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Live Events</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12,019</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13.5</w:t>
            </w: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17,234</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0" w:type="dxa"/>
            <w:vAlign w:val="bottom"/>
            <w:tcBorders>
              <w:right w:val="single" w:sz="8" w:color="CCEEFF"/>
            </w:tcBorders>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School Park and Recreation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13,866</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15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12,580</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20.7</w:t>
            </w:r>
          </w:p>
        </w:tc>
      </w:tr>
      <w:tr>
        <w:trPr>
          <w:trHeight w:val="243"/>
        </w:trPr>
        <w:tc>
          <w:tcPr>
            <w:tcW w:w="3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8,827</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15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11,347</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28.8</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0" w:type="dxa"/>
            <w:vAlign w:val="bottom"/>
            <w:tcBorders>
              <w:right w:val="single" w:sz="8" w:color="CCEEFF"/>
            </w:tcBorders>
          </w:tcPr>
          <w:p>
            <w:pPr>
              <w:spacing w:after="0"/>
              <w:rPr>
                <w:sz w:val="23"/>
                <w:szCs w:val="23"/>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w:t>
            </w:r>
          </w:p>
        </w:tc>
        <w:tc>
          <w:tcPr>
            <w:tcW w:w="15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3,020</w:t>
            </w:r>
          </w:p>
        </w:tc>
        <w:tc>
          <w:tcPr>
            <w:tcW w:w="15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5.7</w:t>
            </w:r>
          </w:p>
        </w:tc>
      </w:tr>
      <w:tr>
        <w:trPr>
          <w:trHeight w:val="257"/>
        </w:trPr>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44,865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51,118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0"/>
        </w:trPr>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Contribution margin </w:t>
      </w:r>
      <w:r>
        <w:rPr>
          <w:rFonts w:ascii="Times New Roman" w:cs="Times New Roman" w:eastAsia="Times New Roman" w:hAnsi="Times New Roman"/>
          <w:sz w:val="18"/>
          <w:szCs w:val="18"/>
          <w:color w:val="auto"/>
        </w:rPr>
        <w:t>consists of gross profit less selling expenses. Selling expenses consist primarily of salaries, other employee-related costs, travel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entertainment expenses, facility-related costs for sales and service offices, bad debt expenses, third-party commissions and expenditures for marketing efforts, including the costs of collateral materials, conventions and trade shows, product demonstrations, customer relationship management systems, and supplies.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areas of selling expenses were impacted as a result of the economic downturn caused by the COVID-19 pandemic. In addition, the six months ended November 2, 2019 included 27 weeks compared to the 26 weeks in the six months ended October 31, 2020. Contribution margin is impacted by the previously discussed sales and gross margin for each business unit. Each business unit's contribution margin was impacted by a decrease in personnel related expenses offset by severance costs for reductions in force, as well as reductions in travel and entertainment, marketing, and convention related expenses. This was partially offset by a bad debt recovery in the International business unit from the prior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0" w:type="dxa"/>
            <w:vAlign w:val="bottom"/>
          </w:tcPr>
          <w:p>
            <w:pPr>
              <w:spacing w:after="0"/>
              <w:rPr>
                <w:sz w:val="17"/>
                <w:szCs w:val="17"/>
                <w:color w:val="auto"/>
              </w:rPr>
            </w:pPr>
          </w:p>
        </w:tc>
        <w:tc>
          <w:tcPr>
            <w:tcW w:w="3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Pr>
          <w:p>
            <w:pPr>
              <w:spacing w:after="0"/>
              <w:rPr>
                <w:sz w:val="17"/>
                <w:szCs w:val="17"/>
                <w:color w:val="auto"/>
              </w:rPr>
            </w:pPr>
          </w:p>
        </w:tc>
        <w:tc>
          <w:tcPr>
            <w:tcW w:w="12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tcPr>
          <w:p>
            <w:pPr>
              <w:spacing w:after="0"/>
              <w:rPr>
                <w:sz w:val="17"/>
                <w:szCs w:val="17"/>
                <w:color w:val="auto"/>
              </w:rPr>
            </w:pPr>
          </w:p>
        </w:tc>
        <w:tc>
          <w:tcPr>
            <w:tcW w:w="158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Percent Change</w:t>
            </w:r>
          </w:p>
        </w:tc>
        <w:tc>
          <w:tcPr>
            <w:tcW w:w="220" w:type="dxa"/>
            <w:vAlign w:val="bottom"/>
          </w:tcPr>
          <w:p>
            <w:pPr>
              <w:spacing w:after="0"/>
              <w:rPr>
                <w:sz w:val="17"/>
                <w:szCs w:val="17"/>
                <w:color w:val="auto"/>
              </w:rPr>
            </w:pPr>
          </w:p>
        </w:tc>
        <w:tc>
          <w:tcPr>
            <w:tcW w:w="124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340" w:type="dxa"/>
            <w:vAlign w:val="bottom"/>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3"/>
        </w:trPr>
        <w:tc>
          <w:tcPr>
            <w:tcW w:w="340" w:type="dxa"/>
            <w:vAlign w:val="bottom"/>
            <w:tcBorders>
              <w:right w:val="single" w:sz="8" w:color="CCEEFF"/>
            </w:tcBorders>
          </w:tcPr>
          <w:p>
            <w:pPr>
              <w:spacing w:after="0"/>
              <w:rPr>
                <w:sz w:val="21"/>
                <w:szCs w:val="21"/>
                <w:color w:val="auto"/>
              </w:rPr>
            </w:pPr>
          </w:p>
        </w:tc>
        <w:tc>
          <w:tcPr>
            <w:tcW w:w="3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18,058</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340" w:type="dxa"/>
            <w:vAlign w:val="bottom"/>
          </w:tcPr>
          <w:p>
            <w:pPr>
              <w:spacing w:after="0"/>
              <w:rPr>
                <w:sz w:val="21"/>
                <w:szCs w:val="21"/>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design and development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20,621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areas of operating expenses were impacted as a result of the economic downturn caused by the COVID-19 pandemic. In addition, the six months ended November 2, 2019 included 27 weeks compared to the 26 weeks in the six months ended October 31, 2020.</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consist primarily of salaries, other employee-related costs, professional fees, shareholder relations costs, facilities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equipment-related costs for administrative departments, training costs, and the cost of supplies.</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six months ended October 31, 2020 decreased as compared to the same period one year ago primarily due to decreases in personnel related expenses and professional fees offset by severance costs from the reduction in force. This was to achieve lower operating costs to align with the uncertainties created by the COVID-19 pandemic.</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design and development expenses </w:t>
      </w:r>
      <w:r>
        <w:rPr>
          <w:rFonts w:ascii="Times New Roman" w:cs="Times New Roman" w:eastAsia="Times New Roman" w:hAnsi="Times New Roman"/>
          <w:sz w:val="18"/>
          <w:szCs w:val="18"/>
          <w:color w:val="auto"/>
        </w:rPr>
        <w:t>consist primarily of salaries, other employee-related costs, professional services, facilities costs and equipment-related costs and supplies. Product design and development investments in the near term are focused on developing or improving our video technology over a wide range of pixel pitches for both indoor and outdoor applications. These new or improved technologies are focused on varied pixel density for image quality and use, expanded product line offerings for our various markets and geographies, improved quality and reliability, and improved cost points. We plan to make continued investments in our software and controller capabilities throughout our various product offerings. Through our design efforts, we focus on standardizing display components and control systems for both single site and network displays.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costs for product design and development represent an allocated amount of costs based on time charges, professional services, material costs and the overhead of our engineering departments. Generally, a significant portion of our engineering time is spent on product design and development, while the rest is allocated to large contract work and included in cost of sales.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Product design and development expenses in the six months ended October 31, 2020 as compared to the same period one year ago decreased primarily due to decreased labor costs and professional services assigned to product design and development projects offset by severance costs for the reduction in force. This was to achieve lower operating costs to align with the uncertainties created by the COVID-19 pandemic.</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Income and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October 31, 2020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November 2, 2019</w:t>
            </w:r>
          </w:p>
        </w:tc>
      </w:tr>
      <w:tr>
        <w:trPr>
          <w:trHeight w:val="27"/>
        </w:trPr>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a Percent of</w:t>
            </w:r>
          </w:p>
        </w:tc>
      </w:tr>
      <w:tr>
        <w:trPr>
          <w:trHeight w:val="198"/>
        </w:trPr>
        <w:tc>
          <w:tcPr>
            <w:tcW w:w="340" w:type="dxa"/>
            <w:vAlign w:val="bottom"/>
          </w:tcPr>
          <w:p>
            <w:pPr>
              <w:spacing w:after="0"/>
              <w:rPr>
                <w:sz w:val="17"/>
                <w:szCs w:val="17"/>
                <w:color w:val="auto"/>
              </w:rPr>
            </w:pPr>
          </w:p>
        </w:tc>
        <w:tc>
          <w:tcPr>
            <w:tcW w:w="39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80" w:type="dxa"/>
            <w:vAlign w:val="bottom"/>
          </w:tcPr>
          <w:p>
            <w:pPr>
              <w:spacing w:after="0"/>
              <w:rPr>
                <w:sz w:val="17"/>
                <w:szCs w:val="17"/>
                <w:color w:val="auto"/>
              </w:rPr>
            </w:pPr>
          </w:p>
        </w:tc>
        <w:tc>
          <w:tcPr>
            <w:tcW w:w="94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7"/>
                <w:szCs w:val="17"/>
                <w:color w:val="auto"/>
              </w:rPr>
            </w:pPr>
          </w:p>
        </w:tc>
        <w:tc>
          <w:tcPr>
            <w:tcW w:w="1360" w:type="dxa"/>
            <w:vAlign w:val="bottom"/>
          </w:tcPr>
          <w:p>
            <w:pPr>
              <w:jc w:val="right"/>
              <w:ind w:right="23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17"/>
                <w:szCs w:val="17"/>
                <w:color w:val="auto"/>
              </w:rPr>
            </w:pPr>
          </w:p>
        </w:tc>
        <w:tc>
          <w:tcPr>
            <w:tcW w:w="106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80" w:type="dxa"/>
            <w:vAlign w:val="bottom"/>
          </w:tcPr>
          <w:p>
            <w:pPr>
              <w:jc w:val="right"/>
              <w:ind w:right="250"/>
              <w:spacing w:after="0" w:line="198" w:lineRule="exact"/>
              <w:rPr>
                <w:sz w:val="20"/>
                <w:szCs w:val="20"/>
                <w:color w:val="auto"/>
              </w:rPr>
            </w:pPr>
            <w:r>
              <w:rPr>
                <w:rFonts w:ascii="Times New Roman" w:cs="Times New Roman" w:eastAsia="Times New Roman" w:hAnsi="Times New Roman"/>
                <w:sz w:val="18"/>
                <w:szCs w:val="18"/>
                <w:b w:val="1"/>
                <w:bCs w:val="1"/>
                <w:color w:val="auto"/>
              </w:rPr>
              <w:t>Net Sales</w:t>
            </w:r>
          </w:p>
        </w:tc>
      </w:tr>
      <w:tr>
        <w:trPr>
          <w:trHeight w:val="48"/>
        </w:trPr>
        <w:tc>
          <w:tcPr>
            <w:tcW w:w="340" w:type="dxa"/>
            <w:vAlign w:val="bottom"/>
          </w:tcPr>
          <w:p>
            <w:pPr>
              <w:spacing w:after="0"/>
              <w:rPr>
                <w:sz w:val="4"/>
                <w:szCs w:val="4"/>
                <w:color w:val="auto"/>
              </w:rPr>
            </w:pPr>
          </w:p>
        </w:tc>
        <w:tc>
          <w:tcPr>
            <w:tcW w:w="1060" w:type="dxa"/>
            <w:vAlign w:val="bottom"/>
            <w:tcBorders>
              <w:top w:val="single" w:sz="8" w:color="auto"/>
              <w:bottom w:val="single" w:sz="8" w:color="CCEEFF"/>
            </w:tcBorders>
          </w:tcPr>
          <w:p>
            <w:pPr>
              <w:spacing w:after="0"/>
              <w:rPr>
                <w:sz w:val="4"/>
                <w:szCs w:val="4"/>
                <w:color w:val="auto"/>
              </w:rPr>
            </w:pPr>
          </w:p>
        </w:tc>
        <w:tc>
          <w:tcPr>
            <w:tcW w:w="29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340" w:type="dxa"/>
            <w:vAlign w:val="bottom"/>
            <w:tcBorders>
              <w:right w:val="single" w:sz="8" w:color="CCEEFF"/>
            </w:tcBorders>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43"/>
        </w:trPr>
        <w:tc>
          <w:tcPr>
            <w:tcW w:w="340" w:type="dxa"/>
            <w:vAlign w:val="bottom"/>
          </w:tcPr>
          <w:p>
            <w:pPr>
              <w:spacing w:after="0"/>
              <w:rPr>
                <w:sz w:val="21"/>
                <w:szCs w:val="21"/>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356.1 %</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675"/>
        </w:trPr>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(expense) income, net: </w:t>
      </w:r>
      <w:r>
        <w:rPr>
          <w:rFonts w:ascii="Times New Roman" w:cs="Times New Roman" w:eastAsia="Times New Roman" w:hAnsi="Times New Roman"/>
          <w:sz w:val="18"/>
          <w:szCs w:val="18"/>
          <w:color w:val="auto"/>
        </w:rPr>
        <w:t>We generate interest income through short-term cash investments, marketable securities, and product sales on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installment basis or in exchange for the rights to sell and retain advertising revenues from displays, which result in long-term receivables. Interest expense is comprised primarily of interest costs on our line of credit and any long-term obligations.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interest income and expense, net in the six months ended October 31, 2020 compared to the same period one year ago was primarily due to the change in investment levels caused by the volatility of working capital needs and interest expense for our drawings on the line of credit.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(expense) income, net: </w:t>
      </w:r>
      <w:r>
        <w:rPr>
          <w:rFonts w:ascii="Times New Roman" w:cs="Times New Roman" w:eastAsia="Times New Roman" w:hAnsi="Times New Roman"/>
          <w:sz w:val="18"/>
          <w:szCs w:val="18"/>
          <w:color w:val="auto"/>
        </w:rPr>
        <w:t>The change in other income and expense, net for the six months ended October 31, 2020 compared to the same period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ago was primarily due to foreign currency volatility and the increases in the losses recorded for equity method affiliates. During the six months ended October 31, 2020, we recorded equity method affiliate losses of $1.1 million as compared to $0.2 million during the six months ended November 2, 2019.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during interim reporting periods is calculated by applying an estimate of the annual effective tax rate to “ordinary” income or loss for the reporting period, adjusted for discrete items. Due to various factors, including our estimate of annual income, our effective tax rate is subject to fluctuation.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recorded an effective tax rate of 26.2 percent for the six months ended October 31, 2020 as compared to an effective tax rate benefit of 14.6 percent for the six months ended November 2, 2019. The change in the effective tax rate is primarily driven by a decrease in tax credits and other permanent differences as a percentage of estimated current fiscal year pre-tax income.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2,</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40" w:type="dxa"/>
            <w:vAlign w:val="bottom"/>
          </w:tcPr>
          <w:p>
            <w:pPr>
              <w:spacing w:after="0"/>
              <w:rPr>
                <w:sz w:val="17"/>
                <w:szCs w:val="17"/>
                <w:color w:val="auto"/>
              </w:rPr>
            </w:pPr>
          </w:p>
        </w:tc>
        <w:tc>
          <w:tcPr>
            <w:tcW w:w="6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7"/>
                <w:szCs w:val="17"/>
                <w:color w:val="auto"/>
              </w:rPr>
            </w:pPr>
          </w:p>
        </w:tc>
        <w:tc>
          <w:tcPr>
            <w:tcW w:w="118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390"/>
              <w:spacing w:after="0" w:line="198" w:lineRule="exact"/>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17"/>
                <w:szCs w:val="17"/>
                <w:color w:val="auto"/>
              </w:rPr>
            </w:pPr>
          </w:p>
        </w:tc>
        <w:tc>
          <w:tcPr>
            <w:tcW w:w="14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b w:val="1"/>
                <w:bCs w:val="1"/>
                <w:color w:val="auto"/>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40" w:type="dxa"/>
            <w:vAlign w:val="bottom"/>
          </w:tcPr>
          <w:p>
            <w:pPr>
              <w:spacing w:after="0"/>
              <w:rPr>
                <w:sz w:val="4"/>
                <w:szCs w:val="4"/>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w:t>
            </w: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5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(8,312)</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Pr>
          <w:p>
            <w:pPr>
              <w:spacing w:after="0"/>
              <w:rPr>
                <w:sz w:val="21"/>
                <w:szCs w:val="21"/>
                <w:color w:val="auto"/>
              </w:rPr>
            </w:pPr>
          </w:p>
        </w:tc>
        <w:tc>
          <w:tcPr>
            <w:tcW w:w="14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429.8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increased by $33.0 million for the first six months of fiscal 2021 as compared to a decrease of $6.4 million in the first six months of fiscal 2020, which is primarily due to cash generation of operations, a decrease in capital expenditures, and suspending our dividend and share repurchase programs.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w:t>
      </w:r>
      <w:r>
        <w:rPr>
          <w:rFonts w:ascii="Times New Roman" w:cs="Times New Roman" w:eastAsia="Times New Roman" w:hAnsi="Times New Roman"/>
          <w:sz w:val="18"/>
          <w:szCs w:val="18"/>
          <w:color w:val="auto"/>
        </w:rPr>
        <w:t>Cash generated by operating activities is primarily derived from cash received from customers,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cash payments for inventories, subcontractors, employee related costs, and operating expense outflows. Operating cash flows consist primarily of net income adjusted for non-cash items, including depreciation and amortization, stock-based compensation, deferred income taxes, and the effect of changes in operating assets and liabilities. Overall, changes in net operating assets and liabilities can be impacted by the timing of cash flows on large orders, which can cause significant short-term and seasonal fluctuations in inventory, accounts receivables, accounts payable, contract assets and liabilities, and various other operating assets and liabilities. Variability in contract assets and liabilities relates to the timing of billings on construction-type contracts and revenue recognition, which can vary significantly depending on contractual payment terms and build and installation schedules. Balances are also impacted by the seasonality of the sports market.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$40.0 million for the first six months of fiscal 2021 compared to net cash used in operating activities of $10.3 million in the first six months of fiscal 2020. The $50.3 million increase in cash provided by operating activities was primarily the result of changes in net operating assets and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changes in operating assets and liabilities consisted of the following:</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8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4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November 2,</w:t>
            </w:r>
          </w:p>
        </w:tc>
        <w:tc>
          <w:tcPr>
            <w:tcW w:w="0" w:type="dxa"/>
            <w:vAlign w:val="bottom"/>
          </w:tcPr>
          <w:p>
            <w:pPr>
              <w:spacing w:after="0"/>
              <w:rPr>
                <w:sz w:val="1"/>
                <w:szCs w:val="1"/>
                <w:color w:val="auto"/>
              </w:rPr>
            </w:pPr>
          </w:p>
        </w:tc>
      </w:tr>
      <w:tr>
        <w:trPr>
          <w:trHeight w:val="238"/>
        </w:trPr>
        <w:tc>
          <w:tcPr>
            <w:tcW w:w="8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2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20" w:type="dxa"/>
            <w:vAlign w:val="bottom"/>
          </w:tcPr>
          <w:p>
            <w:pPr>
              <w:spacing w:after="0"/>
              <w:rPr>
                <w:sz w:val="23"/>
                <w:szCs w:val="23"/>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(37,478)</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Long-term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1,694</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16,143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8,967</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Income tax receivables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affiliates and other assets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3,329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1,696</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Warranty obligations</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warranty obligations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1,171</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6700" w:type="dxa"/>
            <w:vAlign w:val="bottom"/>
            <w:tcBorders>
              <w:bottom w:val="single" w:sz="8" w:color="BFE4FF"/>
            </w:tcBorders>
            <w:shd w:val="clear" w:color="auto" w:fill="BFE4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30"/>
              <w:spacing w:after="0"/>
              <w:rPr>
                <w:sz w:val="20"/>
                <w:szCs w:val="20"/>
                <w:color w:val="auto"/>
              </w:rPr>
            </w:pPr>
            <w:r>
              <w:rPr>
                <w:rFonts w:ascii="Times New Roman" w:cs="Times New Roman" w:eastAsia="Times New Roman" w:hAnsi="Times New Roman"/>
                <w:sz w:val="18"/>
                <w:szCs w:val="18"/>
                <w:color w:val="auto"/>
              </w:rPr>
              <w:t>2,207</w:t>
            </w:r>
          </w:p>
        </w:tc>
        <w:tc>
          <w:tcPr>
            <w:tcW w:w="18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marketing obligations and other payables</w:t>
            </w: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3,726</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67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20" w:type="dxa"/>
            <w:vAlign w:val="bottom"/>
          </w:tcPr>
          <w:p>
            <w:pPr>
              <w:spacing w:after="0"/>
              <w:rPr>
                <w:sz w:val="22"/>
                <w:szCs w:val="22"/>
                <w:color w:val="auto"/>
              </w:rPr>
            </w:pPr>
          </w:p>
        </w:tc>
        <w:tc>
          <w:tcPr>
            <w:tcW w:w="67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18,343</w:t>
            </w:r>
          </w:p>
        </w:tc>
        <w:tc>
          <w:tcPr>
            <w:tcW w:w="18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(34,156)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7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BFE4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cash (used in) provided by investing activities: </w:t>
      </w:r>
      <w:r>
        <w:rPr>
          <w:rFonts w:ascii="Times New Roman" w:cs="Times New Roman" w:eastAsia="Times New Roman" w:hAnsi="Times New Roman"/>
          <w:sz w:val="18"/>
          <w:szCs w:val="18"/>
          <w:color w:val="auto"/>
        </w:rPr>
        <w:t>Net cash used in investing activities totaled $6.1 million in the first six months of fiscal 2021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net cash provided by investing activities of $12.3 million in the first six months of fiscal 2020. We had $0.2 million proceeds from sales or maturities of marketable securities in the first six months of fiscal 2021 as compared to $22.8 million in the first six months of fiscal 2020. Net proceeds of marketable securities in fiscal 2020 were utilized to cover working capital needs for changes in operating assets and liabilities described above. Purchases of property and equipment totaled $5.8 million in the first six months of fiscal 2021 compared to $9.8 million in the first six months of fiscal 2020.</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cash used in financing activities: </w:t>
      </w:r>
      <w:r>
        <w:rPr>
          <w:rFonts w:ascii="Times New Roman" w:cs="Times New Roman" w:eastAsia="Times New Roman" w:hAnsi="Times New Roman"/>
          <w:sz w:val="18"/>
          <w:szCs w:val="18"/>
          <w:color w:val="auto"/>
        </w:rPr>
        <w:t>Net cash used in financing activities was $0.3 million for the six months ended October 31, 2020 compared to $8.3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the same period one year ago. Principal payments on long-term obligations for the first six months of fiscal 2021 were $0.2 million compared to $1.9 million during the first six months of fiscal 2020, which was mostly related to contingent liability payments. Dividends of $4.5 million, or $0.10 per share, paid to Daktronics shareholders during the first six months of fiscal 2020, while there were no dividends paid during the first six months of fiscal 2021. During the first six months of fiscal 2020, we repurchased $1.7 million of shares as part of the $40.0 million share repurchase plan authorized by our Board of Directors. There were no share repurchases in the first six months of fiscal 2021. As part of our COVID-19 response, our Board of Directors has suspended dividends and stock repurchases for the foreseeable future.</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Liquidity and Capital Resources Discussion: </w:t>
      </w:r>
      <w:r>
        <w:rPr>
          <w:rFonts w:ascii="Times New Roman" w:cs="Times New Roman" w:eastAsia="Times New Roman" w:hAnsi="Times New Roman"/>
          <w:sz w:val="18"/>
          <w:szCs w:val="18"/>
          <w:color w:val="auto"/>
        </w:rPr>
        <w:t>The timing and amounts of working capital changes, dividend payments, stock repurchase program,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spending impact our liquidity.</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Working capital was $129.0 million and $106.0 million at October 31, 2020 and May 2, 2020, respectively. The changes in working capital, particularly changes in accounts receivable, accounts payable, inventory, and contract assets and liabilities, and the sports market seasonality can have a significant impact on the amount of net cash provided by operating activities largely due to the timing of payments and receipts. On multimillion-dollar orders, the time between order acceptance and project completion may extend up to or exceed 12 months or more depending on the amount of custom work and a customer’s delivery needs. We often receive down payments or progress payments on these orders.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had $5.7 million of retainage on long-term contracts included in receivables and contract assets as of October 31, 2020, which has an impact on our liquidity. We expect to collect these amounts within one year. We have historically financed our cash needs through a combination of cash flow from operations and borrowings under bank credit agreements.</w:t>
      </w:r>
    </w:p>
    <w:p>
      <w:pPr>
        <w:sectPr>
          <w:pgSz w:w="11900" w:h="16838" w:orient="portrait"/>
          <w:cols w:equalWidth="0" w:num="1">
            <w:col w:w="11240"/>
          </w:cols>
          <w:pgMar w:left="320" w:top="118"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18" w:right="339" w:bottom="1440" w:gutter="0" w:footer="0" w:header="0"/>
          <w:type w:val="continuous"/>
        </w:sectPr>
      </w:pPr>
    </w:p>
    <w:bookmarkStart w:id="31" w:name="page32"/>
    <w:bookmarkEnd w:id="31"/>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15, 2019, we entered into an amendment to extend the maturity date of our credit agreement and a related revolving bank note from November 15, 2019 to November 15, 2022 and to modify certain other terms and financial covenants. On August 28, 2020, we entered into the third amendment to our credit agreement and a security agreement over certain assets. The third amendment adds a liquidity covenant and revises other financial covenants. The revolving amount of the agreement and note remains at $35.0 million, including up to $20.0 million for commercial and standby letters of credit. The credit agreement and amendments require us to be in compliance with certain financial ratios, including the most sensitive covenant of interest bearing debt to earnings before income taxes, depreciation, and amortization of less than 2.5; and other covenants and contain customary events of default, including failure to comply with covenants, failure to pay or discharge material judgments and taxes, bankruptcy, failure to pay loans and fees, and change of control. The occurrence of an event of default by us would permit the lenders to terminate their commitments and accelerate loans repayment, obtain securitized assets, and require collateralization of outstanding letters of credit. As of October 31, 2020, $15.0 million had been advanced to us under the loan portion of the line of credit, and the balance of letters of credit outstanding was approximately $6.9 million. As of October 31, 2020, $13.1 million of the credit facility remains in place and available. As of October 31, 2020, we were in compliance with all applicable bank loan covenants.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sometimes required to obtain bank guarantees or other financial instruments for display installations and utilize a global bank to provide such instruments. If we are unable to complete the installation work, our customer would draw on the banking arrangement, and the bank would subrogate its loss to Daktronics restricted cash accounts. As of October 31, 2020, we had $3.1 million of such instruments outstanding.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sometimes required to obtain performance bonds for display installations, and we have a bonding line available through a surety company for an aggregate of $150.0 million in bonded work outstanding. If we were unable to complete the installation work, and our customer would call upon the bond for payment, the surety company would subrogate its loss to Daktronics. As of October 31, 2020, we had $31.3 million of bonded work outstanding against this line.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growth and profitability improvement strategies depend on investments in capital expenditures and strategic investments. We are projecting capital expenditures to be approximately $15 million for fiscal 2021. Projected capital expenditures include manufacturing equipment for new or enhanced product production, expanded capacity, investments in quality and reliability equipment, and continued information infrastructure investments. We also evaluate and may invest in new technologies or acquire companies aligned with our business strategy.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our working capital available from all sources will be adequate to meet the cash requirements of our operations and strategies in the foreseeable future. If our growth extends beyond current expectations, or if we make significant strategic investments, we may need to utilize and possibly increase our credit facilities or seek other means of financing. We anticipate we will be able to obtain any needed funds under commercially reasonable terms from our current lenders or other sources, although this availability cannot be guaranteed, especially given the uncertainties resulting from the COVID-19 pandemic.</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audiovisual industry fundamentals will drive long-term growth for our business, but the near-term outlook shows contraction and greater volatility overall. We expect our customers will continue to have disruptions in revenue caused by COVID-19 throughout the current fiscal year. While it is difficult to estimate the longevity and severity of the COVID-19 pandemic impact to the economy and to our financial position, operating results, and cash flows, we continue to take proactive steps to solidify our financial position and mitigate any adverse consequences. These steps include:</w:t>
      </w:r>
    </w:p>
    <w:p>
      <w:pPr>
        <w:spacing w:after="0" w:line="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liquidity by drawing down $15 million from our existing line of credit and pursuing other sources of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investments in capital assets; we estimate approximately $15 million in capital expenses in fiscal year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executive pay and Board member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utilizing tax and other government opportunities to improve liquidity;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temporarily furloughing and permanently reducing our staffing and associated salaries, where necessary, to maintain a right-sized skilled workforce;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other cost reductions across the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stock repurchases under our share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suspending dividend declarations for the foreseeable future.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these measures are necessary to help preserve our ability to borrow for liquidity needs and provide adequate working capital to weather the economic downturn caused by the COVID-19 pandemic. However, no assurance can be made that we will be able to secure such financing, if needed, on favorable terms or at all, or that these strategies will be successful. We continue to carefully monitor this crisis, its impact on market demand, and our expense structure and will take additional actions as needed.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our off-balance sheet arrangements and contractual obligations since the end of our 2020 fiscal year on May 2, 2020.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our Annual Report on Form 10-K for the fiscal year ended May 2, 2020.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1. Nature of Business and Summary of Significant Accounting Policies" of the Notes to Consolidated Financial Statements included in our Annual Report on Form 10-K for the fiscal year ended May 2, 2020. We discuss our critical accounting estimates in "Part II, Item 7. Management’s Discussion and Analysis of Financial Condition and Results of Operations" in our Annual Report on Form 10-K for the fiscal year ended May 2, 2020. In the first quarter of fiscal 2021, we adopted Accounting Standards Update ("ASU") 2017-04, </w:t>
      </w:r>
      <w:r>
        <w:rPr>
          <w:rFonts w:ascii="Times New Roman" w:cs="Times New Roman" w:eastAsia="Times New Roman" w:hAnsi="Times New Roman"/>
          <w:sz w:val="18"/>
          <w:szCs w:val="18"/>
          <w:i w:val="1"/>
          <w:iCs w:val="1"/>
          <w:color w:val="auto"/>
        </w:rPr>
        <w:t xml:space="preserve">Intangibles-Goodwill and Other (Topic 350) </w:t>
      </w:r>
      <w:r>
        <w:rPr>
          <w:rFonts w:ascii="Times New Roman" w:cs="Times New Roman" w:eastAsia="Times New Roman" w:hAnsi="Times New Roman"/>
          <w:sz w:val="18"/>
          <w:szCs w:val="18"/>
          <w:color w:val="auto"/>
        </w:rPr>
        <w:t>and ASU 2016-13,</w:t>
      </w:r>
      <w:r>
        <w:rPr>
          <w:rFonts w:ascii="Times New Roman" w:cs="Times New Roman" w:eastAsia="Times New Roman" w:hAnsi="Times New Roman"/>
          <w:sz w:val="18"/>
          <w:szCs w:val="18"/>
          <w:i w:val="1"/>
          <w:iCs w:val="1"/>
          <w:color w:val="auto"/>
        </w:rPr>
        <w:t xml:space="preserve"> Measurement of Credit Losses on Financial Instruments</w:t>
      </w:r>
      <w:r>
        <w:rPr>
          <w:rFonts w:ascii="Times New Roman" w:cs="Times New Roman" w:eastAsia="Times New Roman" w:hAnsi="Times New Roman"/>
          <w:sz w:val="18"/>
          <w:szCs w:val="18"/>
          <w:color w:val="auto"/>
        </w:rPr>
        <w:t>, as described in "Note 1.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Presentation" of the Notes to the Condensed Consolidated Financial Statements included elsewhere in this Report. There have been no other significant changes in our significant accounting policies or critical accounting estimates since the end of fiscal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summary of recently issued accounting pronouncements and the effects of those pronouncements on our financial results, refer to "Note 1. Basis of Presentation" of the Notes to the Condensed Consolidated Financial Statements included elsewhere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interest rate, foreign currency, and commodity risks as disclosed in our Annual Report on Form 10-K for the fiscal year ended May 2, 2020. There have been no material changes in our exposure to these risks during the first six months of fiscal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31, 2020, which is the end of the period covered by this Report. Based upon that evaluation, the Chief Executive Officer and Chief Financial Officer concluded that as of October 31, 2020, our disclosure controls and procedures were effective.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evaluation described in the foregoing paragraph, our Chief Executive Officer and Chief Financial Officer concluded that during the quarter ended October 31, 2020, there was no change in our internal control over financial reporting which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included in this Quarterly Report on Form 10-Q should be read together with the risk factors described in Item 1A. of our Annual Report on Form 10-K for the fiscal year ended May 2, 2020.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October 31, 2020, we did not repurchase any shares of our common stock.</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list of exhibits required to be filed as part of this report is set forth in the Index of Exhibits, which immediately precedes such exhibits,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u w:val="single" w:color="auto"/>
          <w:color w:val="auto"/>
        </w:rPr>
        <w:t>/s/ Sheila M. Anderson</w:t>
      </w:r>
    </w:p>
    <w:p>
      <w:pPr>
        <w:spacing w:after="0" w:line="6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Daktronics, Inc.</w:t>
      </w:r>
    </w:p>
    <w:p>
      <w:pPr>
        <w:spacing w:after="0" w:line="6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63"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60"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 December 2,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Times New Roman" w:cs="Times New Roman" w:eastAsia="Times New Roman" w:hAnsi="Times New Roman"/>
          <w:sz w:val="14"/>
          <w:szCs w:val="14"/>
          <w:u w:val="single" w:color="auto"/>
          <w:color w:val="0000EE"/>
        </w:rPr>
      </w:pPr>
      <w:hyperlink w:anchor="page2">
        <w:r>
          <w:rPr>
            <w:rFonts w:ascii="Times New Roman" w:cs="Times New Roman" w:eastAsia="Times New Roman" w:hAnsi="Times New Roman"/>
            <w:sz w:val="14"/>
            <w:szCs w:val="14"/>
            <w:u w:val="single" w:color="auto"/>
            <w:color w:val="0000EE"/>
          </w:rPr>
          <w:t>Table of contents</w:t>
        </w:r>
      </w:hyperlink>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are incorporated by reference from prior filings. The form with which each exhibit was filed and the date of filing are as indicated below; the reports described below are filed as Commission File No. 0-23246 unless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88" w:lineRule="exact"/>
        <w:rPr>
          <w:sz w:val="20"/>
          <w:szCs w:val="20"/>
          <w:color w:val="auto"/>
        </w:rPr>
      </w:pPr>
    </w:p>
    <w:p>
      <w:pPr>
        <w:ind w:left="720" w:right="40" w:hanging="674"/>
        <w:spacing w:after="0" w:line="282" w:lineRule="auto"/>
        <w:tabs>
          <w:tab w:leader="none" w:pos="700" w:val="left"/>
        </w:tabs>
        <w:rPr>
          <w:rFonts w:ascii="Times New Roman" w:cs="Times New Roman" w:eastAsia="Times New Roman" w:hAnsi="Times New Roman"/>
          <w:sz w:val="18"/>
          <w:szCs w:val="18"/>
          <w:u w:val="single" w:color="auto"/>
          <w:color w:val="0000FF"/>
        </w:rPr>
      </w:pPr>
      <w:hyperlink r:id="rId15">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15">
        <w:r>
          <w:rPr>
            <w:rFonts w:ascii="Times New Roman" w:cs="Times New Roman" w:eastAsia="Times New Roman" w:hAnsi="Times New Roman"/>
            <w:sz w:val="18"/>
            <w:szCs w:val="18"/>
            <w:u w:val="single" w:color="auto"/>
            <w:color w:val="0000FF"/>
          </w:rPr>
          <w:t>Amended and Restated Articles of Incorporation of the Company. (Incorporated by reference to Exhibit 3.1 of the Current Report on Form 10-</w:t>
        </w:r>
      </w:hyperlink>
      <w:hyperlink r:id="rId15">
        <w:r>
          <w:rPr>
            <w:rFonts w:ascii="Times New Roman" w:cs="Times New Roman" w:eastAsia="Times New Roman" w:hAnsi="Times New Roman"/>
            <w:sz w:val="18"/>
            <w:szCs w:val="18"/>
            <w:u w:val="single" w:color="auto"/>
            <w:color w:val="0000FF"/>
          </w:rPr>
          <w:t>Q/A (Amendment No. 1) of Daktronics, Inc. filed on December 21, 2018).</w:t>
        </w:r>
      </w:hyperlink>
    </w:p>
    <w:p>
      <w:pPr>
        <w:spacing w:after="0" w:line="216" w:lineRule="exact"/>
        <w:rPr>
          <w:rFonts w:ascii="Times New Roman" w:cs="Times New Roman" w:eastAsia="Times New Roman" w:hAnsi="Times New Roman"/>
          <w:sz w:val="18"/>
          <w:szCs w:val="18"/>
          <w:u w:val="single" w:color="auto"/>
          <w:color w:val="0000FF"/>
        </w:rPr>
      </w:pPr>
    </w:p>
    <w:p>
      <w:pPr>
        <w:ind w:left="40"/>
        <w:spacing w:after="0"/>
        <w:tabs>
          <w:tab w:leader="none" w:pos="700" w:val="left"/>
        </w:tabs>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16">
        <w:r>
          <w:rPr>
            <w:rFonts w:ascii="Times New Roman" w:cs="Times New Roman" w:eastAsia="Times New Roman" w:hAnsi="Times New Roman"/>
            <w:sz w:val="18"/>
            <w:szCs w:val="18"/>
            <w:u w:val="single" w:color="auto"/>
            <w:color w:val="0000FF"/>
          </w:rPr>
          <w:t>Amended and Restated Bylaws of the Company (Incorporated by reference to Exhibit 3.4 filed with our Annual Report on Form 10-K on June</w:t>
        </w:r>
      </w:hyperlink>
    </w:p>
    <w:p>
      <w:pPr>
        <w:spacing w:after="0" w:line="27" w:lineRule="exact"/>
        <w:rPr>
          <w:sz w:val="20"/>
          <w:szCs w:val="20"/>
          <w:color w:val="auto"/>
        </w:rPr>
      </w:pPr>
    </w:p>
    <w:p>
      <w:pPr>
        <w:ind w:left="720"/>
        <w:spacing w:after="0"/>
        <w:rPr>
          <w:rFonts w:ascii="Times New Roman" w:cs="Times New Roman" w:eastAsia="Times New Roman" w:hAnsi="Times New Roman"/>
          <w:sz w:val="18"/>
          <w:szCs w:val="18"/>
          <w:u w:val="single" w:color="auto"/>
          <w:color w:val="0000FF"/>
        </w:rPr>
      </w:pPr>
      <w:hyperlink r:id="rId16">
        <w:r>
          <w:rPr>
            <w:rFonts w:ascii="Times New Roman" w:cs="Times New Roman" w:eastAsia="Times New Roman" w:hAnsi="Times New Roman"/>
            <w:sz w:val="18"/>
            <w:szCs w:val="18"/>
            <w:u w:val="single" w:color="auto"/>
            <w:color w:val="0000FF"/>
          </w:rPr>
          <w:t>12,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18">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18">
        <w:r>
          <w:rPr>
            <w:rFonts w:ascii="Times New Roman" w:cs="Times New Roman" w:eastAsia="Times New Roman" w:hAnsi="Times New Roman"/>
            <w:sz w:val="18"/>
            <w:szCs w:val="18"/>
            <w:u w:val="single" w:color="auto"/>
            <w:color w:val="0000FF"/>
          </w:rPr>
          <w:t>Rights Agreement dated as of November 16, 2018 between Daktronics, Inc. and Equiniti Trust Company, as Rights Agent (Incorporated by</w:t>
        </w:r>
      </w:hyperlink>
      <w:r>
        <w:rPr>
          <w:rFonts w:ascii="Times New Roman" w:cs="Times New Roman" w:eastAsia="Times New Roman" w:hAnsi="Times New Roman"/>
          <w:sz w:val="18"/>
          <w:szCs w:val="18"/>
          <w:u w:val="single" w:color="auto"/>
          <w:color w:val="0000FF"/>
        </w:rPr>
        <w:t xml:space="preserve"> </w:t>
      </w:r>
      <w:hyperlink r:id="rId18">
        <w:r>
          <w:rPr>
            <w:rFonts w:ascii="Times New Roman" w:cs="Times New Roman" w:eastAsia="Times New Roman" w:hAnsi="Times New Roman"/>
            <w:sz w:val="18"/>
            <w:szCs w:val="18"/>
            <w:u w:val="single" w:color="auto"/>
            <w:color w:val="0000FF"/>
          </w:rPr>
          <w:t>reference to Exhibit 4.1 of the Current Report on Form 8-K of Daktronics, Inc. filed on November 16, 2018).</w:t>
        </w:r>
      </w:hyperlink>
    </w:p>
    <w:p>
      <w:pPr>
        <w:spacing w:after="0" w:line="1"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19">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19">
        <w:r>
          <w:rPr>
            <w:rFonts w:ascii="Times New Roman" w:cs="Times New Roman" w:eastAsia="Times New Roman" w:hAnsi="Times New Roman"/>
            <w:sz w:val="18"/>
            <w:szCs w:val="18"/>
            <w:u w:val="single" w:color="auto"/>
            <w:color w:val="0000FF"/>
          </w:rPr>
          <w:t>Credit Agreement dated November 15, 2016 by and between the Company and U.S. Bank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19">
        <w:r>
          <w:rPr>
            <w:rFonts w:ascii="Times New Roman" w:cs="Times New Roman" w:eastAsia="Times New Roman" w:hAnsi="Times New Roman"/>
            <w:sz w:val="18"/>
            <w:szCs w:val="18"/>
            <w:u w:val="single" w:color="auto"/>
            <w:color w:val="0000FF"/>
          </w:rPr>
          <w:t>Exhibit 10.1 filed with our Current Report on Form 8-K filed on November 16, 2016).</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1">
        <w:r>
          <w:rPr>
            <w:rFonts w:ascii="Times New Roman" w:cs="Times New Roman" w:eastAsia="Times New Roman" w:hAnsi="Times New Roman"/>
            <w:sz w:val="18"/>
            <w:szCs w:val="18"/>
            <w:u w:val="single" w:color="auto"/>
            <w:color w:val="0000FF"/>
          </w:rPr>
          <w:t>10.2</w:t>
        </w:r>
      </w:hyperlink>
      <w:r>
        <w:rPr>
          <w:rFonts w:ascii="Times New Roman" w:cs="Times New Roman" w:eastAsia="Times New Roman" w:hAnsi="Times New Roman"/>
          <w:sz w:val="18"/>
          <w:szCs w:val="18"/>
          <w:u w:val="single" w:color="auto"/>
          <w:color w:val="0000FF"/>
        </w:rPr>
        <w:tab/>
      </w:r>
      <w:hyperlink r:id="rId21">
        <w:r>
          <w:rPr>
            <w:rFonts w:ascii="Times New Roman" w:cs="Times New Roman" w:eastAsia="Times New Roman" w:hAnsi="Times New Roman"/>
            <w:sz w:val="18"/>
            <w:szCs w:val="18"/>
            <w:u w:val="single" w:color="auto"/>
            <w:color w:val="0000FF"/>
          </w:rPr>
          <w:t>Revolving Note dated November 15, 2016 issued by the Company to U.S. Bank National Association (Incorporated by reference to Exhibit 10.2</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filed with our Current Report on Form 8-K filed on November 16, 2016).</w:t>
        </w:r>
      </w:hyperlink>
    </w:p>
    <w:p>
      <w:pPr>
        <w:spacing w:after="0" w:line="1"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2">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22">
        <w:r>
          <w:rPr>
            <w:rFonts w:ascii="Times New Roman" w:cs="Times New Roman" w:eastAsia="Times New Roman" w:hAnsi="Times New Roman"/>
            <w:sz w:val="18"/>
            <w:szCs w:val="18"/>
            <w:u w:val="single" w:color="auto"/>
            <w:color w:val="0000FF"/>
          </w:rPr>
          <w:t>Second Amendment to Credit Agreement dated as of November 15, 2019 by and between the Company and U.S. Bank National Association</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(Incorporated by reference to Exhibit 10.1 filed with our Current Report on Form 8-K filed on November 15, 2019).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ind w:left="720" w:right="20" w:hanging="674"/>
        <w:spacing w:after="0" w:line="282" w:lineRule="auto"/>
        <w:tabs>
          <w:tab w:leader="none" w:pos="700" w:val="left"/>
        </w:tabs>
        <w:rPr>
          <w:rFonts w:ascii="Times New Roman" w:cs="Times New Roman" w:eastAsia="Times New Roman" w:hAnsi="Times New Roman"/>
          <w:sz w:val="18"/>
          <w:szCs w:val="18"/>
          <w:u w:val="single" w:color="auto"/>
          <w:color w:val="0000FF"/>
        </w:rPr>
      </w:pPr>
      <w:hyperlink r:id="rId24">
        <w:r>
          <w:rPr>
            <w:rFonts w:ascii="Times New Roman" w:cs="Times New Roman" w:eastAsia="Times New Roman" w:hAnsi="Times New Roman"/>
            <w:sz w:val="18"/>
            <w:szCs w:val="18"/>
            <w:u w:val="single" w:color="auto"/>
            <w:color w:val="0000FF"/>
          </w:rPr>
          <w:t>10.4</w:t>
        </w:r>
      </w:hyperlink>
      <w:r>
        <w:rPr>
          <w:rFonts w:ascii="Times New Roman" w:cs="Times New Roman" w:eastAsia="Times New Roman" w:hAnsi="Times New Roman"/>
          <w:sz w:val="18"/>
          <w:szCs w:val="18"/>
          <w:u w:val="single" w:color="auto"/>
          <w:color w:val="0000FF"/>
        </w:rPr>
        <w:tab/>
      </w:r>
      <w:hyperlink r:id="rId24">
        <w:r>
          <w:rPr>
            <w:rFonts w:ascii="Times New Roman" w:cs="Times New Roman" w:eastAsia="Times New Roman" w:hAnsi="Times New Roman"/>
            <w:sz w:val="18"/>
            <w:szCs w:val="18"/>
            <w:u w:val="single" w:color="auto"/>
            <w:color w:val="0000FF"/>
          </w:rPr>
          <w:t>Third Amendment to Credit Agreement dated as of August 28, 2020 by and between the Company and U.S. Bank National Association</w:t>
        </w:r>
      </w:hyperlink>
      <w:r>
        <w:rPr>
          <w:rFonts w:ascii="Times New Roman" w:cs="Times New Roman" w:eastAsia="Times New Roman" w:hAnsi="Times New Roman"/>
          <w:sz w:val="18"/>
          <w:szCs w:val="18"/>
          <w:u w:val="single" w:color="auto"/>
          <w:color w:val="0000FF"/>
        </w:rPr>
        <w:t xml:space="preserve"> </w:t>
      </w:r>
      <w:hyperlink r:id="rId24">
        <w:r>
          <w:rPr>
            <w:rFonts w:ascii="Times New Roman" w:cs="Times New Roman" w:eastAsia="Times New Roman" w:hAnsi="Times New Roman"/>
            <w:sz w:val="18"/>
            <w:szCs w:val="18"/>
            <w:u w:val="single" w:color="auto"/>
            <w:color w:val="0000FF"/>
          </w:rPr>
          <w:t>(Incorporated by reference to Exhibit 10.4 filed with our Current Report on Form 10-Q of Daktronics, Inc. filed on August 28, 2020).</w:t>
        </w:r>
      </w:hyperlink>
    </w:p>
    <w:p>
      <w:pPr>
        <w:spacing w:after="0" w:line="216" w:lineRule="exact"/>
        <w:rPr>
          <w:rFonts w:ascii="Times New Roman" w:cs="Times New Roman" w:eastAsia="Times New Roman" w:hAnsi="Times New Roman"/>
          <w:sz w:val="18"/>
          <w:szCs w:val="18"/>
          <w:u w:val="single" w:color="auto"/>
          <w:color w:val="0000FF"/>
        </w:rPr>
      </w:pPr>
    </w:p>
    <w:p>
      <w:pPr>
        <w:ind w:left="720" w:right="40" w:hanging="674"/>
        <w:spacing w:after="0" w:line="282" w:lineRule="auto"/>
        <w:tabs>
          <w:tab w:leader="none" w:pos="700" w:val="left"/>
        </w:tabs>
        <w:rPr>
          <w:rFonts w:ascii="Times New Roman" w:cs="Times New Roman" w:eastAsia="Times New Roman" w:hAnsi="Times New Roman"/>
          <w:sz w:val="18"/>
          <w:szCs w:val="18"/>
          <w:u w:val="single" w:color="auto"/>
          <w:color w:val="0000FF"/>
        </w:rPr>
      </w:pPr>
      <w:hyperlink r:id="rId25">
        <w:r>
          <w:rPr>
            <w:rFonts w:ascii="Times New Roman" w:cs="Times New Roman" w:eastAsia="Times New Roman" w:hAnsi="Times New Roman"/>
            <w:sz w:val="18"/>
            <w:szCs w:val="18"/>
            <w:u w:val="single" w:color="auto"/>
            <w:color w:val="0000FF"/>
          </w:rPr>
          <w:t>10.5</w:t>
        </w:r>
      </w:hyperlink>
      <w:r>
        <w:rPr>
          <w:rFonts w:ascii="Times New Roman" w:cs="Times New Roman" w:eastAsia="Times New Roman" w:hAnsi="Times New Roman"/>
          <w:sz w:val="18"/>
          <w:szCs w:val="18"/>
          <w:u w:val="single" w:color="auto"/>
          <w:color w:val="0000FF"/>
        </w:rPr>
        <w:tab/>
      </w:r>
      <w:hyperlink r:id="rId25">
        <w:r>
          <w:rPr>
            <w:rFonts w:ascii="Times New Roman" w:cs="Times New Roman" w:eastAsia="Times New Roman" w:hAnsi="Times New Roman"/>
            <w:sz w:val="18"/>
            <w:szCs w:val="18"/>
            <w:u w:val="single" w:color="auto"/>
            <w:color w:val="0000FF"/>
          </w:rPr>
          <w:t>Security Agreement dated as of August 28, 2020 by and between the Company and U.S. Bank National Association (Incorporated by reference to</w:t>
        </w:r>
      </w:hyperlink>
      <w:r>
        <w:rPr>
          <w:rFonts w:ascii="Times New Roman" w:cs="Times New Roman" w:eastAsia="Times New Roman" w:hAnsi="Times New Roman"/>
          <w:sz w:val="18"/>
          <w:szCs w:val="18"/>
          <w:u w:val="single" w:color="auto"/>
          <w:color w:val="0000FF"/>
        </w:rPr>
        <w:t xml:space="preserve"> </w:t>
      </w:r>
      <w:hyperlink r:id="rId25">
        <w:r>
          <w:rPr>
            <w:rFonts w:ascii="Times New Roman" w:cs="Times New Roman" w:eastAsia="Times New Roman" w:hAnsi="Times New Roman"/>
            <w:sz w:val="18"/>
            <w:szCs w:val="18"/>
            <w:u w:val="single" w:color="auto"/>
            <w:color w:val="0000FF"/>
          </w:rPr>
          <w:t>Exhibit 10.5 filed with our Current Report on Form 10-Q of Daktronics, Inc. filed on August 28,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196"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7">
        <w:r>
          <w:rPr>
            <w:rFonts w:ascii="Times New Roman" w:cs="Times New Roman" w:eastAsia="Times New Roman" w:hAnsi="Times New Roman"/>
            <w:sz w:val="18"/>
            <w:szCs w:val="18"/>
            <w:u w:val="single" w:color="auto"/>
            <w:color w:val="0000FF"/>
          </w:rPr>
          <w:t>10.6</w:t>
        </w:r>
      </w:hyperlink>
      <w:r>
        <w:rPr>
          <w:rFonts w:ascii="Times New Roman" w:cs="Times New Roman" w:eastAsia="Times New Roman" w:hAnsi="Times New Roman"/>
          <w:sz w:val="18"/>
          <w:szCs w:val="18"/>
          <w:u w:val="single" w:color="auto"/>
          <w:color w:val="0000FF"/>
        </w:rPr>
        <w:tab/>
      </w:r>
      <w:hyperlink r:id="rId27">
        <w:r>
          <w:rPr>
            <w:rFonts w:ascii="Times New Roman" w:cs="Times New Roman" w:eastAsia="Times New Roman" w:hAnsi="Times New Roman"/>
            <w:sz w:val="18"/>
            <w:szCs w:val="18"/>
            <w:u w:val="single" w:color="auto"/>
            <w:color w:val="0000FF"/>
          </w:rPr>
          <w:t>Daktronics, Inc. 2020 Stock Incentive Plan ("2020 Plan") (Incorporated by reference to Exhibit A to the Company's Definitive Proxy Statement</w:t>
        </w:r>
      </w:hyperlink>
      <w:r>
        <w:rPr>
          <w:rFonts w:ascii="Times New Roman" w:cs="Times New Roman" w:eastAsia="Times New Roman" w:hAnsi="Times New Roman"/>
          <w:sz w:val="18"/>
          <w:szCs w:val="18"/>
          <w:u w:val="single" w:color="auto"/>
          <w:color w:val="0000FF"/>
        </w:rPr>
        <w:t xml:space="preserve"> </w:t>
      </w:r>
      <w:hyperlink r:id="rId27">
        <w:r>
          <w:rPr>
            <w:rFonts w:ascii="Times New Roman" w:cs="Times New Roman" w:eastAsia="Times New Roman" w:hAnsi="Times New Roman"/>
            <w:sz w:val="18"/>
            <w:szCs w:val="18"/>
            <w:u w:val="single" w:color="auto"/>
            <w:color w:val="0000FF"/>
          </w:rPr>
          <w:t>on Schedule 14A filed on July 16, 2020).</w:t>
        </w:r>
      </w:hyperlink>
    </w:p>
    <w:p>
      <w:pPr>
        <w:spacing w:after="0" w:line="1"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28">
        <w:r>
          <w:rPr>
            <w:rFonts w:ascii="Times New Roman" w:cs="Times New Roman" w:eastAsia="Times New Roman" w:hAnsi="Times New Roman"/>
            <w:sz w:val="18"/>
            <w:szCs w:val="18"/>
            <w:u w:val="single" w:color="auto"/>
            <w:color w:val="0000FF"/>
          </w:rPr>
          <w:t>10.7</w:t>
        </w:r>
      </w:hyperlink>
      <w:r>
        <w:rPr>
          <w:rFonts w:ascii="Times New Roman" w:cs="Times New Roman" w:eastAsia="Times New Roman" w:hAnsi="Times New Roman"/>
          <w:sz w:val="18"/>
          <w:szCs w:val="18"/>
          <w:u w:val="single" w:color="auto"/>
          <w:color w:val="0000FF"/>
        </w:rPr>
        <w:tab/>
      </w:r>
      <w:hyperlink r:id="rId28">
        <w:r>
          <w:rPr>
            <w:rFonts w:ascii="Times New Roman" w:cs="Times New Roman" w:eastAsia="Times New Roman" w:hAnsi="Times New Roman"/>
            <w:sz w:val="18"/>
            <w:szCs w:val="18"/>
            <w:u w:val="single" w:color="auto"/>
            <w:color w:val="0000FF"/>
          </w:rPr>
          <w:t>Form of Restricted Stock Award Agreement under the 2020 Plan (Incorporated by reference to Exhibit 10.2 filed with our Current Report on</w:t>
        </w:r>
      </w:hyperlink>
      <w:r>
        <w:rPr>
          <w:rFonts w:ascii="Times New Roman" w:cs="Times New Roman" w:eastAsia="Times New Roman" w:hAnsi="Times New Roman"/>
          <w:sz w:val="18"/>
          <w:szCs w:val="18"/>
          <w:u w:val="single" w:color="auto"/>
          <w:color w:val="0000FF"/>
        </w:rPr>
        <w:t xml:space="preserve"> </w:t>
      </w:r>
      <w:hyperlink r:id="rId28">
        <w:r>
          <w:rPr>
            <w:rFonts w:ascii="Times New Roman" w:cs="Times New Roman" w:eastAsia="Times New Roman" w:hAnsi="Times New Roman"/>
            <w:sz w:val="18"/>
            <w:szCs w:val="18"/>
            <w:u w:val="single" w:color="auto"/>
            <w:color w:val="0000FF"/>
          </w:rPr>
          <w:t>Form 8-K on September 3,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0">
        <w:r>
          <w:rPr>
            <w:rFonts w:ascii="Times New Roman" w:cs="Times New Roman" w:eastAsia="Times New Roman" w:hAnsi="Times New Roman"/>
            <w:sz w:val="18"/>
            <w:szCs w:val="18"/>
            <w:u w:val="single" w:color="auto"/>
            <w:color w:val="0000FF"/>
          </w:rPr>
          <w:t>10.8</w:t>
        </w:r>
      </w:hyperlink>
      <w:r>
        <w:rPr>
          <w:rFonts w:ascii="Times New Roman" w:cs="Times New Roman" w:eastAsia="Times New Roman" w:hAnsi="Times New Roman"/>
          <w:sz w:val="18"/>
          <w:szCs w:val="18"/>
          <w:u w:val="single" w:color="auto"/>
          <w:color w:val="0000FF"/>
        </w:rPr>
        <w:tab/>
      </w:r>
      <w:hyperlink r:id="rId31">
        <w:r>
          <w:rPr>
            <w:rFonts w:ascii="Times New Roman" w:cs="Times New Roman" w:eastAsia="Times New Roman" w:hAnsi="Times New Roman"/>
            <w:sz w:val="18"/>
            <w:szCs w:val="18"/>
            <w:u w:val="single" w:color="auto"/>
            <w:color w:val="0000FF"/>
          </w:rPr>
          <w:t>Form of Non-Qualified Stock Option Agreement Terms and Conditions under the 2020 Plan (Incorporated by reference to Exhibit 10.3 filed with</w:t>
        </w:r>
      </w:hyperlink>
      <w:r>
        <w:rPr>
          <w:rFonts w:ascii="Times New Roman" w:cs="Times New Roman" w:eastAsia="Times New Roman" w:hAnsi="Times New Roman"/>
          <w:sz w:val="18"/>
          <w:szCs w:val="18"/>
          <w:u w:val="single" w:color="auto"/>
          <w:color w:val="0000FF"/>
        </w:rPr>
        <w:t xml:space="preserve"> </w:t>
      </w:r>
      <w:hyperlink r:id="rId31">
        <w:r>
          <w:rPr>
            <w:rFonts w:ascii="Times New Roman" w:cs="Times New Roman" w:eastAsia="Times New Roman" w:hAnsi="Times New Roman"/>
            <w:sz w:val="18"/>
            <w:szCs w:val="18"/>
            <w:u w:val="single" w:color="auto"/>
            <w:color w:val="0000FF"/>
          </w:rPr>
          <w:t>our Current Report on Form 8-K on September 3, 2020).</w:t>
        </w:r>
      </w:hyperlink>
    </w:p>
    <w:p>
      <w:pPr>
        <w:spacing w:after="0" w:line="1"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2">
        <w:r>
          <w:rPr>
            <w:rFonts w:ascii="Times New Roman" w:cs="Times New Roman" w:eastAsia="Times New Roman" w:hAnsi="Times New Roman"/>
            <w:sz w:val="18"/>
            <w:szCs w:val="18"/>
            <w:u w:val="single" w:color="auto"/>
            <w:color w:val="0000FF"/>
          </w:rPr>
          <w:t>10.9</w:t>
        </w:r>
      </w:hyperlink>
      <w:r>
        <w:rPr>
          <w:rFonts w:ascii="Times New Roman" w:cs="Times New Roman" w:eastAsia="Times New Roman" w:hAnsi="Times New Roman"/>
          <w:sz w:val="18"/>
          <w:szCs w:val="18"/>
          <w:u w:val="single" w:color="auto"/>
          <w:color w:val="0000FF"/>
        </w:rPr>
        <w:tab/>
      </w:r>
      <w:hyperlink r:id="rId32">
        <w:r>
          <w:rPr>
            <w:rFonts w:ascii="Times New Roman" w:cs="Times New Roman" w:eastAsia="Times New Roman" w:hAnsi="Times New Roman"/>
            <w:sz w:val="18"/>
            <w:szCs w:val="18"/>
            <w:u w:val="single" w:color="auto"/>
            <w:color w:val="0000FF"/>
          </w:rPr>
          <w:t>Form of Incentive Stock Option Terms and Conditions under the 2020 Plan (Incorporated by reference to Exhibit 10.4 filed with our Current</w:t>
        </w:r>
      </w:hyperlink>
      <w:r>
        <w:rPr>
          <w:rFonts w:ascii="Times New Roman" w:cs="Times New Roman" w:eastAsia="Times New Roman" w:hAnsi="Times New Roman"/>
          <w:sz w:val="18"/>
          <w:szCs w:val="18"/>
          <w:u w:val="single" w:color="auto"/>
          <w:color w:val="0000FF"/>
        </w:rPr>
        <w:t xml:space="preserve"> </w:t>
      </w:r>
      <w:hyperlink r:id="rId32">
        <w:r>
          <w:rPr>
            <w:rFonts w:ascii="Times New Roman" w:cs="Times New Roman" w:eastAsia="Times New Roman" w:hAnsi="Times New Roman"/>
            <w:sz w:val="18"/>
            <w:szCs w:val="18"/>
            <w:u w:val="single" w:color="auto"/>
            <w:color w:val="0000FF"/>
          </w:rPr>
          <w:t>Report on Form 8-K on September 3, 2020).</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2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r:id="rId34">
        <w:r>
          <w:rPr>
            <w:rFonts w:ascii="Times New Roman" w:cs="Times New Roman" w:eastAsia="Times New Roman" w:hAnsi="Times New Roman"/>
            <w:sz w:val="18"/>
            <w:szCs w:val="18"/>
            <w:u w:val="single" w:color="auto"/>
            <w:color w:val="0000FF"/>
          </w:rPr>
          <w:t>10.10</w:t>
        </w:r>
      </w:hyperlink>
      <w:r>
        <w:rPr>
          <w:rFonts w:ascii="Times New Roman" w:cs="Times New Roman" w:eastAsia="Times New Roman" w:hAnsi="Times New Roman"/>
          <w:sz w:val="18"/>
          <w:szCs w:val="18"/>
          <w:u w:val="single" w:color="auto"/>
          <w:color w:val="0000FF"/>
        </w:rPr>
        <w:tab/>
      </w:r>
      <w:hyperlink r:id="rId34">
        <w:r>
          <w:rPr>
            <w:rFonts w:ascii="Times New Roman" w:cs="Times New Roman" w:eastAsia="Times New Roman" w:hAnsi="Times New Roman"/>
            <w:sz w:val="18"/>
            <w:szCs w:val="18"/>
            <w:u w:val="single" w:color="auto"/>
            <w:color w:val="0000FF"/>
          </w:rPr>
          <w:t>Form of Restricted Stock Unit Terms and Conditions under the 2020 Plan (Incorporated by reference to Exhibit 10.5 filed with our Current</w:t>
        </w:r>
      </w:hyperlink>
      <w:r>
        <w:rPr>
          <w:rFonts w:ascii="Times New Roman" w:cs="Times New Roman" w:eastAsia="Times New Roman" w:hAnsi="Times New Roman"/>
          <w:sz w:val="18"/>
          <w:szCs w:val="18"/>
          <w:u w:val="single" w:color="auto"/>
          <w:color w:val="0000FF"/>
        </w:rPr>
        <w:t xml:space="preserve"> </w:t>
      </w:r>
      <w:hyperlink r:id="rId34">
        <w:r>
          <w:rPr>
            <w:rFonts w:ascii="Times New Roman" w:cs="Times New Roman" w:eastAsia="Times New Roman" w:hAnsi="Times New Roman"/>
            <w:sz w:val="18"/>
            <w:szCs w:val="18"/>
            <w:u w:val="single" w:color="auto"/>
            <w:color w:val="0000FF"/>
          </w:rPr>
          <w:t>Report on Form 8-K on September 3, 2020).</w:t>
        </w:r>
      </w:hyperlink>
    </w:p>
    <w:p>
      <w:pPr>
        <w:spacing w:after="0" w:line="1" w:lineRule="exact"/>
        <w:rPr>
          <w:rFonts w:ascii="Times New Roman" w:cs="Times New Roman" w:eastAsia="Times New Roman" w:hAnsi="Times New Roman"/>
          <w:sz w:val="18"/>
          <w:szCs w:val="18"/>
          <w:u w:val="single" w:color="auto"/>
          <w:color w:val="0000FF"/>
        </w:rPr>
      </w:pP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w:anchor="page37">
        <w:r>
          <w:rPr>
            <w:rFonts w:ascii="Times New Roman" w:cs="Times New Roman" w:eastAsia="Times New Roman" w:hAnsi="Times New Roman"/>
            <w:sz w:val="18"/>
            <w:szCs w:val="18"/>
            <w:u w:val="single" w:color="auto"/>
            <w:color w:val="0000FF"/>
          </w:rPr>
          <w:t>31.1</w:t>
        </w:r>
      </w:hyperlink>
      <w:r>
        <w:rPr>
          <w:rFonts w:ascii="Times New Roman" w:cs="Times New Roman" w:eastAsia="Times New Roman" w:hAnsi="Times New Roman"/>
          <w:sz w:val="18"/>
          <w:szCs w:val="18"/>
          <w:u w:val="single" w:color="auto"/>
          <w:color w:val="0000FF"/>
        </w:rPr>
        <w:tab/>
      </w:r>
      <w:hyperlink w:anchor="page37">
        <w:r>
          <w:rPr>
            <w:rFonts w:ascii="Times New Roman" w:cs="Times New Roman" w:eastAsia="Times New Roman" w:hAnsi="Times New Roman"/>
            <w:sz w:val="18"/>
            <w:szCs w:val="18"/>
            <w:u w:val="single" w:color="auto"/>
            <w:color w:val="0000FF"/>
          </w:rPr>
          <w:t>Certification of the Chief Executive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37">
        <w:r>
          <w:rPr>
            <w:rFonts w:ascii="Times New Roman" w:cs="Times New Roman" w:eastAsia="Times New Roman" w:hAnsi="Times New Roman"/>
            <w:sz w:val="18"/>
            <w:szCs w:val="18"/>
            <w:u w:val="single" w:color="auto"/>
            <w:color w:val="0000FF"/>
          </w:rPr>
          <w:t>pursuant to Section 302 of the Sarbanes-Oxley Act of 2002. (1)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left="720" w:right="40" w:hanging="674"/>
        <w:spacing w:after="0" w:line="281" w:lineRule="auto"/>
        <w:tabs>
          <w:tab w:leader="none" w:pos="700" w:val="left"/>
        </w:tabs>
        <w:rPr>
          <w:rFonts w:ascii="Times New Roman" w:cs="Times New Roman" w:eastAsia="Times New Roman" w:hAnsi="Times New Roman"/>
          <w:sz w:val="18"/>
          <w:szCs w:val="18"/>
          <w:u w:val="single" w:color="auto"/>
          <w:color w:val="0000FF"/>
        </w:rPr>
      </w:pPr>
      <w:hyperlink w:anchor="page38">
        <w:r>
          <w:rPr>
            <w:rFonts w:ascii="Times New Roman" w:cs="Times New Roman" w:eastAsia="Times New Roman" w:hAnsi="Times New Roman"/>
            <w:sz w:val="18"/>
            <w:szCs w:val="18"/>
            <w:u w:val="single" w:color="auto"/>
            <w:color w:val="0000FF"/>
          </w:rPr>
          <w:t>31.2</w:t>
        </w:r>
      </w:hyperlink>
      <w:r>
        <w:rPr>
          <w:rFonts w:ascii="Times New Roman" w:cs="Times New Roman" w:eastAsia="Times New Roman" w:hAnsi="Times New Roman"/>
          <w:sz w:val="18"/>
          <w:szCs w:val="18"/>
          <w:u w:val="single" w:color="auto"/>
          <w:color w:val="0000FF"/>
        </w:rPr>
        <w:tab/>
      </w:r>
      <w:hyperlink w:anchor="page38">
        <w:r>
          <w:rPr>
            <w:rFonts w:ascii="Times New Roman" w:cs="Times New Roman" w:eastAsia="Times New Roman" w:hAnsi="Times New Roman"/>
            <w:sz w:val="18"/>
            <w:szCs w:val="18"/>
            <w:u w:val="single" w:color="auto"/>
            <w:color w:val="0000FF"/>
          </w:rPr>
          <w:t>Certification of the Chief Financial Officer required by Rule 13a-14(a) or Rule 15d-14(a) under the Securities Exchange Act of 1934, as adopted</w:t>
        </w:r>
      </w:hyperlink>
      <w:r>
        <w:rPr>
          <w:rFonts w:ascii="Times New Roman" w:cs="Times New Roman" w:eastAsia="Times New Roman" w:hAnsi="Times New Roman"/>
          <w:sz w:val="18"/>
          <w:szCs w:val="18"/>
          <w:u w:val="single" w:color="auto"/>
          <w:color w:val="0000FF"/>
        </w:rPr>
        <w:t xml:space="preserve"> </w:t>
      </w:r>
      <w:hyperlink w:anchor="page38">
        <w:r>
          <w:rPr>
            <w:rFonts w:ascii="Times New Roman" w:cs="Times New Roman" w:eastAsia="Times New Roman" w:hAnsi="Times New Roman"/>
            <w:sz w:val="18"/>
            <w:szCs w:val="18"/>
            <w:u w:val="single" w:color="auto"/>
            <w:color w:val="0000FF"/>
          </w:rPr>
          <w:t>pursuant to Section 302 of the Sarbanes-Oxley Act of 2002. (1)</w:t>
        </w:r>
      </w:hyperlink>
    </w:p>
    <w:p>
      <w:pPr>
        <w:spacing w:after="0" w:line="1" w:lineRule="exact"/>
        <w:rPr>
          <w:rFonts w:ascii="Times New Roman" w:cs="Times New Roman" w:eastAsia="Times New Roman" w:hAnsi="Times New Roman"/>
          <w:sz w:val="18"/>
          <w:szCs w:val="18"/>
          <w:u w:val="single" w:color="auto"/>
          <w:color w:val="0000FF"/>
        </w:rPr>
      </w:pPr>
    </w:p>
    <w:p>
      <w:pPr>
        <w:ind w:left="40"/>
        <w:spacing w:after="0"/>
        <w:tabs>
          <w:tab w:leader="none" w:pos="700" w:val="left"/>
        </w:tabs>
        <w:rPr>
          <w:rFonts w:ascii="Times New Roman" w:cs="Times New Roman" w:eastAsia="Times New Roman" w:hAnsi="Times New Roman"/>
          <w:sz w:val="17"/>
          <w:szCs w:val="17"/>
          <w:u w:val="single" w:color="auto"/>
          <w:color w:val="0000FF"/>
        </w:rPr>
      </w:pPr>
      <w:hyperlink w:anchor="page39">
        <w:r>
          <w:rPr>
            <w:rFonts w:ascii="Times New Roman" w:cs="Times New Roman" w:eastAsia="Times New Roman" w:hAnsi="Times New Roman"/>
            <w:sz w:val="18"/>
            <w:szCs w:val="18"/>
            <w:u w:val="single" w:color="auto"/>
            <w:color w:val="0000FF"/>
          </w:rPr>
          <w:t>32.1</w:t>
        </w:r>
      </w:hyperlink>
      <w:r>
        <w:rPr>
          <w:rFonts w:ascii="Times New Roman" w:cs="Times New Roman" w:eastAsia="Times New Roman" w:hAnsi="Times New Roman"/>
          <w:sz w:val="18"/>
          <w:szCs w:val="18"/>
          <w:u w:val="single" w:color="auto"/>
          <w:color w:val="0000FF"/>
        </w:rPr>
        <w:tab/>
      </w:r>
      <w:hyperlink w:anchor="page39">
        <w:r>
          <w:rPr>
            <w:rFonts w:ascii="Times New Roman" w:cs="Times New Roman" w:eastAsia="Times New Roman" w:hAnsi="Times New Roman"/>
            <w:sz w:val="17"/>
            <w:szCs w:val="17"/>
            <w:u w:val="single" w:color="auto"/>
            <w:color w:val="0000FF"/>
          </w:rPr>
          <w:t>Certification of the Chief Executive Officer pursuant to Section 906 of the Sarbanes-Oxley Act of 2002 (18 U.S.C. Section 1350).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700" w:val="left"/>
        </w:tabs>
        <w:rPr>
          <w:rFonts w:ascii="Times New Roman" w:cs="Times New Roman" w:eastAsia="Times New Roman" w:hAnsi="Times New Roman"/>
          <w:sz w:val="17"/>
          <w:szCs w:val="17"/>
          <w:u w:val="single" w:color="auto"/>
          <w:color w:val="0000FF"/>
        </w:rPr>
      </w:pPr>
      <w:hyperlink w:anchor="page40">
        <w:r>
          <w:rPr>
            <w:rFonts w:ascii="Times New Roman" w:cs="Times New Roman" w:eastAsia="Times New Roman" w:hAnsi="Times New Roman"/>
            <w:sz w:val="18"/>
            <w:szCs w:val="18"/>
            <w:u w:val="single" w:color="auto"/>
            <w:color w:val="0000FF"/>
          </w:rPr>
          <w:t>32.2</w:t>
        </w:r>
      </w:hyperlink>
      <w:r>
        <w:rPr>
          <w:rFonts w:ascii="Times New Roman" w:cs="Times New Roman" w:eastAsia="Times New Roman" w:hAnsi="Times New Roman"/>
          <w:sz w:val="18"/>
          <w:szCs w:val="18"/>
          <w:u w:val="single" w:color="auto"/>
          <w:color w:val="0000FF"/>
        </w:rPr>
        <w:tab/>
      </w:r>
      <w:hyperlink w:anchor="page40">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 (18 U.S.C. Section 1350). (1)</w:t>
        </w:r>
      </w:hyperlink>
    </w:p>
    <w:p>
      <w:pPr>
        <w:spacing w:after="0" w:line="63" w:lineRule="exact"/>
        <w:rPr>
          <w:sz w:val="20"/>
          <w:szCs w:val="20"/>
          <w:color w:val="auto"/>
        </w:rPr>
      </w:pPr>
    </w:p>
    <w:p>
      <w:pPr>
        <w:jc w:val="both"/>
        <w:ind w:left="720" w:right="40" w:hanging="685"/>
        <w:spacing w:after="0" w:line="257"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our Quarterly Report on Form 10-Q for the period ended October 31, 2020 formatted in Extensible Business Reporting Language (XBRL): (i) the Condensed Consolidated Balance Sheets, (ii) the Condensed Consolidated Statements of Operations, (iii) the Condensed Consolidated Statements of Comprehensive Income, (iv) the Condensed Consolidated Statements of Cash Flows,</w:t>
      </w:r>
    </w:p>
    <w:p>
      <w:pPr>
        <w:spacing w:after="0" w:line="1" w:lineRule="exact"/>
        <w:rPr>
          <w:rFonts w:ascii="Times New Roman" w:cs="Times New Roman" w:eastAsia="Times New Roman" w:hAnsi="Times New Roman"/>
          <w:sz w:val="18"/>
          <w:szCs w:val="18"/>
          <w:color w:val="auto"/>
        </w:rPr>
      </w:pPr>
    </w:p>
    <w:p>
      <w:pPr>
        <w:ind w:left="960" w:hanging="250"/>
        <w:spacing w:after="0"/>
        <w:tabs>
          <w:tab w:leader="none" w:pos="9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Condensed Consolidated Financial Statements, and (vii) document and entity information. (1)</w:t>
      </w:r>
    </w:p>
    <w:p>
      <w:pPr>
        <w:spacing w:after="0" w:line="44" w:lineRule="exact"/>
        <w:rPr>
          <w:rFonts w:ascii="Times New Roman" w:cs="Times New Roman" w:eastAsia="Times New Roman" w:hAnsi="Times New Roman"/>
          <w:sz w:val="18"/>
          <w:szCs w:val="18"/>
          <w:color w:val="auto"/>
        </w:rPr>
      </w:pPr>
    </w:p>
    <w:p>
      <w:pPr>
        <w:ind w:left="1160" w:hanging="352"/>
        <w:spacing w:after="0"/>
        <w:tabs>
          <w:tab w:leader="none" w:pos="116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18"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31, 2020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00" w:hanging="244"/>
        <w:spacing w:after="0" w:line="266"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hanging="244"/>
        <w:spacing w:after="0" w:line="282" w:lineRule="auto"/>
        <w:tabs>
          <w:tab w:leader="none" w:pos="9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5980"/>
        <w:spacing w:after="0"/>
        <w:tabs>
          <w:tab w:leader="none" w:pos="6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12/2/2020</w:t>
      </w:r>
    </w:p>
    <w:p>
      <w:pPr>
        <w:sectPr>
          <w:pgSz w:w="11900" w:h="16838" w:orient="portrait"/>
          <w:cols w:equalWidth="0" w:num="1">
            <w:col w:w="11240"/>
          </w:cols>
          <w:pgMar w:left="320" w:top="55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October 31, 2020 of Daktronics,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020"/>
        <w:spacing w:after="0"/>
        <w:tabs>
          <w:tab w:leader="none" w:pos="67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12/2/2020</w:t>
      </w:r>
    </w:p>
    <w:p>
      <w:pPr>
        <w:sectPr>
          <w:pgSz w:w="11900" w:h="16838" w:orient="portrait"/>
          <w:cols w:equalWidth="0" w:num="1">
            <w:col w:w="11240"/>
          </w:cols>
          <w:pgMar w:left="320" w:top="55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31, 2020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Reece A. Kurtenbach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440"/>
        <w:spacing w:after="0"/>
        <w:tabs>
          <w:tab w:leader="none" w:pos="7100" w:val="left"/>
        </w:tabs>
        <w:rPr>
          <w:sz w:val="20"/>
          <w:szCs w:val="20"/>
          <w:color w:val="auto"/>
        </w:rPr>
      </w:pPr>
      <w:r>
        <w:rPr>
          <w:rFonts w:ascii="Times New Roman" w:cs="Times New Roman" w:eastAsia="Times New Roman" w:hAnsi="Times New Roman"/>
          <w:sz w:val="18"/>
          <w:szCs w:val="18"/>
          <w:color w:val="auto"/>
        </w:rPr>
        <w:t>Date:</w:t>
        <w:tab/>
        <w:t>12/2/2020</w:t>
      </w:r>
    </w:p>
    <w:p>
      <w:pPr>
        <w:sectPr>
          <w:pgSz w:w="11900" w:h="16838" w:orient="portrait"/>
          <w:cols w:equalWidth="0" w:num="1">
            <w:col w:w="11240"/>
          </w:cols>
          <w:pgMar w:left="320" w:top="55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Daktronics, Inc. (the “Company”) for the quarterly period ended October 31, 2020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08"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Sheila M. Anderson</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Sheila M. Anderson</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440"/>
        <w:spacing w:after="0"/>
        <w:tabs>
          <w:tab w:leader="none" w:pos="7060" w:val="left"/>
        </w:tabs>
        <w:rPr>
          <w:sz w:val="20"/>
          <w:szCs w:val="20"/>
          <w:color w:val="auto"/>
        </w:rPr>
      </w:pPr>
      <w:r>
        <w:rPr>
          <w:rFonts w:ascii="Times New Roman" w:cs="Times New Roman" w:eastAsia="Times New Roman" w:hAnsi="Times New Roman"/>
          <w:sz w:val="18"/>
          <w:szCs w:val="18"/>
          <w:color w:val="auto"/>
        </w:rPr>
        <w:t>Date:</w:t>
        <w:tab/>
        <w:t>12/2/2020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lvl w:ilvl="1">
      <w:lvlJc w:val="left"/>
      <w:lvlText w:val="(%2)"/>
      <w:numFmt w:val="lowerRoman"/>
      <w:start w:val="5"/>
    </w:lvl>
    <w:lvl w:ilvl="2">
      <w:lvlJc w:val="left"/>
      <w:lvlText w:val="(%3)"/>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3" Type="http://schemas.openxmlformats.org/officeDocument/2006/relationships/image" Target="media/image10.png"/><Relationship Id="rId26" Type="http://schemas.openxmlformats.org/officeDocument/2006/relationships/image" Target="media/image11.png"/><Relationship Id="rId29" Type="http://schemas.openxmlformats.org/officeDocument/2006/relationships/image" Target="media/image12.png"/><Relationship Id="rId33"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15" Type="http://schemas.openxmlformats.org/officeDocument/2006/relationships/hyperlink" Target="http://www.sec.gov/Archives/edgar/data/915779/000091577918000119/exhibit31.htm" TargetMode="External"/><Relationship Id="rId16" Type="http://schemas.openxmlformats.org/officeDocument/2006/relationships/hyperlink" Target="http://www.sec.gov/Archives/edgar/data/915779/000091577913000026/dakt_exx34x10-kx2013.htm" TargetMode="External"/><Relationship Id="rId18" Type="http://schemas.openxmlformats.org/officeDocument/2006/relationships/hyperlink" Target="http://www.sec.gov/Archives/edgar/data/915779/000091577918000089/dakt_20181116x8-kxex41.htm" TargetMode="External"/><Relationship Id="rId19" Type="http://schemas.openxmlformats.org/officeDocument/2006/relationships/hyperlink" Target="http://www.sec.gov/Archives/edgar/data/915779/000091577916000233/dakt_20161115xex101.htm" TargetMode="External"/><Relationship Id="rId21" Type="http://schemas.openxmlformats.org/officeDocument/2006/relationships/hyperlink" Target="http://www.sec.gov/Archives/edgar/data/915779/000091577916000233/dakt_20161115xex102.htm" TargetMode="External"/><Relationship Id="rId22" Type="http://schemas.openxmlformats.org/officeDocument/2006/relationships/hyperlink" Target="http://www.sec.gov/Archives/edgar/data/915779/000091577919000079/dakt_20191115xex101.htm" TargetMode="External"/><Relationship Id="rId24" Type="http://schemas.openxmlformats.org/officeDocument/2006/relationships/hyperlink" Target="http://www.sec.gov/Archives/edgar/data/915779/000091577920000052/dakt20200801q1ex104.htm" TargetMode="External"/><Relationship Id="rId25" Type="http://schemas.openxmlformats.org/officeDocument/2006/relationships/hyperlink" Target="http://www.sec.gov/Archives/edgar/data/915779/000091577920000052/dakt20200801q1ex105.htm" TargetMode="External"/><Relationship Id="rId27" Type="http://schemas.openxmlformats.org/officeDocument/2006/relationships/hyperlink" Target="http://www.sec.gov/Archives/edgar/data/915779/000091577920000033/dakt-20200502_defx14a.htm" TargetMode="External"/><Relationship Id="rId28" Type="http://schemas.openxmlformats.org/officeDocument/2006/relationships/hyperlink" Target="http://www.sec.gov/Archives/edgar/data/915779/000091577920000054/daktex1028-ksom2020.htm" TargetMode="External"/><Relationship Id="rId30" Type="http://schemas.openxmlformats.org/officeDocument/2006/relationships/hyperlink" Target="https://www.sec.gov/Archives/edgar/data/915779/000091577920000054/daktex1038-ksom2020.htm" TargetMode="External"/><Relationship Id="rId31" Type="http://schemas.openxmlformats.org/officeDocument/2006/relationships/hyperlink" Target="http://www.sec.gov/Archives/edgar/data/915779/000091577920000054/daktex1038-ksom2020.htm" TargetMode="External"/><Relationship Id="rId32" Type="http://schemas.openxmlformats.org/officeDocument/2006/relationships/hyperlink" Target="http://www.sec.gov/Archives/edgar/data/915779/000091577920000054/daktex1048-ksom2020.htm" TargetMode="External"/><Relationship Id="rId34" Type="http://schemas.openxmlformats.org/officeDocument/2006/relationships/hyperlink" Target="http://www.sec.gov/Archives/edgar/data/915779/000091577920000054/daktex1058-ksom20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2020-12-03T05:27:56Z</dcterms:created>
  <dcterms:modified xsi:type="dcterms:W3CDTF">2020-12-03T05:27:56Z</dcterms:modified>
</cp:coreProperties>
</file>