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7" w:lineRule="exact"/>
        <w:rPr>
          <w:sz w:val="24"/>
          <w:szCs w:val="24"/>
          <w:color w:val="auto"/>
        </w:rPr>
      </w:pPr>
    </w:p>
    <w:p>
      <w:pPr>
        <w:jc w:val="center"/>
        <w:ind w:right="2220"/>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April 27, 2024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001-38747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74295</wp:posOffset>
            </wp:positionV>
            <wp:extent cx="109728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Daktronics,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4840" w:type="dxa"/>
            <w:vAlign w:val="bottom"/>
            <w:tcBorders>
              <w:bottom w:val="single" w:sz="8" w:color="auto"/>
            </w:tcBorders>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right"/>
              <w:ind w:right="2293"/>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10"/>
        </w:trPr>
        <w:tc>
          <w:tcPr>
            <w:tcW w:w="484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10"/>
        </w:trPr>
        <w:tc>
          <w:tcPr>
            <w:tcW w:w="48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59"/>
        </w:trPr>
        <w:tc>
          <w:tcPr>
            <w:tcW w:w="4840" w:type="dxa"/>
            <w:vAlign w:val="bottom"/>
            <w:tcBorders>
              <w:bottom w:val="single" w:sz="8" w:color="auto"/>
            </w:tcBorders>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Brookings, SD</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500" w:type="dxa"/>
            <w:vAlign w:val="bottom"/>
            <w:tcBorders>
              <w:bottom w:val="single" w:sz="8" w:color="auto"/>
            </w:tcBorders>
          </w:tcPr>
          <w:p>
            <w:pPr>
              <w:jc w:val="right"/>
              <w:ind w:right="2493"/>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10"/>
        </w:trPr>
        <w:tc>
          <w:tcPr>
            <w:tcW w:w="484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29"/>
        </w:trPr>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500" w:type="dxa"/>
            <w:vAlign w:val="bottom"/>
          </w:tcPr>
          <w:p>
            <w:pPr>
              <w:spacing w:after="0"/>
              <w:rPr>
                <w:sz w:val="24"/>
                <w:szCs w:val="24"/>
                <w:color w:val="auto"/>
              </w:rPr>
            </w:pPr>
          </w:p>
        </w:tc>
      </w:tr>
      <w:tr>
        <w:trPr>
          <w:trHeight w:val="210"/>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97"/>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28"/>
        </w:trPr>
        <w:tc>
          <w:tcPr>
            <w:tcW w:w="4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r>
      <w:tr>
        <w:trPr>
          <w:trHeight w:val="243"/>
        </w:trPr>
        <w:tc>
          <w:tcPr>
            <w:tcW w:w="4500" w:type="dxa"/>
            <w:vAlign w:val="bottom"/>
            <w:tcBorders>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DAKT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5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DAKT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8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0" w:gutter="0" w:footer="0" w:header="0"/>
        </w:sectPr>
      </w:pPr>
    </w:p>
    <w:p>
      <w:pPr>
        <w:spacing w:after="0" w:line="115"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434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8" w:lineRule="exact"/>
        <w:rPr>
          <w:sz w:val="24"/>
          <w:szCs w:val="24"/>
          <w:color w:val="auto"/>
        </w:rPr>
      </w:pPr>
    </w:p>
    <w:p>
      <w:pPr>
        <w:sectPr>
          <w:pgSz w:w="11900" w:h="16838" w:orient="portrait"/>
          <w:cols w:equalWidth="0" w:num="2">
            <w:col w:w="4920" w:space="720"/>
            <w:col w:w="5620"/>
          </w:cols>
          <w:pgMar w:left="320" w:top="229" w:right="319" w:bottom="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3660"/>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1" w:lineRule="exact"/>
        <w:rPr>
          <w:sz w:val="24"/>
          <w:szCs w:val="24"/>
          <w:color w:val="auto"/>
        </w:rPr>
      </w:pPr>
    </w:p>
    <w:p>
      <w:pPr>
        <w:sectPr>
          <w:pgSz w:w="11900" w:h="16838" w:orient="portrait"/>
          <w:cols w:equalWidth="0" w:num="2">
            <w:col w:w="4920" w:space="720"/>
            <w:col w:w="5620"/>
          </w:cols>
          <w:pgMar w:left="320" w:top="229" w:right="319" w:bottom="0" w:gutter="0" w:footer="0" w:header="0"/>
          <w:type w:val="continuous"/>
        </w:sectPr>
      </w:pPr>
    </w:p>
    <w:p>
      <w:pPr>
        <w:ind w:left="56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60"/>
          </w:cols>
          <w:pgMar w:left="320" w:top="229" w:right="319" w:bottom="0" w:gutter="0" w:footer="0" w:header="0"/>
          <w:type w:val="continuous"/>
        </w:sectPr>
      </w:pPr>
    </w:p>
    <w:p>
      <w:pPr>
        <w:spacing w:after="0" w:line="241"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4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6" w:lineRule="exact"/>
        <w:rPr>
          <w:sz w:val="24"/>
          <w:szCs w:val="24"/>
          <w:color w:val="auto"/>
        </w:rPr>
      </w:pPr>
    </w:p>
    <w:p>
      <w:pPr>
        <w:jc w:val="both"/>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errors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at October 28, 2023 (which is the last business day of the Registrant’s most recently completed second quarter), computed by reference to the closing sales price of the Registrant’s common stock on The Nasdaq Global Select Market on such date, was approximately $445,961,756.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ectPr>
          <w:pgSz w:w="11900" w:h="16838" w:orient="portrait"/>
          <w:cols w:equalWidth="0" w:num="1">
            <w:col w:w="11260"/>
          </w:cols>
          <w:pgMar w:left="320" w:top="229" w:right="31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June 3, 2024 was 46,296,377.</w:t>
      </w:r>
    </w:p>
    <w:p>
      <w:pPr>
        <w:spacing w:after="0" w:line="165" w:lineRule="exact"/>
        <w:rPr>
          <w:sz w:val="20"/>
          <w:szCs w:val="20"/>
          <w:color w:val="auto"/>
        </w:rPr>
      </w:pPr>
    </w:p>
    <w:p>
      <w:pPr>
        <w:ind w:left="20"/>
        <w:spacing w:after="0"/>
        <w:tabs>
          <w:tab w:leader="none" w:pos="4340" w:val="left"/>
          <w:tab w:leader="none" w:pos="8780" w:val="left"/>
        </w:tabs>
        <w:rPr>
          <w:sz w:val="20"/>
          <w:szCs w:val="20"/>
          <w:color w:val="auto"/>
        </w:rPr>
      </w:pPr>
      <w:r>
        <w:rPr>
          <w:rFonts w:ascii="Times New Roman" w:cs="Times New Roman" w:eastAsia="Times New Roman" w:hAnsi="Times New Roman"/>
          <w:sz w:val="18"/>
          <w:szCs w:val="18"/>
          <w:color w:val="auto"/>
        </w:rPr>
        <w:t>Auditor Name: Deloitte &amp; Touche LLP</w:t>
      </w:r>
      <w:r>
        <w:rPr>
          <w:sz w:val="20"/>
          <w:szCs w:val="20"/>
          <w:color w:val="auto"/>
        </w:rPr>
        <w:tab/>
      </w:r>
      <w:r>
        <w:rPr>
          <w:rFonts w:ascii="Times New Roman" w:cs="Times New Roman" w:eastAsia="Times New Roman" w:hAnsi="Times New Roman"/>
          <w:sz w:val="18"/>
          <w:szCs w:val="18"/>
          <w:color w:val="auto"/>
        </w:rPr>
        <w:t>Location: Minneapolis, Minnesota</w:t>
      </w:r>
      <w:r>
        <w:rPr>
          <w:sz w:val="20"/>
          <w:szCs w:val="20"/>
          <w:color w:val="auto"/>
        </w:rPr>
        <w:tab/>
      </w:r>
      <w:r>
        <w:rPr>
          <w:rFonts w:ascii="Times New Roman" w:cs="Times New Roman" w:eastAsia="Times New Roman" w:hAnsi="Times New Roman"/>
          <w:sz w:val="17"/>
          <w:szCs w:val="17"/>
          <w:color w:val="auto"/>
        </w:rPr>
        <w:t>Auditor Firm ID: PCAOB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April 27,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tcPr>
          <w:p>
            <w:pPr>
              <w:spacing w:after="0"/>
              <w:rPr>
                <w:sz w:val="19"/>
                <w:szCs w:val="19"/>
                <w:color w:val="auto"/>
              </w:rPr>
            </w:pPr>
          </w:p>
        </w:tc>
        <w:tc>
          <w:tcPr>
            <w:tcW w:w="53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340" w:type="dxa"/>
            <w:vAlign w:val="bottom"/>
            <w:gridSpan w:val="11"/>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4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1A.</w:t>
            </w:r>
          </w:p>
        </w:tc>
        <w:tc>
          <w:tcPr>
            <w:tcW w:w="340" w:type="dxa"/>
            <w:vAlign w:val="bottom"/>
            <w:gridSpan w:val="2"/>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1B.</w:t>
            </w:r>
          </w:p>
        </w:tc>
        <w:tc>
          <w:tcPr>
            <w:tcW w:w="340" w:type="dxa"/>
            <w:vAlign w:val="bottom"/>
            <w:gridSpan w:val="2"/>
          </w:tcPr>
          <w:p>
            <w:pPr>
              <w:spacing w:after="0"/>
              <w:rPr>
                <w:sz w:val="21"/>
                <w:szCs w:val="21"/>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2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1C.</w:t>
            </w:r>
          </w:p>
        </w:tc>
        <w:tc>
          <w:tcPr>
            <w:tcW w:w="360" w:type="dxa"/>
            <w:vAlign w:val="bottom"/>
            <w:gridSpan w:val="3"/>
          </w:tcPr>
          <w:p>
            <w:pPr>
              <w:spacing w:after="0"/>
              <w:rPr>
                <w:sz w:val="21"/>
                <w:szCs w:val="21"/>
                <w:color w:val="auto"/>
              </w:rPr>
            </w:pPr>
          </w:p>
        </w:tc>
        <w:tc>
          <w:tcPr>
            <w:tcW w:w="1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060" w:type="dxa"/>
            <w:vAlign w:val="bottom"/>
            <w:gridSpan w:val="18"/>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w:t>
            </w:r>
          </w:p>
        </w:tc>
        <w:tc>
          <w:tcPr>
            <w:tcW w:w="3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4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OF EQUITY SECURITIES</w:t>
            </w:r>
          </w:p>
        </w:tc>
        <w:tc>
          <w:tcPr>
            <w:tcW w:w="200" w:type="dxa"/>
            <w:vAlign w:val="bottom"/>
            <w:gridSpan w:val="2"/>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6.</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i w:val="1"/>
                <w:iCs w:val="1"/>
                <w:color w:val="0000FF"/>
              </w:rPr>
              <w:t>[Reserved.]</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7.</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7A.</w:t>
            </w:r>
          </w:p>
        </w:tc>
        <w:tc>
          <w:tcPr>
            <w:tcW w:w="340" w:type="dxa"/>
            <w:vAlign w:val="bottom"/>
            <w:gridSpan w:val="2"/>
          </w:tcPr>
          <w:p>
            <w:pPr>
              <w:spacing w:after="0"/>
              <w:rPr>
                <w:sz w:val="21"/>
                <w:szCs w:val="21"/>
                <w:color w:val="auto"/>
              </w:rPr>
            </w:pPr>
          </w:p>
        </w:tc>
        <w:tc>
          <w:tcPr>
            <w:tcW w:w="6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40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8.</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9.</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9A.</w:t>
            </w:r>
          </w:p>
        </w:tc>
        <w:tc>
          <w:tcPr>
            <w:tcW w:w="340" w:type="dxa"/>
            <w:vAlign w:val="bottom"/>
            <w:gridSpan w:val="2"/>
          </w:tcPr>
          <w:p>
            <w:pPr>
              <w:spacing w:after="0"/>
              <w:rPr>
                <w:sz w:val="21"/>
                <w:szCs w:val="21"/>
                <w:color w:val="auto"/>
              </w:rPr>
            </w:pPr>
          </w:p>
        </w:tc>
        <w:tc>
          <w:tcPr>
            <w:tcW w:w="2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40" w:type="dxa"/>
            <w:vAlign w:val="bottom"/>
            <w:gridSpan w:val="14"/>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340" w:type="dxa"/>
            <w:vAlign w:val="bottom"/>
            <w:gridSpan w:val="2"/>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8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400" w:type="dxa"/>
            <w:vAlign w:val="bottom"/>
            <w:gridSpan w:val="5"/>
          </w:tcPr>
          <w:p>
            <w:pPr>
              <w:spacing w:after="0"/>
              <w:rPr>
                <w:sz w:val="21"/>
                <w:szCs w:val="21"/>
                <w:color w:val="auto"/>
              </w:rPr>
            </w:pPr>
          </w:p>
        </w:tc>
        <w:tc>
          <w:tcPr>
            <w:tcW w:w="5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740" w:type="dxa"/>
            <w:vAlign w:val="bottom"/>
            <w:gridSpan w:val="8"/>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400" w:type="dxa"/>
            <w:vAlign w:val="bottom"/>
            <w:gridSpan w:val="5"/>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MATTERS</w:t>
            </w:r>
          </w:p>
        </w:tc>
        <w:tc>
          <w:tcPr>
            <w:tcW w:w="8520" w:type="dxa"/>
            <w:vAlign w:val="bottom"/>
            <w:tcBorders>
              <w:top w:val="single" w:sz="8" w:color="0000FF"/>
            </w:tcBorders>
            <w:gridSpan w:val="20"/>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00" w:type="dxa"/>
            <w:vAlign w:val="bottom"/>
            <w:gridSpan w:val="5"/>
          </w:tcPr>
          <w:p>
            <w:pPr>
              <w:spacing w:after="0"/>
              <w:rPr>
                <w:sz w:val="21"/>
                <w:szCs w:val="21"/>
                <w:color w:val="auto"/>
              </w:rPr>
            </w:pPr>
          </w:p>
        </w:tc>
        <w:tc>
          <w:tcPr>
            <w:tcW w:w="7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1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400" w:type="dxa"/>
            <w:vAlign w:val="bottom"/>
            <w:gridSpan w:val="5"/>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00" w:type="dxa"/>
            <w:vAlign w:val="bottom"/>
            <w:gridSpan w:val="5"/>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420" w:type="dxa"/>
            <w:vAlign w:val="bottom"/>
            <w:gridSpan w:val="6"/>
          </w:tcPr>
          <w:p>
            <w:pPr>
              <w:spacing w:after="0"/>
              <w:rPr>
                <w:sz w:val="21"/>
                <w:szCs w:val="21"/>
                <w:color w:val="auto"/>
              </w:rPr>
            </w:pPr>
          </w:p>
        </w:tc>
        <w:tc>
          <w:tcPr>
            <w:tcW w:w="4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5100" w:type="dxa"/>
            <w:vAlign w:val="bottom"/>
            <w:gridSpan w:val="10"/>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60" w:type="dxa"/>
            <w:vAlign w:val="bottom"/>
            <w:gridSpan w:val="7"/>
          </w:tcPr>
          <w:p>
            <w:pPr>
              <w:spacing w:after="0"/>
              <w:rPr>
                <w:sz w:val="21"/>
                <w:szCs w:val="21"/>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24"/>
                <w:szCs w:val="24"/>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and supply chain disruptions; (viii.) fluctuations in margins;</w:t>
      </w:r>
    </w:p>
    <w:p>
      <w:pPr>
        <w:spacing w:after="0" w:line="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(xvi) disruptions to our business caused by geopolitical events, military actions, work stoppages, natural disasters, or international health emergencies, such as the COVID-19 pandemic;</w:t>
      </w:r>
    </w:p>
    <w:p>
      <w:pPr>
        <w:spacing w:after="0" w:line="1" w:lineRule="exact"/>
        <w:rPr>
          <w:sz w:val="20"/>
          <w:szCs w:val="20"/>
          <w:color w:val="auto"/>
        </w:rPr>
      </w:pPr>
    </w:p>
    <w:p>
      <w:pPr>
        <w:jc w:val="both"/>
        <w:ind w:firstLine="8"/>
        <w:spacing w:after="0" w:line="241" w:lineRule="auto"/>
        <w:tabs>
          <w:tab w:leader="none" w:pos="44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uncertainties related to market conditions and entry into financing transactions; (xviii) the Company’s potential need to seek additional strategic alternatives, including seeking additional debt or equity capital or other strategic transactions and/or measures; (xix) our financing plans and ability to maintain adequate liquidity; (xx) the Company’s ability to increase cash flow to support the Company’s operating activities and fund its obligations and working capital needs; (xxi) our ability to obtain additional financing on terms favorable to us, or at all; (xxii) any future goodwill impairment charges; and (xxiii) the valuation of investment in and advances to affiliates.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publicly-traded company and invested in display technologies and new markets. We have continued these investments and have supported our long-term customer relationships to grow from a small company operating out of a garage to a world leader in the display industry. We currently employ 2,831 people globally. We are headquartered at 201 Daktronics Dr., Brookings, SD 57006, telephone 605-692-4200. Our Internet address is https://</w:t>
      </w:r>
      <w:r>
        <w:rPr>
          <w:rFonts w:ascii="Times New Roman" w:cs="Times New Roman" w:eastAsia="Times New Roman" w:hAnsi="Times New Roman"/>
          <w:sz w:val="18"/>
          <w:szCs w:val="18"/>
          <w:i w:val="1"/>
          <w:iCs w:val="1"/>
          <w:color w:val="auto"/>
        </w:rPr>
        <w:t>www.daktronics.com.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quarterly and current reports and any amendments to those reports are freely available in the "Investor Relations" section of our website. We post each of these documents on our website as soon as reasonably practicable after it is electronically filed with the Securities and Exchange Commission (the "SEC"). These reports and other reports, proxy statements, and electronic filings are also found on the SEC’s website at www.sec.gov. Information contained on our website is not deemed to be incorporated by reference into this Report or filed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of all shapes and sizes. Today, the industry continues development in both the construct of the micro-LED and production methods of micro-LED display panels using mass-transfer technology.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Integrated visual display systems are increasingly used across a variety of vertical markets including: media/advertising, stadiums/venues, hospitality/leisure, transportation, military and government, broadcast, control room, corporate and education, and retail. Generally, these vertical markets use systems to collaboratively communicate, inform, entertain, and advertise to various sized audiences. Advances in technologies and the decrease in costs of systems have opened up and increased the market's size.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Our sales force is comprised of direct sales staff and resellers, including AV integrators, located throughout the world supporting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types in both sales and service. We primarily use a direct sales force for large integrated display system sales in professional sports, colleges and universities, and commercial spectacular projects. We also use our direct sales force to sell to out-of-home advertising companies, to transportation system operators, and to certain high school park and recreation customers. The majority of our products sold by resellers are standard catalog products such as video boards and dynamic message systems and increasingly include indoor micro-LED configurable display systems. We also utilize resellers outside North America for large integrated system sales where we do not have a direct sales presence. We support our resellers through direct mail/email advertising, social media campaigns, trade journal advertising, product and installation training, trade show exhibitions, and accessibility to our regional sales or service teams and demonstration equipment.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Design and Development. </w:t>
      </w:r>
      <w:r>
        <w:rPr>
          <w:rFonts w:ascii="Times New Roman" w:cs="Times New Roman" w:eastAsia="Times New Roman" w:hAnsi="Times New Roman"/>
          <w:sz w:val="18"/>
          <w:szCs w:val="18"/>
          <w:color w:val="auto"/>
        </w:rPr>
        <w:t>The large format electronic display industry is characterized by ongoing product innovations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in technology and complementary services. To remain competitive, we have a tradition of applying engineering resources throughout our business to anticipate and respond rapidly to the system needs in the marketplace. We employ and contract with engineers and technicians in the areas of mechanical and electrical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design; applications engineering; software design; quality design; and customer and product support. Product managers assigned to each product family assist our sales staff in training and implementing product improvements which ensures each product is designed for maximum reliability and serviceability. We employ and contract with process engineers to assist in quality and reliability processing in our product design testing and manufacturing areas. We also make selected investments in and contract with affiliated companies to support and advance technologies and capabilities for our product lines and solutions.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The majority of our products are manufactured in the United States, specifically in South Dakota and Minnesota. We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facilities in China and Ireland. We perform component manufacturing, system manufacturing (metal fabrication, electronic assembly, sub-assembly and final assembly) and testing in-house for most of our products to control quality, improve response time and maximize cost-effectiveness.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the use of product platforms to increase efficiencies. Other strategies include supplier management programs and lean manufacturing techniques. For more details on our facilities, see "Part II, Item 2. Properties".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Technical Contracting. </w:t>
      </w:r>
      <w:r>
        <w:rPr>
          <w:rFonts w:ascii="Times New Roman" w:cs="Times New Roman" w:eastAsia="Times New Roman" w:hAnsi="Times New Roman"/>
          <w:sz w:val="18"/>
          <w:szCs w:val="18"/>
          <w:color w:val="auto"/>
        </w:rPr>
        <w:t>We serve as a technical contractor for larger display system installations requiring custom designs and innovative product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To assist our clients' ability to engage, inform and entertain their audiences, we provide professional services including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event production curriculum, content creation, product maintenance, marketing assistance, training on hardware and software, control room design, and continuing technical support training for operators.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Support. </w:t>
      </w:r>
      <w:r>
        <w:rPr>
          <w:rFonts w:ascii="Times New Roman" w:cs="Times New Roman" w:eastAsia="Times New Roman" w:hAnsi="Times New Roman"/>
          <w:sz w:val="18"/>
          <w:szCs w:val="18"/>
          <w:color w:val="auto"/>
        </w:rPr>
        <w:t>We offer limited warranties on our products, ranging from one to 10 years, against failure due to defective parts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the changes in volume of service requests during our seasonal peaks.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two principal components of our systems are the display and the control system,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 system is comprised of various combinations of computer hardware, video processing hardware and software products designed to compile information provided by the operator and other integrated sources to display information, graphics, video or animation on the displays. We customize our products according to the design specifications of the customer and the conditions of the environment in which our products function.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comprised of the following product families: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displays/video walls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Scoreboards and timing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Message displays and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(intelligent transportation systems) dynamic message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Transit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billboards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street furniture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 and price displays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Indoor dynamic messaging systems and indoor liquid crystal display ("LCD") signs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controllers including Venus® Control Suite, Show Control Studio and Show Control Live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product families is described below:</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Video Displays/Video Walls. </w:t>
      </w:r>
      <w:r>
        <w:rPr>
          <w:rFonts w:ascii="Times New Roman" w:cs="Times New Roman" w:eastAsia="Times New Roman" w:hAnsi="Times New Roman"/>
          <w:sz w:val="18"/>
          <w:szCs w:val="18"/>
          <w:color w:val="auto"/>
        </w:rPr>
        <w:t>These displays are comprised of a large number of full-color pixels capable of showing various levels of video feeds, pre-rendered graphics and animated content with Real Time Data capabilities.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technology.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broad range of indoor and outdoor LED video displays with these varying features. Examples of offerings include centerhung displays, landmark displays, video walls, ribbon board displays, hanging banners, roadside displays, digital billboards, corporate office entrance displays, conference room displays, control room displays, and video displays designed for arenas, stadiums, retail stores, restaurants, malls, transportation hubs and other similar indoor facilities.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Video displays provide content to serve as a revenue generation source through advertising or as an information and communication medium (such as scoring, statistics, wayfinding, advertising, and control center information), or to provide interior design elements to create luxurious space to feature digital art.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an entire network of displays within a venue from a single, intuitive control interface. Its features allow users to instantly deliver media clips, camera feeds, and streaming information to any display in a venue.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Scoreboards and Timing Systems. </w:t>
      </w:r>
      <w:r>
        <w:rPr>
          <w:rFonts w:ascii="Times New Roman" w:cs="Times New Roman" w:eastAsia="Times New Roman" w:hAnsi="Times New Roman"/>
          <w:sz w:val="18"/>
          <w:szCs w:val="18"/>
          <w:color w:val="auto"/>
        </w:rPr>
        <w:t>Our line of scoreboards and timing products include indoor and outdoor scoreboards for many different sports,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variety of controllers complementing our scoreboards and displays. These controllers vary in complexity from the All Sport® 100, a handheld controller for portable scoreboards, to the All Sport® Pro, designed for more sophisticated scoring systems and allowing for more user-defined options.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LED Message Displays and Signs. </w:t>
      </w:r>
      <w:r>
        <w:rPr>
          <w:rFonts w:ascii="Times New Roman" w:cs="Times New Roman" w:eastAsia="Times New Roman" w:hAnsi="Times New Roman"/>
          <w:sz w:val="18"/>
          <w:szCs w:val="18"/>
          <w:color w:val="auto"/>
        </w:rPr>
        <w:t>The Galaxy® product line is a family of full-matrix displays, available in both indoor and outdoor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with the Venus® Control Suite. Galaxy® displays are full color or monochrome with varying pixel spacing depending on color, size and viewing distance. Galaxy® displays can display text, graphics and animation, as well as prerecorded video clips. They are used primarily to convey information and on-premises advertising to consumers.</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ITS Dynamic Message Signs ("DMS"). </w:t>
      </w:r>
      <w:r>
        <w:rPr>
          <w:rFonts w:ascii="Times New Roman" w:cs="Times New Roman" w:eastAsia="Times New Roman" w:hAnsi="Times New Roman"/>
          <w:sz w:val="18"/>
          <w:szCs w:val="18"/>
          <w:color w:val="auto"/>
        </w:rPr>
        <w:t>DMS products include a wide range of LED displays for road management applications. The Vanguard® family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message displays is typically used to direct traffic and inform motorists. These displays are used over freeways, on arterial roads, near bridges, at toll booths and in other locations. We have also developed a Vanguard® control system for these displays to help transportation agencies manage large networks of displays.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Mass Transit Displays. </w:t>
      </w:r>
      <w:r>
        <w:rPr>
          <w:rFonts w:ascii="Times New Roman" w:cs="Times New Roman" w:eastAsia="Times New Roman" w:hAnsi="Times New Roman"/>
          <w:sz w:val="18"/>
          <w:szCs w:val="18"/>
          <w:color w:val="auto"/>
        </w:rPr>
        <w:t>Our Mass Transit products include a wide range of LCD and LED display solutions for public transportation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Installations often involve a network of displays located on railway platforms, at bus stations, or on concourses within a transportation hub to guide travelers to their intended destination.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Sound Systems. </w:t>
      </w:r>
      <w:r>
        <w:rPr>
          <w:rFonts w:ascii="Times New Roman" w:cs="Times New Roman" w:eastAsia="Times New Roman" w:hAnsi="Times New Roman"/>
          <w:sz w:val="18"/>
          <w:szCs w:val="18"/>
          <w:color w:val="auto"/>
        </w:rPr>
        <w:t>Our sound systems include both standard and custom options. Standard systems are designed to meet the needs of a variety of indoor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Billboards. </w:t>
      </w:r>
      <w:r>
        <w:rPr>
          <w:rFonts w:ascii="Times New Roman" w:cs="Times New Roman" w:eastAsia="Times New Roman" w:hAnsi="Times New Roman"/>
          <w:sz w:val="18"/>
          <w:szCs w:val="18"/>
          <w:color w:val="auto"/>
        </w:rPr>
        <w:t>Our line of digital billboards offers a unique display solution for the Out-of-Home (“OOH”) advertising industry. The products are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display images which change at regular intervals. These systems include many features unique to the outdoor advertising market, such as our patented mounting system, self-adjusting brightness, optimized energy consumption, and enhanced network security.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street furniture. </w:t>
      </w:r>
      <w:r>
        <w:rPr>
          <w:rFonts w:ascii="Times New Roman" w:cs="Times New Roman" w:eastAsia="Times New Roman" w:hAnsi="Times New Roman"/>
          <w:sz w:val="18"/>
          <w:szCs w:val="18"/>
          <w:color w:val="auto"/>
        </w:rPr>
        <w:t>Our LED street furniture features some of the brightest imagery in the industry and is built to withstand full-sun conditions.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of digital street furniture engages people with advertising content at eye level as they walk through campuses, cityscapes, and malls. This design enhances the message and complements surrounding architecture. These street furniture displays are our most flexible solution for digital OOH campaigns.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 and Price Displays. </w:t>
      </w:r>
      <w:r>
        <w:rPr>
          <w:rFonts w:ascii="Times New Roman" w:cs="Times New Roman" w:eastAsia="Times New Roman" w:hAnsi="Times New Roman"/>
          <w:sz w:val="18"/>
          <w:szCs w:val="18"/>
          <w:color w:val="auto"/>
        </w:rPr>
        <w:t>This product line includes our DataTime® and Fuelight™ displays. The DataTime® product line consists of outdoor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Indoor Dynamic Messaging Systems and LCD screens. </w:t>
      </w:r>
      <w:r>
        <w:rPr>
          <w:rFonts w:ascii="Times New Roman" w:cs="Times New Roman" w:eastAsia="Times New Roman" w:hAnsi="Times New Roman"/>
          <w:sz w:val="18"/>
          <w:szCs w:val="18"/>
          <w:color w:val="auto"/>
        </w:rPr>
        <w:t>Our ADFLOW DMS™ systems include indoor networked solutions for retailers, convenience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other businesses. These solutions, using either LED or LCD technologies, allow customers to broadcast advertising campaigns and other information through the software, media players and visual hardware.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Software and Controllers including Venus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Control Suite. </w:t>
      </w:r>
      <w:r>
        <w:rPr>
          <w:rFonts w:ascii="Times New Roman" w:cs="Times New Roman" w:eastAsia="Times New Roman" w:hAnsi="Times New Roman"/>
          <w:sz w:val="18"/>
          <w:szCs w:val="18"/>
          <w:color w:val="auto"/>
        </w:rPr>
        <w:t>The Venus® Control Suite is our platform for scheduled control capability. It can be used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where the intended message is created in advance and scheduled to play at a predetermined time. It is available in an on-premise or hosted cloud-based configuration and is capable of supporting a single display or scaling to support many displays. For applications that require both scheduled content and live video or real time content, a control solution can combine the capabilities of Venus® Control Suite with the capabilities of the Show Control Software Suite to create a powerful solution that enables customers to easily manage content on their displays. Content includes media, scoring, statistics, timing, advertising, way-finding information, playback loops and entertainment type visualizations.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Show Control Suite is an easy-to-use and powerful integrated solution to achieve a dynamic, seamless and fully immersive game-day production.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Control Studio offers products designed for display control, while Show Control Live is designed for video production.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Materials used in the production of our video display and control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tariff changes, price changes, war, transportation disruptions, or other geopolitical impacts to trade or transport, or defects in the supplied material or component could have an adverse impact on our business and operations. Our sourcing group is responsible to maintain and implement strategies to mitigate these evolving risks. Periodically, we enter into pricing agreements or purchasing contracts under which we agree to purchase a minimum amount of product in exchange for guaranteed price terms over the length of the contract, which generally does not exceed one year. We sometimes prepay for future supply.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own or hold licenses to use numerous patents, copyrights, and trademarks on a global basis. Our policy is to protect our competitive position by filing United States and international patent applications to protect technology and improvements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we consider important to the development of our business. This will allow us to pursue infringement claims against competitors for protection due to patent violations. Although we own a number of patents and possess rights under others 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lighter than other quarters due to the seasonality of our sports business, construction cycles, and the reduced number of production days due to holidays in the quarter.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over-time method of recognizing revenues for uniquely configured orders, we nevertheless have experienced fluctuations in operating results and expect our future results of operations will be subject to similar fluctuations.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large and diverse worldwide customer base, ranging from local main street business owners, out-of-home companies, governmental agencies, and schools, colleges, and universities, to the owners and operators of premier professional sports arenas. Our customers are important to us, and we strive to serve them over the long-term to earn their future business. The loss of one or more customers could have an adverse effect on us. See "Note 3. Segment Reporting" of the Notes to our Consolidated Financial Statements included in this Form 10-K for our primary markets and customers of each business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metrics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multi-million dollar projects. Management uses orders to evaluate market share and performance in the competitive environment. Management uses backlog information for capacity and resource planning. Order fulfillment timing is dependent on customer schedules, supply chain conditions, and our capacity availability. We believe order information is useful to investors because it provides an indication of our market share and future revenues.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order backlog as of April 27, 2024 was $316.9 million as compared to $400.7 million as of April 29, 2023. The decrease in backlog, to more historical levels, is a result of fulfilling orders at a greater pace in fiscal 2024 as supply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chain conditions stabilized and production lead times improved, utilizing our increased capacity, and order pace returning to more normalized rates.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April 27, 2024 within the next 24 months. The timing of backlog fulfillment may be impacted by project delays resulting from customer site conditions, which are outside our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Other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production processes require the storage, use and disposal of a variety of hazardous chemicals under applicable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to conduct site work, including installations or repair, require us to comply with environmental rules and regulation, wage requirements, and safety standards. Often, certain contracts require us to have accident prevention programs that provide for frequent and regular inspection of the jobsites, materials, and equipment by competent persons.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operations subject us to various laws and regulations, including laws and regulations relating to tax compliance, anti-corruption, data privacy, cybersecurity, governance, climate, and disclosure reporting. These requirements vary and can involve matters and processes such as using resources for related expertise and information systems, records management, policy creation and maintenance, data protection programs, compliance filings, control design and testing, and continued training of employees.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subject to regulations restricting the movement and interaction of people and business operations. Countries and states and/or localities in the United States can issue lock down orders impacting the availability of employees, third parties, suppliers, customers, and other services we need to operate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in material compliance with government and other regulatory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encounter a wide variety of competitors that vary by product, geographic area, and business unit. Our competitors include both domestic and foreign companies which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chain access,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depends upon customer centric product and service quality and features, technical expertise, service breadth, and cost-effective solutions.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experience in engineering, process design, and product and service design and development capabilities and investments made in affiliates are very important factors in continuing to develop, produce, and offer the most up-to-date digital displays and control system solutions desired by the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invest in our development and our affiliates to increase differentiated product platforms, advance our software architecture and offerings, support customer requirements, advance new competitive narrow pixel and micro-electronic technologies, and advance sustainable technologies and related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2024, our design teams focused on investing in product design and development to improve our video technology over a wide range of pixel pitches and sustainable technologies for both indoor and outdoor applications and to advance micro-LED devices and placement processes. These new or improved technologies are focused on varied pixel density for image quality and use, expanded product line offerings for our various markets and geographies, improved quality and reliability, and improved cost points.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core values of </w:t>
      </w:r>
      <w:r>
        <w:rPr>
          <w:rFonts w:ascii="Times New Roman" w:cs="Times New Roman" w:eastAsia="Times New Roman" w:hAnsi="Times New Roman"/>
          <w:sz w:val="18"/>
          <w:szCs w:val="18"/>
          <w:i w:val="1"/>
          <w:iCs w:val="1"/>
          <w:color w:val="auto"/>
        </w:rPr>
        <w:t>Honest, Helpful and Humble</w:t>
      </w:r>
      <w:r>
        <w:rPr>
          <w:rFonts w:ascii="Times New Roman" w:cs="Times New Roman" w:eastAsia="Times New Roman" w:hAnsi="Times New Roman"/>
          <w:sz w:val="18"/>
          <w:szCs w:val="18"/>
          <w:color w:val="auto"/>
        </w:rPr>
        <w:t xml:space="preserve"> support our commitment to diversity, equity and inclusion, which leads to our vision of every person at Daktronics being able to contribute their best every day. We seek to recruit, retain, and develop our existing and future workforce for decades-long engagements to build long-term mutual prosperity. We facilitate company-wide teams to inspire a more inclusive culture and achieve company goals through teamwork. We encourage each employee to proactively and continuously build self-awareness, understanding of aspects of diversity, and openness to others’ experiences and perspectives. We also foster and encourage self development and a continuous learning environment to build talent.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and well-being of our team are a top priority, and we believe each and every team member plays an essential role in creating a safe and healthy workplace. We provide training for safety measures on the job site and in our facilities. We provide our employees and their families with access to a variety of health programs, including benefits that support their physical and mental health.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2024, we employed approximately 2,520 full-time employees and 311 part-time and temporary employees. Of these employees, approximately 1,149 were in manufacturing, 482 were in sales and marketing, 570 were in customer service, 387 were in engineering, and 243 were in general and administrative. None of our employees are represented by a collective bargaining agreement. We believe employee relations are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risk. You should carefully consider the risks and uncertainties described below, together with all of the other information set forth in this Annual Report on Form 10-K and documents incorporated by reference herein, including “Management’s Discussion and Analysis of Financial Condition and Results of Operations” and our consolidated financial statements and related notes, before making a decision to invest in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and uncertainties described below may not be the only ones we face. If any of the risks actually occur, our business, operating results, and financial condition could be materially and adversely affected. In that event, the market price of our common stock could decline, and you could lose part or all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sensitive to global economic conditions, including recessions, inflation, and interest rate fluctuations. Weakened global economic or recessionary conditions may adversely affect our industry, business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The United States and other key international economies have experienced downturns and recessions from time to time during which economic activity was impacted by falling demand for a variety of goods and services; restricted credit; poor liquidity; reduced corporate profitability; volatility in credit, equity and foreign exchange markets; increased unemployment; bankruptcies; and overall uncertainty with respect to the economy. These conditions affect consumer and entertainment spending and could adversely affect our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ability or willingness to purchase our products, delay prospective customers’ purchasing decisions, reduce the value of their contracts, or affect attrition rates, all of which could adversely affect our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demand fluctuations and various factors may reduce our ability to effectively utilize our capacity and impact our results of operations.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global supply chains, and inflationary pressures can increase our input costs faster than our ability to raise prices. These could eliminate our ability to sell our products or receive parts and components through our global supply chains.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rate of interest we pay on our asset-based lending facility with JPMorgan Chase Bank, N.A. is correlated to the Standard Overnight Fund Rate (SOFR), which is determined by governmental policy decisions. Increases in SOFR will increase the rate of any extended borrowing on this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issues, conflicts, governmental actions and other global events could adversely affect our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global political issues and conflicts and governmental actions. Such factors can create trade restrictions, increase tariff costs, increase prices for raw materials and components used in our products, increase the cost of sales, decrease demand for our products, or have other implications on our business operations. These impacts could reduce profitability and could have a material adverse effect on our results of operations and financial condition if they escalate into geographies in which we do business, manufacture our products, or obtain raw materials and components for production.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during calendar 2024, national elections are occurring in countries accounting for 49 percent of the people of the world, including the United States, which could cause changing governmental actions and policies; the Israeli-Palestinian conflict; the continuing conflict arising from the invasion of Ukraine by Russia; or tensions among Taiwan, China, the United States or other countries, could adversely impact macroeconomic conditions, give rise to regional instability, and result in heightened economic tariffs, sanctions and import-export restrictions from the United States and the international community in a manner that adversely affects our Company, including to the extent that any such actions cause material business interruptions or restrict our ability in these regions to conduct business with certain suppliers or vendors. Additionally, such conflict or sanctions may significantly devalue various global currencies and have a negative impact on economies in geographies in which we do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risks related to actual or threatened health epidemics and other outbreaks, which have had and could have a material adverse effect on our operations, liquidity, financial conditions, and financial results.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serious global pandemic can adversely impact, shock and weaken the global economy. These impacts can amplify other risk factors and could have a material impact on our operations, liquidity, financial conditions, and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operations, and financial results were impacted by the COVID-19 pandemic. Impacts on our business include, but are not limited to:</w:t>
      </w:r>
    </w:p>
    <w:p>
      <w:pPr>
        <w:spacing w:after="0" w:line="225"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customers' demand due to disruptions in our manufacturing caused by delays and disruptions in obtaining certain raw material and other manufacturing components and because of restrictions affecting our ability to conduct work at sites during shutdowns;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increases in raw material, components, and personnel related costs and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declines and increases in demand for our products.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Unexpected events, including natural disasters, weather events, war, terrorist acts, and pandemics, may increase our cost of doing business or disrupt our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manufacturing operations in three locations in the United States - Brookings, South Dakota, Sioux Falls, South Dakota, and Redwood Falls, Minnesota, and we have production facilities in Ireland and China. Unexpected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unexpected events in the United States or in other countries in which we operate may disrupt our operations and the operations of our customers and suppliers. Such events could create additional uncertainties, forcing customers to reduce, delay, or cancel already planned projects or cause our suppliers not to perform, resulting in parts and component shortages.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We depend on a single-source or a limited number of suppliers for our raw materials and components from countries around the world. The loss, an interruption, or a material change in our business relationships with our suppliers or in global supply chain conditions has had and could continue to cause a disruption in our supply chains and a substantial increase in the costs of such raw materials and components. Geopolitical tensions can impact our ability to obtain key materials and components. Such changes have and could continue to result in extended lead times or supply changes, which could disrupt or delay our scheduled product deliveries to our end user customers and may result in the loss of sales and end user customers and cause harm to our sales, financial condition, and results of operations.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performance and financial condition of a supplier may cause us to alter our business terms, cease doing business with a particular supplier, or change our sourcing practices. Our suppliers are subject to the fluctuations in global economic cycles and conditions and other business risk factors which may impact their ability to operate their businesses. Our supply chain includes materials that are sourced or packaged directly or indirectly through suppliers in Taiwan or China. Geopolitical tensions and shipping disruptions can impact our suppliers ability to deliver components and raw materials.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interruption from our suppliers of raw materials or components could affect our ability to manufacture our products until a new source of supply is located and, therefore, could have a material adverse effect on our business, financial condition or results of operations. Our suppliers may need to allocate available supply, and we may not be able to obtain parts needed for production. Qualifying new suppliers to compensate for such shortages may be time-consuming and costly and may increase the likelihood of errors in design or production.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reduce manufacturing lead times and plan for adequate component supply, from time to time we may issue purchase orders or prepay for components and products that are non-cancelable and non-returnable. In addition, we may purchase components and products that have extended lead teams to ensure adequate supply to support long-term customer demand and mitigate the impact of supply disruptions. If we are unable to use all of the components we have purchased, we may have excess inventory or obsolescence, or increased inventory or carrying costs, which could have an adverse impact on our results of operation or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markets and face significant competition and pricing pressures. If we are unable to keep up with the rapidly changing product developments and new technologies or if we cannot compete effectively, we could lose market share and orders, which would negatively impact our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electronic display industry is characterized by ongoing product improvement, innovations and development. We compete against products produced in foreign countries and the United States. Our competitors may develop lower-cost or lower-featured products, may be willing to charge lower prices to increase their market share, or market new and unique product,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digital and mobile, and fixed display signs. To remain competitive, we must anticipate and respond quickly to provide products and services that meet our customers’ needs, enhance our existing products, introduce new products and features, and continue to price our products competitively.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rights effectively, or we may infringe upon the intellectual property rights of others, either of which may have a material adverse effect on our operating results and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rights, to protect our trade secrets, or to determine the validity and scope of the proprietary rights of others, such litigation could result in substantial costs and diversion of resources even if we ultimately prevail.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intellectual property rights of others also have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 even if we are successful in defending against any such claim.</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adversely affected.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control all of the various factors that might affect our suppliers' timely and effective delivery of raw materials and components to our manufacturing facilities or the availability of freight capacity for us to deliver products to our customers. In addition to increased costs, these factors could delay delivery of products, which may result in the assessment of liquidated damages or other contractual damages that could negatively impact our profits.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utilization of a complex supply chain for raw material and component imports and the global distribution of our products makes us vulnerable to many risks, including, among other things, shortages or delays because of work restrictions for various reasons like pandemic restrictions; supply chain implications due to war or other geopolitical impacts on supply chains; risks of damage, destruction or confiscation of products while in transit to and from our manufacturing facilities; organized labor strikes and work stoppages, such as labor disputes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and, therefore, may not be able to timely receive shipments of raw materials and components or deliver products to customers.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Cost inflation in, and shortages of, raw materials, components, and related transportation and tariff costs can have a significant impact on our price competitiveness and/or ability to produce our products, which have caused and could continue to cause harm to our sales, financial condition and 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inflation and shortages of any raw materials and components used to manufacture our products have and may continue to occur due to various factors, such as worldwide demand, natural disasters, logistic disruptions, war and other conflicts, and trade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and other components and materials used in our products are sometimes in short supply, which may impact our ability to meet customer demand.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costs and availability can fluctuate due to fluctuations in oil prices and other social, economic, and geopolitical factors.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experience shortages or increases in the prices we pay for raw materials and components and are unable to pass on those increases to our customers or are unable to manufacture our products at all or on a timely basis, it could negatively affect our business, financial condition or results of operations as such conditions have in the past. In addition to increased costs, these factors could delay delivery of products, which may result in the assessment of liquidated damages or other contractual damages that could negatively impact our profits.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disruptions and trade policies between countries could make us subject to additional regulatory costs and challenges, affect global economic and market conditions, and contribute to volatility in foreign exchange markets, which we may be unable to effectively manage through our foreign exchange risk management program. We monitor for these types of situations and evaluate ways to minimize these impacts through vendor negotiations, alternative sources, and potential price adjustments.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personnel throughout our business areas, which could negatively impact our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qualified employees, including experienced and skilled technical personnel, to design, market, fulfill, and serve our customers. Qualified employees can be in high demand and limited in availability. Our future success and operating results will also depend upon our ability to attract, train, motivate and retain qualified personnel to maintain and grow capacity. Although we intend to continue to provide competitive compensation packages to attract and retain qualified personnel, market conditions for pay levels and availability may negatively impact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third parties to complete some of our contracts.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on a contract's scope of work, we may hire third-party subcontractors to perform on-site installation and service-related activities, hire manufacturers of structures or elements of structures related to on-site installations,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 party subcontractors or manufacturers, the amount we are required to pay may exceed what we have estimated, and we may suffer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alter our business terms or to cease doing business with a particular third party or change our sourcing practices.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utilize our capacity efficiently or accurately plan our capacity requirements, which may negatively affect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increase and decrease our production and services capacity and the overhead supporting order fulfillment based on anticipated market demand. Market demand, however, has not always developed as expected or remained at a consistent level. These underutilization and overbooking capacity risks can potentially decrease our profitability and result in the impairment of certain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and mix of products that our customers buy;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down or to add and train our manufacturing and services staff in advance of demand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pace of technological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our manufacturing or services productivity;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and availability of raw materials and components used in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qualified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geography of the order and related shipping methods;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our plant and equipment expenditures.</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on a quarterly and annual basis have and are likely to continue to fluctuate and be substantially affected by the size and timing of large contract order awards.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 consistent level. Adjusting supply chain material planning and production and services capacity to meet this varied demand can increase costs. Large contracts or customer awards include projects for college and professional sports facilities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markets, the OOH niche, the transportation market, and the large spectacular niche. These projects can have short delivery time frames. Some factors that may cause our operating results to vary due to timing and size of the awards include:</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and related deliveries, including delays or cancellations of orders;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raw materials and components timely and at reasonable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and utilize production and services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third parties to support production and fulfillment;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 mix;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financial wherewithal and the related economic conditions impacting their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in one or more quarters of a fiscal year may not be indicative of future 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 We evaluate changes in estimates on a contract-by-contract basis and disclose significant changes, if material, in the Notes to Consolidated Financial Statements. The cumulative catch-up method is used to account for revisions in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events resulting in credit losses to us could have a material adverse impact on our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payment bonds and letters of credit. However, because some of our exposure to credit losses is outside of our control, unanticipated events resulting in credit losses could have a material adverse impact on our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and assumptions affect the timing and amount of net sales, costs, and profits or losses in applying the principles to contracts with customers under over time method of recording revenue using the cost-to-cost input method; credit losses for accounts receivables and contract assets; the valuation of inventory; estimated amounts for warranty and product maintenance agreement costs; the calculation of the fair value of our notes payable; the calculation and valuation of our investments and deferred tax assets; the valuation of our investment in affiliates or unconsolidated subsidiaries; fair value estimates used in goodwill and long-term assets testing; estimating the impact of uncertainties in the application of complex tax laws; and calculating share-based compensation expense. Although we believe these estimates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assumptions are reasonable under the circumstances, they are subject to significant uncertainties, some of which are beyond our control. If management's estimates and assumptions change or are not correct, our financial condition or results of operations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warranty and other costs for defective products could adversely affect our financial condition, results of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terms and conditions of our credit facilities and convertible debt impose restrictions on our operations, and if we default on our credit facilities, it could have a material adverse effect on our results of operations and financial condition and make us vulnerable to adverse economic or industry conditions and cause liquidity issues.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terms and conditions of our credit facilities impose restrictions limiting our ability to incur debt, contingent liabilities, lease obligations or liens; to merge or consolidate with another company; to dispose of substantially all our assets; to acquire or purchase a business or its assets; or to sell our assets, among other restrictions. Our credit facilities also impose certain financial covenants on us which restrict the level of our cash dividends and capital expenditures. A breach of any of these covenants could result in an event of default under our credit facilities. Upon the occurrence of an event of default, the lender could elect to declare any and all amounts outstanding under such facilities to be immediately due and payable and terminate all commitments to extend further credit. For additional information on financing agreements, see "Note 7. Financing Agreements" of the Notes to our Consolidated Financial Statements included in this Form 10-K.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foreseeable future, it is anticipated that our cash on hand, marketable securities, cash provided by operating activities, and borrowings under our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at all or on a timely basis, there can be no assurance we will be able to obtain such capital when needed or on satisfactory terms.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divestitures pose financial, management and other risks and challenges.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routinely invest in and explore investing in or acquiring other businesses and related assets to complement or enhance our business strategies. These investments are often made to increase and enhance our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management and other risks and challenges associated with these activities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integrating acquired businesses;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expanded operations or investments in affiliates do not achieve the strategic benefits forecasted;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or adverse relationship with or a change of key employees, customers, or suppliers of the acquired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the integration of different corporate cultures;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liabilities and indemnification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buyers or sellers;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involved in evaluating or modifying the financial systems of an acquired business and the establishment of appropriate internal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the transaction that cause misstatements of acquisition assets and liabilities;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assumptions and estimates made in accounting for the value of such asset.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engage in any acquisitions or divestitures or that we will be able to do so on terms that will result in any expected benefits.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in and advances to affiliates totaled $16.1 million as of April 27, 2024. Our financial results are impacted negatively or positively from our proportionate share of our affiliates' financial performance. Any reduction or impairment of the value of an investment and related acquired assets, goodwill, or investments in affiliates would result in charges against earnings, which would adversely affect our results of operations in future periods. We recorded an impairment to the value of these investments of $6.4 million and $4.5 million during fiscal year 2024 and 2023, respectively.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goodwill or other intangible assets in connection with our acquisitions become impaired, we could take significant non-cash charges against earnings.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4. Goodwill and Intangible Assets" of the Notes to our Consolidated Financial Statements included in this Form 10-K.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our annual impairment test on the first day of our third fiscal quarter. The annual impairment test for fiscal years 2024 and 2022 concluded no goodwill impairment existed. During fiscal year 2023, we concluded that the carrying value of the Live Events and International reporting units exceeded their respective fair values and consequently recorded a $4.6 million impairment charge.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key management personnel, which could negatively impact our operating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shortages of key personnel, including engineers, could require us to pay more to hire and retain key personnel, thereby increasing our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cost of employee benefits could impact our financial results and cash flows.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expenses relating to employee health benefits are significant. Unfavorable changes in the cost of and the unpredictability of claims under such benefits, including the current inflationary pressures on wages and benefits, could negatively impact our financial results and cash flows. Although we purchase stop loss insurance, its cost and healthcare costs have risen significantly in recent years. Legislative and private sector initiatives regarding healthcare reform could result in significant changes to the United States healthcare system. Due to the breadth and complexity of the healthcare reform legislation and the uncertainty surrounding further reform proposals, we are not able to fully determine the impact that healthcare reform will have in the future on company sponsored medical plans.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outcome of pending and future claims, investigations or litigation can have a material adverse impact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16. Commitments and Contingencies" of the Notes to our Consolidated Financial Statements included in this Form 10-K for further information on litigation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Systems, Legal, and Regulatory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numerous complex information systems. Any failure to maintain these systems, a network disruption, or breaches in data security could cause a material adverse effect on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heavily on complex information systems for the successful operation of our business, for the support of our offerings, and for the collection and retention of business data. Any information system failure of or breach in security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ransomware attacks,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data protection or lack of required reporting. Any disruption in our digital technologies could affect our business and operations, causing potentially significant expenses to recover and modify the data systems, to reimburse customers' losses, and to investigate and remediate any vulnerabilities, which could severely damage our reputation with customers, suppliers, employees and investors and expose us to risk of litigation and liability.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domestic and foreign operations, sales, earnings, and strategies for profitable growth can be adversely affected by global conditions and compliance with global regulations and governmental orders. Global conditions include political developments; economic changes; unfavorable trading policies; difficulties in staffing and managing global operations; changes in foreign and domestic governmental regulations or requirements, treaty and trade relationships; the imposition of government orders that differ among jurisdictions, including mandatory closures, work-from-home and lock-down orders and social distancing protocols;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that exist include changing social conditions and attitudes, terrorism, or political hostilities and war. Other difficulties of global operations include staffing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managing our various locations, including logistical and communication challenges. The likelihood of such occurrences and their overall effect on us vary greatly from country to country and are not predictable.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the United States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customers, and investments.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and our operations are subject to United States and foreign anti-corruption and trade control laws and regulations, such as the United States Foreign Corrupt Practices Act (the “FCPA”); the United Kingdom Bribery Act (the “Bribery Act”); and export controls and economic sanctions programs, including those administered by the United States Treasury Department’s Office of Foreign Assets Control (“OFAC”), the State Department’s Directorate of Defense Trade Controls (the “DDTC”), and the Bureau of Industry and Security of the United States Department of Commerce.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the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United States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Anti-bribery,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the denial of export privileges; injunctions; asset seizures; debarment from government contracts and revocations or restrictions of licenses; as well as criminal fines and imprisonment, and could harm our reputation, create negative shareholder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even if we were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aware of such violation.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partners take inside or outside of the United States even though we are not aware of such actions or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United States and in various countries in which we operate.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 and federal legislators and/or regulators in the United States and other countries in which we operate are increasingly adopting or revising privacy, data protection and information security laws that potentially could have a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relating to consumer and/or employee data, including the General Data Protection Regulation in the European Union and similar laws in other regions of the world, including the United States,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Environmental, society, and governance ("ESG") regulations and disclosures may impact our reputation, expose us to additional costs, or have other impacts which could adversely affect our business, financial condition, or results of operations.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has been an increased focus from regulators, investors, employees, consumers, and other stakeholders relating to ESG practices. We periodically communicate our ESG initiatives, which include prioritizing people, community, environmental, and product stewardship. Certain market participants, including major institutional investors, proxy advisory firms and capital providers, use benchmarks and scores to assess companies’ ESG profiles in making investment or revoting decisions or recommending voting positions. We have limited and in some instances no visibility or control over these scores or their underlying methodologies.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In addition, this emphasis on ESG matters has resulted and may result in the adoption of new laws and regulations, including new reporting requirements. Our failure to respond to regulatory requirements or to advance our initiatives could adversely impact our reputation, as well as the demand for our products. In addition, achieving these initiatives may result in increased costs, which could have a material adverse impact on our business,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United States Tax Cuts and Jobs Act of 2017 is one such example of legislation that has impacted our effective tax 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changes in the tax laws of the United States and foreign jurisdictions could arise, including additional tax reform in the United States and the base erosion and profit shifting project undertaken by the Organization for Economic Co-operation and Development (“OECD”). Both the United States tax reform and the OECD proposed recommendations which,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Ineffective internal control over financial reporting could result in errors in our financial statements, reduce investor confidence, and adversely impact our stock price.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evaluate and determine the effectiveness of our internal controls over financial reporting. Ineffective internal control over financial reporting could result in errors in our financial statements, reduce investor confidence, and adversely affect our stock price. As discussed in Part II, Item 9A “Controls and Procedures” in this Form 10-K, during the year-end closing processes for fiscal 2023, we identified a material weakness in our internal control related to the ineffective operation of certain transactional level controls over revenue recognition, specifically related to revenue contracts recognized over time, which resulted from insufficient precision of processes and insufficient training of the relevant control operators. These internal controls are important to accurately reflect our financial position and results of operations in our financial reports. We performed additional procedures over contracts for which revenue is recognized over time, including leveraging the expertise of a third-party specialist, and we did not identify any material errors in our reported revenue balance. However, due to the material weakness described above, there was a reasonable possibility that our existing controls would not have detected a material misstatement in a timely manner if it were to be material. Management has determined, through its current year testing, that the Company's enhanced policy and control activities were designed and operated effectively for a sufficient period of time during fiscal year 2024 to conclude that the previously identified material weakness has been remediated as of April 27,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if we identify additional control deficiencies that individually or together constitute significant deficiencies or material weaknesses, our ability to accurately record, process, and report financial information and, consequently, our ability to prepare financial statements within required time periods, could be adversely affected. Our failure to maintain effective internal control over financial reporting could result in violations of applicable securities laws and stock exchange listing requirements; subject us to litigation and investigations; negatively affect investor confidence in our financial statements; and adversely impact our stock price and ability to access capital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Insurance coverage can be difficult or expensive to obtain, and our failure to obtain adequate insurance coverage could adversely affect our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obtained. For example, some insurers limit or refuse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at reasonable costs could adversely affect our financial condition or results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with the SEC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by-laws and other corporate governance documents and the South Dakota Business Corporation Act (which is codified as Chapter 47-1A to the South Dakota statutes) ("SD Act") contain provisions that could have an anti-takeover effect and discourage, delay or prevent a change in control or an acquisition that many shareholders may find attractive. These provisions make it more difficult for our shareholders to take some corporate actions and include provisions relating to:</w:t>
      </w:r>
    </w:p>
    <w:p>
      <w:pPr>
        <w:spacing w:after="0" w:line="180"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without shareholder approval, to authorize and issue shares of stock with voting, liquidation, dividend and other rights and preferences that are superior to our common stock;</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which effectively prevents shareholders from electing a majority of the directors at any one meeting of shareholders;</w:t>
      </w: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shareholder rights agreement providing for the exercise of junior participating preferred stock purchase rights when a person becomes the beneficial owner of 20 percent or more of our outstanding common stock and upon the occurrence of certain similar events (subject to certain exceptions);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duly approved.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may deny shareholders the receipt of a premium on their common stock, which in turn may have a depressive effect on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daily trading volume of our common stock has at times been relatively low. If this were to occur in the future, the liquidity and appreciation of our common stock may not meet our shareholders’ expectations, and the price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fluctuated and will likely continue to fluctuate.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even if we prevail in the litigation, which could harm our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affected as a result of actions of activist shareholders, and such activism could impact the trading value of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Responding to actions by activist shareholders can be costly and time-consuming, and impact our brand, disrupt our operations and divert the attention of management and our employees. Such activities could interfere with our ability to execute our strategic plan. In addition, a proxy contest for the election of directors would require us to incur significant legal fees and proxy solicitation expenses and require significant time and attention by management and our board of directors. The perceived uncertainties as to our future direction also could affect the market price and volatility of our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and principal shareholders have the ability to significantly influence all matters submitted to our shareholders for approval.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Co-founder Dr. Aelred Kurtenbach served as our Chairman of the Board until September 3, 2014. Dr. Aelred Kurtenbach's family members currently serve as executive officers of the Company. His son, Mr. Reece Kurtenbach, serves as our Chairman of the Board and Chief Executive Officer, and two other children serve as our Vice President of Human Resources and as our Vice President of Manufacturing. Together, these individuals, in the aggregate, beneficially owned 10.0 percent of our outstanding common stock as of June 3, 2024, assuming the exercise by them of all of their options that were currently exercisable or that vest within 60 days of June 3, 2024. Our other executive officers and directors, in the aggregate, beneficially owned an additional 4.1 percent of our outstanding common stock as of June 3, 2024, assuming the exercise by them of all of their options currently exercisable or that vest within 60 days of June 3, 2024. Although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shareholder approval.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operation of our business is dependent on the secure functioning of our digital information systems and infrastructure. Our cybersecurity risk management program intends to protect the confidentiality, integrity, and availability of our critical systems and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 and assess our cybersecurity risk management program based on published frameworks, including the National Institute of Standards and Technology and routinely evaluate our program for ongoing adherence to those frameworks.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cybersecurity program is aligned with our company strategy and governance processes. Our program is designed to deploy and monitor the prevention, detection, mitigation, and remediation of cyber risks and incidents through various means, including:</w:t>
      </w:r>
    </w:p>
    <w:p>
      <w:pPr>
        <w:spacing w:after="0" w:line="16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responsible for monitoring our infrastructure and managing our cybersecurity risk assessment processes, our security controls, and response to cybersecurity incidents.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use of outside independent advisors to evaluate the maturity of our cybersecurity program, review processes and policies, conduct penetration and vulnerability tests, and to monitor and help identify potential cybersecurity incidents.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response plan that includes procedures for identifying, evaluating and responding to cybersecurity incidents.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training and awareness communication series addressed to our employees to help them identify potential cybersecurity threats and attacks.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 management process using independent third-party service providers that process and store data. We assess the risks from cybersecurity threats posed by such services.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encountered cybersecurity incidents or identified risks from cybersecurity threats that have materially impaired our operations or financial standing. For a discussion of whether and how any risks from cybersecurity threats are reasonably likely to materially affect us, including our business strategy, results of operations or financial condition, refer to Item 1A. Risk Factors – titled "Our business depends on numerous complex information systems. Any failure to maintain these systems, a network disruption, or breaches in data security could cause a material adverse effect on our business", which is incorporated by reference into this Item 1C.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Strategy and Risk Committee of the Board of Directors oversees the Company’s cybersecurity risks and strategy. A member of the committee has a bachelor and doctoral degrees relevant to and experience in cybersecurity and information technology trends. Management provides the Strategy and Risk Committee periodic reports on cybersecurity risks, risk mitigation in place and planned, and any material cybersecurity incidents. These reports are provided to our Board of Directors. If a material cybersecurity incident were to occur, the Audit Committee would oversee the financial reporting and disclosure and law compliance aspects.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program and team of cybersecurity professionals and resources is led and supervised by our Vice President of Information Technology, who has over 25 years of experience in information technology. To execute the program, we utilize internal and external technical experts in cybersecurity risk management, data and network security structures, incident response and security operations, and laws, regulation, and reporting requirements. Our cybersecurity team monitors the prevention, detection, mitigation, management, and remediation of cybersecurity risks and incidents through various means, which may include briefings with internal security personnel threat intelligence and other information obtained from governmental, public or private sources, including external consultants engaged by us; and alerts and reports produced by security tools deployed in our information technology environment. As part of the program, our executive management team is regularly informed about the monitoring, prevention, detection, mitigation, management, and remediation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properties include space for manufacturing products, designing and testing new developments or processes, and employee collaboration space. Our properties are generally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Facility Activities</w:t>
            </w:r>
          </w:p>
        </w:tc>
      </w:tr>
      <w:tr>
        <w:trPr>
          <w:trHeight w:val="27"/>
        </w:trPr>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8"/>
        </w:trPr>
        <w:tc>
          <w:tcPr>
            <w:tcW w:w="28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Headquarters, Manufacturing, Sales,</w:t>
            </w:r>
          </w:p>
        </w:tc>
      </w:tr>
      <w:tr>
        <w:trPr>
          <w:trHeight w:val="241"/>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Brookings, SD, USA</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771,000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Redwood Falls, MN, USA</w:t>
            </w:r>
          </w:p>
        </w:tc>
        <w:tc>
          <w:tcPr>
            <w:tcW w:w="25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151,000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Ennistymon, Ireland</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62,000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Sioux Falls, SD, USA</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296,000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25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157,000</w:t>
            </w: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$75.0 million senior credit facility (the "Credit Facility") consisting of a $60.0 million asset-based revolving credit facility (the "ABL") maturing on May 11, 2026 and a $15.0 million delayed draw loan (the "Delayed Draw Loan).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Credit Facility, we have encumbered substantially all of our owned real property for the benefit of the lenders thereunder. For additional information, see "Note 7. Financing Agreements" in the Notes to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16. Commitments and Contingencies" of the Notes to our Consolidated Financial Statements included in this Form 10-K for further information on any legal proceedings and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DAKT. Daily market activity, along with quoted prices and other trading information, are readily available for our common stock on numerous websites including www.nasdaq.com. As of June 3, 2024, we had 852 shareholders of record.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shows changes during the period from April 29, 2017 to April 30, 2022 in the value of $100 invested in: (1) our common stock; (2) The Nasdaq Composite; and (3) the Standard and Poor's 600 Index for Electronic Equipment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657850" cy="3000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16, 2016, our Board of Directors approved a stock repurchase program under which Daktronics may purchase up to $40.0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In April 2020, the Board suspended the program. On December 2, 2021, the Board of Directors of Daktronics voted to reauthorize the stock repurchase program. During fiscal 2024 and 2023, we had no repurchases of shares of our outstanding common stock. During fiscal 2022, we repurchased 0.6 million shares of common stock at a total cost of $3.2 million. As of April 27, 2024, we had $29.4 million of remaining capacity under our current share repurchase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of shares are treated as dividends under the SD Act, so our repurchases of shares could be affected by the limitations imposed on dividends in our Credit Facility, as further described in "Note 7. Financing Agreements" of the Notes to our Consolidated Financial Statements included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provides a narrative from the perspective of management relating to the financial condition, results of operations, liquidity, and other factors that may impact our financial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MD&amp;A should be read in conjunction with the accompanying Consolidated Financial Statements and Notes to the Consolidated Financial Statements included in this Form 10-K.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The fiscal years ended April 27, 2024, April 29, 2023 and April 30, 2022 contained operating results for 52 weeks.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year-over-year comparisons in this MD&amp;A are as of and for the fiscal years ended April 27, 2024 and April 29, 2023, unless stated otherwise. The </w:t>
      </w:r>
      <w:hyperlink r:id="rId41">
        <w:r>
          <w:rPr>
            <w:rFonts w:ascii="Times New Roman" w:cs="Times New Roman" w:eastAsia="Times New Roman" w:hAnsi="Times New Roman"/>
            <w:sz w:val="18"/>
            <w:szCs w:val="18"/>
            <w:color w:val="auto"/>
          </w:rPr>
          <w:t xml:space="preserve">comparison of fiscal 2023 with fiscal 2022, including the results of operations and liquidity, can be found in Item 7 section of our Annual Report on </w:t>
        </w:r>
        <w:r>
          <w:rPr>
            <w:rFonts w:ascii="Times New Roman" w:cs="Times New Roman" w:eastAsia="Times New Roman" w:hAnsi="Times New Roman"/>
            <w:sz w:val="18"/>
            <w:szCs w:val="18"/>
            <w:u w:val="single" w:color="auto"/>
            <w:color w:val="auto"/>
          </w:rPr>
          <w:t>Form</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auto"/>
          </w:rPr>
          <w:t>10-K</w:t>
        </w:r>
        <w:r>
          <w:rPr>
            <w:rFonts w:ascii="Times New Roman" w:cs="Times New Roman" w:eastAsia="Times New Roman" w:hAnsi="Times New Roman"/>
            <w:sz w:val="18"/>
            <w:szCs w:val="18"/>
            <w:color w:val="auto"/>
          </w:rPr>
          <w:t xml:space="preserve"> for fiscal 2023 filed with the SEC on July 12, 2023, which comparison is incorporated by reference herein.</w:t>
        </w:r>
      </w:hyperlink>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 In addition to gross profit, management uses contribution margin as another measure of assessing segment profitability and allocating selling resources to each segment. Management believes that contribution margin is useful to investors because it permits investors to view and evaluate our segment financial performance through the same lens as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Inc. and its subsidiaries are industry leaders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supply chain and operating environment continued to stabilize over the past eighteen months post-pandemic and allowed for a more efficient production and fulfillment of orders.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expansion of use of digital display systems in the global market continues post-pandemic despite a number of factors that can impact customers committing to a system. In addition to often being discretionary purchases, a customer's decision to purchase a system can be dependent on factors such as macroeconomic environment, interest rates levels, regulatory environments, geopolitical events, and competitive factors.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Display and control technologies and related professional services continue to advance. A majority of digital displays are constructed using standard surface mount display technology. Micro-LED technologies (also referred to as narrow pixel pitch) are being used and advanced, especially for displays installed for short viewing distances. Global investments have been made to advance these technologies and to increase manufacturing capacity. The use of artificial intelligence and other software advances continues to improve content creation and digital display monitoring systems.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 in parts supply, labor, and other resources continued to stabilize during fiscal 2024. Over the past decade, the cost to produce digital solutions has declined, which has caused a decline of digital solution pricing. We must sell more products to generate the same or a greater level of net sales as in previous fiscal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offerings, actions and reactions can vary and change over time or in certain customer situations. Projects with multimillion-dollar revenue potential attract competition, and competitors can use marketing or other tactics to win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audiovisual industry fundamentals of increased use of LED display systems across industries and our development of new technologies, services, and sales channels will drive long-term growth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changes in key items included in the statements of operations for fiscal year 2024 as compared to fiscal year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of Net sales </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of Net sales </w:t>
            </w:r>
            <w:r>
              <w:rPr>
                <w:rFonts w:ascii="Times New Roman" w:cs="Times New Roman" w:eastAsia="Times New Roman" w:hAnsi="Times New Roman"/>
                <w:sz w:val="23"/>
                <w:szCs w:val="23"/>
                <w:b w:val="1"/>
                <w:bCs w:val="1"/>
                <w:color w:val="auto"/>
                <w:vertAlign w:val="superscript"/>
              </w:rPr>
              <w:t>(1)</w:t>
            </w:r>
          </w:p>
        </w:tc>
        <w:tc>
          <w:tcPr>
            <w:tcW w:w="1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3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595,640</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602,841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222,443</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151,355</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71,088</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38,747</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80" w:type="dxa"/>
            <w:vAlign w:val="bottom"/>
          </w:tcPr>
          <w:p>
            <w:pPr>
              <w:spacing w:after="0"/>
              <w:rPr>
                <w:sz w:val="20"/>
                <w:szCs w:val="20"/>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25"/>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8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20"/>
                <w:szCs w:val="20"/>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and debt issuance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net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43"/>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8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397.8 %</w:t>
            </w: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740,171</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680,954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stable operating environment and supply chain combined with our past investments in capacity resulted in a more efficient fulfillment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and a return to market expected lead times. These conditions and strong order levels resulted in the growth of net sales. These conditions are in contrast to the fiscal year 2023 operating environment where we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faced manufacturing material supply and labor shortages which extended lead times and delayed the conversion of orders into sales.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April 27, 2024 and April 29, 2023, our operating income was positively impacted by a net amount of 1.0% and 0.3% of overtime revenue or $4.1 million and $1.2 million, respectively, as a result of changes in contract estimates related to projects in progress at the beginning of the respective period. These changes in estimates resulted primarily from favorable project execution of 1.5% of overtime revenue or $6.5 million, reduced cost estimates and contingencies that were relieved when conditions were resolved. Gross unfavorable changes in contract estimates were 0.6% of overtime revenue or $2.4 million and immaterial for the years ended April 27, 2024 and April 29, 2023, respectively. See "Note 1. Nature of Business and Summary of Significant Accounting Policies" for more information regarding revenue recognition.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Order </w:t>
      </w:r>
      <w:r>
        <w:rPr>
          <w:rFonts w:ascii="Times New Roman" w:cs="Times New Roman" w:eastAsia="Times New Roman" w:hAnsi="Times New Roman"/>
          <w:sz w:val="18"/>
          <w:szCs w:val="18"/>
          <w:color w:val="auto"/>
        </w:rPr>
        <w:t>volume growth is attributable to a stable macroeconomic environment in North America, to the continued use and market adoption of digital display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to our success in capturing existing and new customers orders for larger project-based sports and transportation business. As we are a project-based business, large sized project orders can impact levels of orders. During fiscal 2024, fewer large sized projects were booked to orders in Commercial and International because there were fewer large projects available in the market place.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percentage increase is attributable to past strategic pricing actions, the record sales volume over our fixed manufacturing cost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stabilization of input costs, and fewer supply chain and operational disruptions during fiscal 2024 as compared to fiscal 2023. Factors impacting gross profit in fiscal 2023 included ongoing supply chain disruptions and inflationary challenges in materials, freight and personnel related costs. Total warranty expense as a percent of sales increased to 2.3 percent for fiscal 2024 as compared to 2.1 percent during fiscal 2023.</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expense lines increased for variable compensation and profit sharing linked to operating margins achieved in fiscal year 2024 as compared to amounts achieved in fiscal year 2023. For fiscal 2024, these expenses totaled $6.5 million, including $3.1 million in cost of sales, $1.2 million in selling, $1.4 million in general and administrative, and $0.8 million in product design and development. In fiscal 2023, the amounts achieved were immaterial.</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expense</w:t>
      </w:r>
      <w:r>
        <w:rPr>
          <w:rFonts w:ascii="Times New Roman" w:cs="Times New Roman" w:eastAsia="Times New Roman" w:hAnsi="Times New Roman"/>
          <w:sz w:val="18"/>
          <w:szCs w:val="18"/>
          <w:color w:val="auto"/>
        </w:rPr>
        <w:t>s were relatively flat. Personnel related wages and benefits expense increases were offset by less bad debt charges and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related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increased for additional personnel wage and benefits and increased staffing levels for our digital transformation strategies,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lower professional fees.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w:t>
      </w:r>
      <w:r>
        <w:rPr>
          <w:rFonts w:ascii="Times New Roman" w:cs="Times New Roman" w:eastAsia="Times New Roman" w:hAnsi="Times New Roman"/>
          <w:sz w:val="18"/>
          <w:szCs w:val="18"/>
          <w:color w:val="auto"/>
        </w:rPr>
        <w:t>increased primarily due to personnel-related expenses and increased staffing levels. Our focus has been to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features aligned with customer needs and to reduce product costs. We focused these efforts on both standard product and control offerings and in new emerging areas, including microLED products and new control capabilities.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increase was the result of the May 2023 closing on the Convertible Note and asset-based and mortgage financings at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borrowed values and interest rates than the utilization of our previous line of credit during fiscal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Convertible Note </w:t>
      </w:r>
      <w:r>
        <w:rPr>
          <w:rFonts w:ascii="Times New Roman" w:cs="Times New Roman" w:eastAsia="Times New Roman" w:hAnsi="Times New Roman"/>
          <w:sz w:val="18"/>
          <w:szCs w:val="18"/>
          <w:color w:val="auto"/>
        </w:rPr>
        <w:t>results from accounting for the Convertible Note we issued during fiscal 2024, under the fair value option.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change was primarily caused by the increase in value of the embedded features of the note as the stock price has increased since inception of the note.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and debt issuance costs write-off, net </w:t>
      </w:r>
      <w:r>
        <w:rPr>
          <w:rFonts w:ascii="Times New Roman" w:cs="Times New Roman" w:eastAsia="Times New Roman" w:hAnsi="Times New Roman"/>
          <w:sz w:val="18"/>
          <w:szCs w:val="18"/>
          <w:color w:val="auto"/>
        </w:rPr>
        <w:t>is primarily comprised of $10.1 million of losses and impairments recorded for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expensing of $3.4 million of debt issuance costs related to the Convertible Note.</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increased due to the year-over-year increase in Income before income taxes. Our effective tax rate for fiscal 2024 was 35.9 percent.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income tax rate for fiscal 2024 was primarily impacted due to the convertible note fair value adjustment to expense that is not deductible for tax purposes. Additional other items impacting the rate were valuation allowances on equity investments, state taxes, as well as prior year provision to return adjustments reduced in part by tax benefits from permanent tax credits. Our effective tax rate for fiscal 2023 was 48.7 percent. The effective income tax rate for fiscal 2023 was impacted due to valuation allowances on equity investments and on foreign net operating losses in Ireland, goodwill impairment, state taxes, a mix of taxes in foreign countries where the tax rate is higher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in the United States, as well as a prior year provision to return adjustments reduced in part by tax benefits from permanent tax credits. See "Note 12.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our reportable segment financial performance of contribution margin reconciled to GAAP operating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w:t>
            </w:r>
          </w:p>
        </w:tc>
        <w:tc>
          <w:tcPr>
            <w:tcW w:w="80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w w:val="99"/>
              </w:rPr>
              <w:t>the</w:t>
            </w:r>
          </w:p>
        </w:tc>
        <w:tc>
          <w:tcPr>
            <w:tcW w:w="1480" w:type="dxa"/>
            <w:vAlign w:val="bottom"/>
            <w:gridSpan w:val="6"/>
          </w:tcPr>
          <w:p>
            <w:pPr>
              <w:jc w:val="right"/>
              <w:ind w:right="486"/>
              <w:spacing w:after="0"/>
              <w:rPr>
                <w:sz w:val="20"/>
                <w:szCs w:val="20"/>
                <w:color w:val="auto"/>
              </w:rPr>
            </w:pPr>
            <w:r>
              <w:rPr>
                <w:rFonts w:ascii="Times New Roman" w:cs="Times New Roman" w:eastAsia="Times New Roman" w:hAnsi="Times New Roman"/>
                <w:sz w:val="18"/>
                <w:szCs w:val="18"/>
                <w:color w:val="auto"/>
              </w:rPr>
              <w:t>fiscal</w:t>
            </w:r>
          </w:p>
        </w:tc>
        <w:tc>
          <w:tcPr>
            <w:tcW w:w="9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ended</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April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and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April</w:t>
            </w:r>
          </w:p>
        </w:tc>
        <w:tc>
          <w:tcPr>
            <w:tcW w:w="140" w:type="dxa"/>
            <w:vAlign w:val="bottom"/>
          </w:tcPr>
          <w:p>
            <w:pPr>
              <w:spacing w:after="0"/>
              <w:rPr>
                <w:sz w:val="20"/>
                <w:szCs w:val="20"/>
                <w:color w:val="auto"/>
              </w:rPr>
            </w:pPr>
          </w:p>
        </w:tc>
        <w:tc>
          <w:tcPr>
            <w:tcW w:w="62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11"/>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Fiscal Year 2024</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180" w:type="dxa"/>
            <w:vAlign w:val="bottom"/>
            <w:gridSpan w:val="2"/>
          </w:tcPr>
          <w:p>
            <w:pPr>
              <w:spacing w:after="0"/>
              <w:rPr>
                <w:sz w:val="2"/>
                <w:szCs w:val="2"/>
                <w:color w:val="auto"/>
              </w:rPr>
            </w:pPr>
          </w:p>
        </w:tc>
        <w:tc>
          <w:tcPr>
            <w:tcW w:w="10060" w:type="dxa"/>
            <w:vAlign w:val="bottom"/>
            <w:tcBorders>
              <w:bottom w:val="single" w:sz="8" w:color="auto"/>
            </w:tcBorders>
            <w:gridSpan w:val="55"/>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4"/>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Live Events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80" w:type="dxa"/>
            <w:vAlign w:val="bottom"/>
          </w:tcPr>
          <w:p>
            <w:pPr>
              <w:spacing w:after="0"/>
              <w:rPr>
                <w:sz w:val="10"/>
                <w:szCs w:val="10"/>
                <w:color w:val="auto"/>
              </w:rPr>
            </w:pPr>
          </w:p>
        </w:tc>
        <w:tc>
          <w:tcPr>
            <w:tcW w:w="800" w:type="dxa"/>
            <w:vAlign w:val="bottom"/>
            <w:gridSpan w:val="3"/>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Park and</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Percent of net</w:t>
            </w:r>
          </w:p>
        </w:tc>
        <w:tc>
          <w:tcPr>
            <w:tcW w:w="140" w:type="dxa"/>
            <w:vAlign w:val="bottom"/>
          </w:tcPr>
          <w:p>
            <w:pPr>
              <w:spacing w:after="0"/>
              <w:rPr>
                <w:sz w:val="10"/>
                <w:szCs w:val="10"/>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gridSpan w:val="2"/>
            <w:vMerge w:val="restart"/>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Percent of net</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10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sales </w:t>
            </w:r>
            <w:r>
              <w:rPr>
                <w:rFonts w:ascii="Times New Roman" w:cs="Times New Roman" w:eastAsia="Times New Roman" w:hAnsi="Times New Roman"/>
                <w:sz w:val="11"/>
                <w:szCs w:val="11"/>
                <w:b w:val="1"/>
                <w:bCs w:val="1"/>
                <w:color w:val="auto"/>
                <w:w w:val="97"/>
                <w:vertAlign w:val="superscript"/>
              </w:rPr>
              <w:t>(1)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Transportation</w:t>
            </w:r>
          </w:p>
        </w:tc>
        <w:tc>
          <w:tcPr>
            <w:tcW w:w="10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sales </w:t>
            </w:r>
            <w:r>
              <w:rPr>
                <w:rFonts w:ascii="Times New Roman" w:cs="Times New Roman" w:eastAsia="Times New Roman" w:hAnsi="Times New Roman"/>
                <w:sz w:val="11"/>
                <w:szCs w:val="11"/>
                <w:b w:val="1"/>
                <w:bCs w:val="1"/>
                <w:color w:val="auto"/>
                <w:w w:val="97"/>
                <w:vertAlign w:val="superscript"/>
              </w:rPr>
              <w:t>(1)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161,626</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338,508</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170,349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85,390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62,210</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818,083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242,524</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71.6 %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112,985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69.5 %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53,369</w:t>
            </w:r>
          </w:p>
        </w:tc>
        <w:tc>
          <w:tcPr>
            <w:tcW w:w="4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85.8 %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595,640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72.8 %</w:t>
            </w:r>
          </w:p>
        </w:tc>
        <w:tc>
          <w:tcPr>
            <w:tcW w:w="0" w:type="dxa"/>
            <w:vAlign w:val="bottom"/>
          </w:tcPr>
          <w:p>
            <w:pPr>
              <w:spacing w:after="0"/>
              <w:rPr>
                <w:sz w:val="1"/>
                <w:szCs w:val="1"/>
                <w:color w:val="auto"/>
              </w:rPr>
            </w:pPr>
          </w:p>
        </w:tc>
      </w:tr>
      <w:tr>
        <w:trPr>
          <w:trHeight w:val="36"/>
        </w:trPr>
        <w:tc>
          <w:tcPr>
            <w:tcW w:w="11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34,233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21.2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95,984</w:t>
            </w:r>
          </w:p>
        </w:tc>
        <w:tc>
          <w:tcPr>
            <w:tcW w:w="82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28.4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57,364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33.7</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26,021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30.5</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8,841</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222,443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10,991</w:t>
            </w:r>
          </w:p>
        </w:tc>
        <w:tc>
          <w:tcPr>
            <w:tcW w:w="82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3.2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10,136</w:t>
            </w:r>
          </w:p>
        </w:tc>
        <w:tc>
          <w:tcPr>
            <w:tcW w:w="40" w:type="dxa"/>
            <w:vAlign w:val="bottom"/>
          </w:tcPr>
          <w:p>
            <w:pPr>
              <w:spacing w:after="0"/>
              <w:rPr>
                <w:sz w:val="13"/>
                <w:szCs w:val="13"/>
                <w:color w:val="auto"/>
              </w:rPr>
            </w:pPr>
          </w:p>
        </w:tc>
        <w:tc>
          <w:tcPr>
            <w:tcW w:w="80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rPr>
              <w:t>16.3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36"/>
        </w:trPr>
        <w:tc>
          <w:tcPr>
            <w:tcW w:w="11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10.4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84,993</w:t>
            </w:r>
          </w:p>
        </w:tc>
        <w:tc>
          <w:tcPr>
            <w:tcW w:w="82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25.1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43,088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21,894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25.6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(1,295)</w:t>
            </w:r>
          </w:p>
        </w:tc>
        <w:tc>
          <w:tcPr>
            <w:tcW w:w="800" w:type="dxa"/>
            <w:vAlign w:val="bottom"/>
            <w:tcBorders>
              <w:bottom w:val="single" w:sz="8" w:color="CCEEFF"/>
            </w:tcBorders>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165,489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20.2</w:t>
            </w:r>
          </w:p>
        </w:tc>
        <w:tc>
          <w:tcPr>
            <w:tcW w:w="0" w:type="dxa"/>
            <w:vAlign w:val="bottom"/>
          </w:tcPr>
          <w:p>
            <w:pPr>
              <w:spacing w:after="0"/>
              <w:rPr>
                <w:sz w:val="1"/>
                <w:szCs w:val="1"/>
                <w:color w:val="auto"/>
              </w:rPr>
            </w:pPr>
          </w:p>
        </w:tc>
      </w:tr>
      <w:tr>
        <w:trPr>
          <w:trHeight w:val="14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42,632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24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 impairment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35,742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3"/>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3"/>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3"/>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7"/>
              </w:rPr>
              <w:t>Operating income (loss)</w:t>
            </w:r>
          </w:p>
        </w:tc>
        <w:tc>
          <w:tcPr>
            <w:tcW w:w="2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84,993</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43,088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25.3 %</w:t>
            </w:r>
          </w:p>
        </w:tc>
        <w:tc>
          <w:tcPr>
            <w:tcW w:w="20" w:type="dxa"/>
            <w:vAlign w:val="bottom"/>
            <w:shd w:val="clear" w:color="auto" w:fill="CCEEFF"/>
          </w:tcPr>
          <w:p>
            <w:pPr>
              <w:spacing w:after="0"/>
              <w:rPr>
                <w:sz w:val="17"/>
                <w:szCs w:val="17"/>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25.6 %</w:t>
            </w:r>
          </w:p>
        </w:tc>
        <w:tc>
          <w:tcPr>
            <w:tcW w:w="20" w:type="dxa"/>
            <w:vAlign w:val="bottom"/>
            <w:shd w:val="clear" w:color="auto" w:fill="CCEEFF"/>
          </w:tcPr>
          <w:p>
            <w:pPr>
              <w:spacing w:after="0"/>
              <w:rPr>
                <w:sz w:val="17"/>
                <w:szCs w:val="17"/>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(1,295)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1240" w:type="dxa"/>
            <w:vAlign w:val="bottom"/>
            <w:gridSpan w:val="57"/>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135,251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321,191</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148,505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80,107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55,117</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740,171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11"/>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11"/>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Fiscal Year 2023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4"/>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High School Park</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4"/>
          </w:tcPr>
          <w:p>
            <w:pPr>
              <w:jc w:val="center"/>
              <w:ind w:right="16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4"/>
          </w:tcPr>
          <w:p>
            <w:pPr>
              <w:jc w:val="center"/>
              <w:ind w:right="10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80" w:type="dxa"/>
            <w:vAlign w:val="bottom"/>
          </w:tcPr>
          <w:p>
            <w:pPr>
              <w:spacing w:after="0"/>
              <w:rPr>
                <w:sz w:val="8"/>
                <w:szCs w:val="8"/>
                <w:color w:val="auto"/>
              </w:rPr>
            </w:pPr>
          </w:p>
        </w:tc>
        <w:tc>
          <w:tcPr>
            <w:tcW w:w="800" w:type="dxa"/>
            <w:vAlign w:val="bottom"/>
            <w:gridSpan w:val="3"/>
          </w:tcPr>
          <w:p>
            <w:pPr>
              <w:jc w:val="center"/>
              <w:ind w:right="200"/>
              <w:spacing w:after="0" w:line="102" w:lineRule="exact"/>
              <w:rPr>
                <w:sz w:val="20"/>
                <w:szCs w:val="20"/>
                <w:color w:val="auto"/>
              </w:rPr>
            </w:pPr>
            <w:r>
              <w:rPr>
                <w:rFonts w:ascii="Times New Roman" w:cs="Times New Roman" w:eastAsia="Times New Roman" w:hAnsi="Times New Roman"/>
                <w:sz w:val="9"/>
                <w:szCs w:val="9"/>
                <w:b w:val="1"/>
                <w:bCs w:val="1"/>
                <w:color w:val="auto"/>
              </w:rPr>
              <w:t>and</w:t>
            </w:r>
          </w:p>
        </w:tc>
        <w:tc>
          <w:tcPr>
            <w:tcW w:w="720" w:type="dxa"/>
            <w:vAlign w:val="bottom"/>
            <w:gridSpan w:val="3"/>
          </w:tcPr>
          <w:p>
            <w:pPr>
              <w:jc w:val="center"/>
              <w:ind w:right="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4"/>
          </w:tcPr>
          <w:p>
            <w:pPr>
              <w:jc w:val="center"/>
              <w:ind w:right="120"/>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jc w:val="center"/>
              <w:spacing w:after="0" w:line="102" w:lineRule="exact"/>
              <w:rPr>
                <w:sz w:val="20"/>
                <w:szCs w:val="20"/>
                <w:color w:val="auto"/>
              </w:rPr>
            </w:pPr>
            <w:r>
              <w:rPr>
                <w:rFonts w:ascii="Times New Roman" w:cs="Times New Roman" w:eastAsia="Times New Roman" w:hAnsi="Times New Roman"/>
                <w:sz w:val="9"/>
                <w:szCs w:val="9"/>
                <w:b w:val="1"/>
                <w:bCs w:val="1"/>
                <w:color w:val="auto"/>
              </w:rPr>
              <w:t>Percent of net</w:t>
            </w:r>
          </w:p>
        </w:tc>
        <w:tc>
          <w:tcPr>
            <w:tcW w:w="0" w:type="dxa"/>
            <w:vAlign w:val="bottom"/>
          </w:tcPr>
          <w:p>
            <w:pPr>
              <w:spacing w:after="0"/>
              <w:rPr>
                <w:sz w:val="1"/>
                <w:szCs w:val="1"/>
                <w:color w:val="auto"/>
              </w:rPr>
            </w:pPr>
          </w:p>
        </w:tc>
      </w:tr>
      <w:tr>
        <w:trPr>
          <w:trHeight w:val="152"/>
        </w:trPr>
        <w:tc>
          <w:tcPr>
            <w:tcW w:w="10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10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9"/>
                <w:szCs w:val="9"/>
                <w:b w:val="1"/>
                <w:bCs w:val="1"/>
                <w:color w:val="auto"/>
              </w:rPr>
              <w:t>Live Events</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9"/>
                <w:szCs w:val="9"/>
                <w:b w:val="1"/>
                <w:bCs w:val="1"/>
                <w:color w:val="auto"/>
                <w:w w:val="99"/>
              </w:rPr>
              <w:t>Recreation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w w:val="99"/>
              </w:rPr>
              <w:t>Transportation</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International</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Total</w:t>
            </w:r>
          </w:p>
        </w:tc>
        <w:tc>
          <w:tcPr>
            <w:tcW w:w="100" w:type="dxa"/>
            <w:vAlign w:val="bottom"/>
            <w:tcBorders>
              <w:bottom w:val="single" w:sz="8" w:color="CCEEFF"/>
            </w:tcBorders>
            <w:gridSpan w:val="2"/>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0"/>
              </w:rPr>
              <w:t xml:space="preserve">sales </w:t>
            </w:r>
            <w:r>
              <w:rPr>
                <w:rFonts w:ascii="Times New Roman" w:cs="Times New Roman" w:eastAsia="Times New Roman" w:hAnsi="Times New Roman"/>
                <w:sz w:val="11"/>
                <w:szCs w:val="11"/>
                <w:b w:val="1"/>
                <w:bCs w:val="1"/>
                <w:color w:val="auto"/>
                <w:w w:val="90"/>
                <w:vertAlign w:val="superscript"/>
              </w:rPr>
              <w:t>(1)</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170,590</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284,900</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141,748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72,306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84,652</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754,196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139,435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235,645</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82.7 %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100,603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71.0 %</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72.6 %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74,677</w:t>
            </w:r>
          </w:p>
        </w:tc>
        <w:tc>
          <w:tcPr>
            <w:tcW w:w="4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88.2 %</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602,841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79.9 %</w:t>
            </w:r>
          </w:p>
        </w:tc>
        <w:tc>
          <w:tcPr>
            <w:tcW w:w="0" w:type="dxa"/>
            <w:vAlign w:val="bottom"/>
          </w:tcPr>
          <w:p>
            <w:pPr>
              <w:spacing w:after="0"/>
              <w:rPr>
                <w:sz w:val="1"/>
                <w:szCs w:val="1"/>
                <w:color w:val="auto"/>
              </w:rPr>
            </w:pPr>
          </w:p>
        </w:tc>
      </w:tr>
      <w:tr>
        <w:trPr>
          <w:trHeight w:val="36"/>
        </w:trPr>
        <w:tc>
          <w:tcPr>
            <w:tcW w:w="11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31,155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18.3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49,255</w:t>
            </w:r>
          </w:p>
        </w:tc>
        <w:tc>
          <w:tcPr>
            <w:tcW w:w="82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17.3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41,145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27.4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151,355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20.1</w:t>
            </w: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10,240</w:t>
            </w:r>
          </w:p>
        </w:tc>
        <w:tc>
          <w:tcPr>
            <w:tcW w:w="820" w:type="dxa"/>
            <w:vAlign w:val="bottom"/>
            <w:gridSpan w:val="4"/>
          </w:tcPr>
          <w:p>
            <w:pPr>
              <w:jc w:val="right"/>
              <w:ind w:right="69"/>
              <w:spacing w:after="0"/>
              <w:rPr>
                <w:sz w:val="20"/>
                <w:szCs w:val="20"/>
                <w:color w:val="auto"/>
              </w:rPr>
            </w:pPr>
            <w:r>
              <w:rPr>
                <w:rFonts w:ascii="Times New Roman" w:cs="Times New Roman" w:eastAsia="Times New Roman" w:hAnsi="Times New Roman"/>
                <w:sz w:val="11"/>
                <w:szCs w:val="11"/>
                <w:color w:val="auto"/>
              </w:rPr>
              <w:t>3.6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5.4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11,837</w:t>
            </w:r>
          </w:p>
        </w:tc>
        <w:tc>
          <w:tcPr>
            <w:tcW w:w="40" w:type="dxa"/>
            <w:vAlign w:val="bottom"/>
          </w:tcPr>
          <w:p>
            <w:pPr>
              <w:spacing w:after="0"/>
              <w:rPr>
                <w:sz w:val="13"/>
                <w:szCs w:val="13"/>
                <w:color w:val="auto"/>
              </w:rPr>
            </w:pPr>
          </w:p>
        </w:tc>
        <w:tc>
          <w:tcPr>
            <w:tcW w:w="800" w:type="dxa"/>
            <w:vAlign w:val="bottom"/>
            <w:gridSpan w:val="4"/>
          </w:tcPr>
          <w:p>
            <w:pPr>
              <w:jc w:val="right"/>
              <w:ind w:right="66"/>
              <w:spacing w:after="0"/>
              <w:rPr>
                <w:sz w:val="20"/>
                <w:szCs w:val="20"/>
                <w:color w:val="auto"/>
              </w:rPr>
            </w:pPr>
            <w:r>
              <w:rPr>
                <w:rFonts w:ascii="Times New Roman" w:cs="Times New Roman" w:eastAsia="Times New Roman" w:hAnsi="Times New Roman"/>
                <w:sz w:val="11"/>
                <w:szCs w:val="11"/>
                <w:color w:val="auto"/>
              </w:rPr>
              <w:t>14.0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35"/>
        </w:trPr>
        <w:tc>
          <w:tcPr>
            <w:tcW w:w="118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gridSpan w:val="3"/>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 margin</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14,025</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8.2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39,015</w:t>
            </w:r>
          </w:p>
        </w:tc>
        <w:tc>
          <w:tcPr>
            <w:tcW w:w="82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13.7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27,621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19.5</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15,901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22.0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(1,862)</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94,700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35"/>
        </w:trPr>
        <w:tc>
          <w:tcPr>
            <w:tcW w:w="11240" w:type="dxa"/>
            <w:vAlign w:val="bottom"/>
            <w:gridSpan w:val="57"/>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35"/>
        </w:trPr>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7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 impairment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2,281</w:t>
            </w:r>
          </w:p>
        </w:tc>
        <w:tc>
          <w:tcPr>
            <w:tcW w:w="820" w:type="dxa"/>
            <w:vAlign w:val="bottom"/>
            <w:tcBorders>
              <w:bottom w:val="single" w:sz="8" w:color="CCEEFF"/>
            </w:tcBorders>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rPr>
              <w:t>0.8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35"/>
        </w:trPr>
        <w:tc>
          <w:tcPr>
            <w:tcW w:w="11240" w:type="dxa"/>
            <w:vAlign w:val="bottom"/>
            <w:gridSpan w:val="57"/>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29,989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35"/>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7"/>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8.2 %</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36,734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27,621</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19.5 %</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15,901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22.0 %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21,388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180" w:type="dxa"/>
            <w:vAlign w:val="bottom"/>
            <w:gridSpan w:val="2"/>
          </w:tcPr>
          <w:p>
            <w:pPr>
              <w:spacing w:after="0"/>
              <w:rPr>
                <w:sz w:val="3"/>
                <w:szCs w:val="3"/>
                <w:color w:val="auto"/>
              </w:rPr>
            </w:pPr>
          </w:p>
        </w:tc>
        <w:tc>
          <w:tcPr>
            <w:tcW w:w="780" w:type="dxa"/>
            <w:vAlign w:val="bottom"/>
            <w:tcBorders>
              <w:top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700" w:type="dxa"/>
            <w:vAlign w:val="bottom"/>
            <w:tcBorders>
              <w:top w:val="single" w:sz="8" w:color="auto"/>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780" w:type="dxa"/>
            <w:vAlign w:val="bottom"/>
            <w:tcBorders>
              <w:top w:val="single" w:sz="8" w:color="auto"/>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700" w:type="dxa"/>
            <w:vAlign w:val="bottom"/>
            <w:tcBorders>
              <w:top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780" w:type="dxa"/>
            <w:vAlign w:val="bottom"/>
            <w:tcBorders>
              <w:top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top w:val="single" w:sz="8" w:color="auto"/>
            </w:tcBorders>
            <w:gridSpan w:val="3"/>
          </w:tcPr>
          <w:p>
            <w:pPr>
              <w:spacing w:after="0"/>
              <w:rPr>
                <w:sz w:val="3"/>
                <w:szCs w:val="3"/>
                <w:color w:val="auto"/>
              </w:rPr>
            </w:pPr>
          </w:p>
        </w:tc>
        <w:tc>
          <w:tcPr>
            <w:tcW w:w="100" w:type="dxa"/>
            <w:vAlign w:val="bottom"/>
            <w:gridSpan w:val="3"/>
          </w:tcPr>
          <w:p>
            <w:pPr>
              <w:spacing w:after="0"/>
              <w:rPr>
                <w:sz w:val="3"/>
                <w:szCs w:val="3"/>
                <w:color w:val="auto"/>
              </w:rPr>
            </w:pPr>
          </w:p>
        </w:tc>
        <w:tc>
          <w:tcPr>
            <w:tcW w:w="800" w:type="dxa"/>
            <w:vAlign w:val="bottom"/>
            <w:tcBorders>
              <w:top w:val="single" w:sz="8" w:color="auto"/>
            </w:tcBorders>
            <w:gridSpan w:val="4"/>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top w:val="single" w:sz="8" w:color="auto"/>
            </w:tcBorders>
            <w:gridSpan w:val="3"/>
          </w:tcPr>
          <w:p>
            <w:pPr>
              <w:spacing w:after="0"/>
              <w:rPr>
                <w:sz w:val="3"/>
                <w:szCs w:val="3"/>
                <w:color w:val="auto"/>
              </w:rPr>
            </w:pPr>
          </w:p>
        </w:tc>
        <w:tc>
          <w:tcPr>
            <w:tcW w:w="100" w:type="dxa"/>
            <w:vAlign w:val="bottom"/>
            <w:gridSpan w:val="3"/>
          </w:tcPr>
          <w:p>
            <w:pPr>
              <w:spacing w:after="0"/>
              <w:rPr>
                <w:sz w:val="3"/>
                <w:szCs w:val="3"/>
                <w:color w:val="auto"/>
              </w:rPr>
            </w:pPr>
          </w:p>
        </w:tc>
        <w:tc>
          <w:tcPr>
            <w:tcW w:w="800" w:type="dxa"/>
            <w:vAlign w:val="bottom"/>
            <w:tcBorders>
              <w:top w:val="single" w:sz="8" w:color="auto"/>
            </w:tcBorders>
            <w:gridSpan w:val="4"/>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Borders>
              <w:top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800" w:type="dxa"/>
            <w:vAlign w:val="bottom"/>
            <w:tcBorders>
              <w:top w:val="single" w:sz="8" w:color="auto"/>
            </w:tcBorders>
            <w:gridSpan w:val="4"/>
          </w:tcPr>
          <w:p>
            <w:pPr>
              <w:spacing w:after="0"/>
              <w:rPr>
                <w:sz w:val="3"/>
                <w:szCs w:val="3"/>
                <w:color w:val="auto"/>
              </w:rPr>
            </w:pPr>
          </w:p>
        </w:tc>
        <w:tc>
          <w:tcPr>
            <w:tcW w:w="100" w:type="dxa"/>
            <w:vAlign w:val="bottom"/>
            <w:gridSpan w:val="2"/>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158,028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259,653</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144,919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66,751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51,603</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680,954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 xml:space="preserve">Net Dollar and % Change </w:t>
            </w:r>
            <w:r>
              <w:rPr>
                <w:rFonts w:ascii="Times New Roman" w:cs="Times New Roman" w:eastAsia="Times New Roman" w:hAnsi="Times New Roman"/>
                <w:sz w:val="16"/>
                <w:szCs w:val="16"/>
                <w:b w:val="1"/>
                <w:bCs w:val="1"/>
                <w:color w:val="auto"/>
                <w:w w:val="96"/>
                <w:vertAlign w:val="superscript"/>
              </w:rPr>
              <w:t>(1)</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High School</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7"/>
              </w:rPr>
              <w:t>Percent Change</w:t>
            </w:r>
          </w:p>
        </w:tc>
        <w:tc>
          <w:tcPr>
            <w:tcW w:w="7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Live Events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Park and</w:t>
            </w:r>
          </w:p>
        </w:tc>
        <w:tc>
          <w:tcPr>
            <w:tcW w:w="7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7"/>
              </w:rPr>
              <w:t>Percent Change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Percent Change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Commercial</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 xml:space="preserve">Percent Change </w:t>
            </w:r>
            <w:r>
              <w:rPr>
                <w:rFonts w:ascii="Times New Roman" w:cs="Times New Roman" w:eastAsia="Times New Roman" w:hAnsi="Times New Roman"/>
                <w:sz w:val="11"/>
                <w:szCs w:val="11"/>
                <w:b w:val="1"/>
                <w:bCs w:val="1"/>
                <w:color w:val="auto"/>
                <w:w w:val="94"/>
                <w:vertAlign w:val="superscript"/>
              </w:rPr>
              <w:t>(1)</w:t>
            </w: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Recreation</w:t>
            </w: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jc w:val="right"/>
              <w:ind w:right="86"/>
              <w:spacing w:after="0"/>
              <w:rPr>
                <w:sz w:val="20"/>
                <w:szCs w:val="20"/>
                <w:color w:val="auto"/>
              </w:rPr>
            </w:pPr>
            <w:r>
              <w:rPr>
                <w:rFonts w:ascii="Times New Roman" w:cs="Times New Roman" w:eastAsia="Times New Roman" w:hAnsi="Times New Roman"/>
                <w:sz w:val="8"/>
                <w:szCs w:val="8"/>
                <w:b w:val="1"/>
                <w:bCs w:val="1"/>
                <w:color w:val="auto"/>
                <w:w w:val="99"/>
              </w:rPr>
              <w:t>Transportation</w:t>
            </w: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restart"/>
          </w:tcPr>
          <w:p>
            <w:pPr>
              <w:jc w:val="right"/>
              <w:ind w:right="86"/>
              <w:spacing w:after="0"/>
              <w:rPr>
                <w:sz w:val="20"/>
                <w:szCs w:val="20"/>
                <w:color w:val="auto"/>
              </w:rPr>
            </w:pPr>
            <w:r>
              <w:rPr>
                <w:rFonts w:ascii="Times New Roman" w:cs="Times New Roman" w:eastAsia="Times New Roman" w:hAnsi="Times New Roman"/>
                <w:sz w:val="9"/>
                <w:szCs w:val="9"/>
                <w:b w:val="1"/>
                <w:bCs w:val="1"/>
                <w:color w:val="auto"/>
                <w:w w:val="97"/>
              </w:rPr>
              <w:t>International</w:t>
            </w:r>
          </w:p>
        </w:tc>
        <w:tc>
          <w:tcPr>
            <w:tcW w:w="4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7"/>
              </w:rPr>
              <w:t xml:space="preserve">Percent Change </w:t>
            </w:r>
            <w:r>
              <w:rPr>
                <w:rFonts w:ascii="Times New Roman" w:cs="Times New Roman" w:eastAsia="Times New Roman" w:hAnsi="Times New Roman"/>
                <w:sz w:val="11"/>
                <w:szCs w:val="11"/>
                <w:b w:val="1"/>
                <w:bCs w:val="1"/>
                <w:color w:val="auto"/>
                <w:w w:val="97"/>
                <w:vertAlign w:val="superscript"/>
              </w:rPr>
              <w:t>(1)</w:t>
            </w: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 xml:space="preserve">Percent Change </w:t>
            </w:r>
            <w:r>
              <w:rPr>
                <w:rFonts w:ascii="Times New Roman" w:cs="Times New Roman" w:eastAsia="Times New Roman" w:hAnsi="Times New Roman"/>
                <w:sz w:val="11"/>
                <w:szCs w:val="11"/>
                <w:b w:val="1"/>
                <w:bCs w:val="1"/>
                <w:color w:val="auto"/>
                <w:w w:val="97"/>
                <w:vertAlign w:val="superscript"/>
              </w:rPr>
              <w:t>(1)</w:t>
            </w: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6"/>
                <w:szCs w:val="6"/>
                <w:b w:val="1"/>
                <w:bCs w:val="1"/>
                <w:color w:val="auto"/>
              </w:rPr>
              <w:t>(1)</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(1)</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6"/>
                <w:szCs w:val="6"/>
                <w:b w:val="1"/>
                <w:bCs w:val="1"/>
                <w:color w:val="auto"/>
              </w:rPr>
              <w:t>(1)</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gridSpan w:val="2"/>
            <w:vMerge w:val="continue"/>
          </w:tcPr>
          <w:p>
            <w:pPr>
              <w:spacing w:after="0"/>
              <w:rPr>
                <w:sz w:val="10"/>
                <w:szCs w:val="10"/>
                <w:color w:val="auto"/>
              </w:rPr>
            </w:pPr>
          </w:p>
        </w:tc>
        <w:tc>
          <w:tcPr>
            <w:tcW w:w="20" w:type="dxa"/>
            <w:vAlign w:val="bottom"/>
            <w:tcBorders>
              <w:bottom w:val="single" w:sz="8" w:color="auto"/>
            </w:tcBorders>
            <w:vMerge w:val="continue"/>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24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(5.3)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53,608</w:t>
            </w:r>
          </w:p>
        </w:tc>
        <w:tc>
          <w:tcPr>
            <w:tcW w:w="820" w:type="dxa"/>
            <w:vAlign w:val="bottom"/>
            <w:tcBorders>
              <w:bottom w:val="single" w:sz="8" w:color="CCEEFF"/>
            </w:tcBorders>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18.8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28,601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13,084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18.1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(22,442)</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(26.5)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63,887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8.5</w:t>
            </w:r>
          </w:p>
        </w:tc>
        <w:tc>
          <w:tcPr>
            <w:tcW w:w="0" w:type="dxa"/>
            <w:vAlign w:val="bottom"/>
          </w:tcPr>
          <w:p>
            <w:pPr>
              <w:spacing w:after="0"/>
              <w:rPr>
                <w:sz w:val="1"/>
                <w:szCs w:val="1"/>
                <w:color w:val="auto"/>
              </w:rPr>
            </w:pPr>
          </w:p>
        </w:tc>
      </w:tr>
      <w:tr>
        <w:trPr>
          <w:trHeight w:val="154"/>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 of sales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6,879</w:t>
            </w:r>
          </w:p>
        </w:tc>
        <w:tc>
          <w:tcPr>
            <w:tcW w:w="82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(21,308)</w:t>
            </w:r>
          </w:p>
        </w:tc>
        <w:tc>
          <w:tcPr>
            <w:tcW w:w="40" w:type="dxa"/>
            <w:vAlign w:val="bottom"/>
          </w:tcPr>
          <w:p>
            <w:pPr>
              <w:spacing w:after="0"/>
              <w:rPr>
                <w:sz w:val="13"/>
                <w:szCs w:val="13"/>
                <w:color w:val="auto"/>
              </w:rPr>
            </w:pPr>
          </w:p>
        </w:tc>
        <w:tc>
          <w:tcPr>
            <w:tcW w:w="80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(28.5)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35"/>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3,078</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9.9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46,729</w:t>
            </w:r>
          </w:p>
        </w:tc>
        <w:tc>
          <w:tcPr>
            <w:tcW w:w="820" w:type="dxa"/>
            <w:vAlign w:val="bottom"/>
            <w:tcBorders>
              <w:bottom w:val="single" w:sz="8" w:color="CCEEFF"/>
            </w:tcBorders>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94.9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16,219</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39.4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6,196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31.3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(1,134)</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71,088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47.0</w:t>
            </w:r>
          </w:p>
        </w:tc>
        <w:tc>
          <w:tcPr>
            <w:tcW w:w="0" w:type="dxa"/>
            <w:vAlign w:val="bottom"/>
          </w:tcPr>
          <w:p>
            <w:pPr>
              <w:spacing w:after="0"/>
              <w:rPr>
                <w:sz w:val="1"/>
                <w:szCs w:val="1"/>
                <w:color w:val="auto"/>
              </w:rPr>
            </w:pPr>
          </w:p>
        </w:tc>
      </w:tr>
      <w:tr>
        <w:trPr>
          <w:trHeight w:val="154"/>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751</w:t>
            </w:r>
          </w:p>
        </w:tc>
        <w:tc>
          <w:tcPr>
            <w:tcW w:w="820" w:type="dxa"/>
            <w:vAlign w:val="bottom"/>
            <w:gridSpan w:val="4"/>
          </w:tcPr>
          <w:p>
            <w:pPr>
              <w:jc w:val="right"/>
              <w:ind w:right="89"/>
              <w:spacing w:after="0"/>
              <w:rPr>
                <w:sz w:val="20"/>
                <w:szCs w:val="20"/>
                <w:color w:val="auto"/>
              </w:rPr>
            </w:pPr>
            <w:r>
              <w:rPr>
                <w:rFonts w:ascii="Times New Roman" w:cs="Times New Roman" w:eastAsia="Times New Roman" w:hAnsi="Times New Roman"/>
                <w:sz w:val="11"/>
                <w:szCs w:val="11"/>
                <w:color w:val="auto"/>
              </w:rPr>
              <w:t>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(1,701)</w:t>
            </w:r>
          </w:p>
        </w:tc>
        <w:tc>
          <w:tcPr>
            <w:tcW w:w="40" w:type="dxa"/>
            <w:vAlign w:val="bottom"/>
          </w:tcPr>
          <w:p>
            <w:pPr>
              <w:spacing w:after="0"/>
              <w:rPr>
                <w:sz w:val="13"/>
                <w:szCs w:val="13"/>
                <w:color w:val="auto"/>
              </w:rPr>
            </w:pPr>
          </w:p>
        </w:tc>
        <w:tc>
          <w:tcPr>
            <w:tcW w:w="80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(14.4)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35"/>
        </w:trPr>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2,783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45,978</w:t>
            </w:r>
          </w:p>
        </w:tc>
        <w:tc>
          <w:tcPr>
            <w:tcW w:w="820" w:type="dxa"/>
            <w:vAlign w:val="bottom"/>
            <w:tcBorders>
              <w:bottom w:val="single" w:sz="8" w:color="CCEEFF"/>
            </w:tcBorders>
            <w:gridSpan w:val="4"/>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rPr>
              <w:t>117.8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15,467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56.0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5,993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37.7</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(30.5)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70,789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74.8</w:t>
            </w:r>
          </w:p>
        </w:tc>
        <w:tc>
          <w:tcPr>
            <w:tcW w:w="0" w:type="dxa"/>
            <w:vAlign w:val="bottom"/>
          </w:tcPr>
          <w:p>
            <w:pPr>
              <w:spacing w:after="0"/>
              <w:rPr>
                <w:sz w:val="1"/>
                <w:szCs w:val="1"/>
                <w:color w:val="auto"/>
              </w:rPr>
            </w:pPr>
          </w:p>
        </w:tc>
      </w:tr>
      <w:tr>
        <w:trPr>
          <w:trHeight w:val="14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3,885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 impairment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(2,281)</w:t>
            </w:r>
          </w:p>
        </w:tc>
        <w:tc>
          <w:tcPr>
            <w:tcW w:w="820" w:type="dxa"/>
            <w:vAlign w:val="bottom"/>
            <w:tcBorders>
              <w:bottom w:val="single" w:sz="8" w:color="CCEEFF"/>
            </w:tcBorders>
            <w:gridSpan w:val="4"/>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(100.0)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(2,295)</w:t>
            </w:r>
          </w:p>
        </w:tc>
        <w:tc>
          <w:tcPr>
            <w:tcW w:w="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48"/>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Product design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4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5,752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development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7"/>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2,783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48,259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131.4 %</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15,467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56.0 %</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5,993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37.7 %</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2,862</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65,727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307.3 %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180" w:type="dxa"/>
            <w:vAlign w:val="bottom"/>
            <w:gridSpan w:val="2"/>
          </w:tcPr>
          <w:p>
            <w:pPr>
              <w:spacing w:after="0"/>
              <w:rPr>
                <w:sz w:val="9"/>
                <w:szCs w:val="9"/>
                <w:color w:val="auto"/>
              </w:rPr>
            </w:pPr>
          </w:p>
        </w:tc>
        <w:tc>
          <w:tcPr>
            <w:tcW w:w="780" w:type="dxa"/>
            <w:vAlign w:val="bottom"/>
            <w:tcBorders>
              <w:top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76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720" w:type="dxa"/>
            <w:vAlign w:val="bottom"/>
            <w:tcBorders>
              <w:top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800" w:type="dxa"/>
            <w:vAlign w:val="bottom"/>
            <w:tcBorders>
              <w:top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80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700" w:type="dxa"/>
            <w:vAlign w:val="bottom"/>
            <w:tcBorders>
              <w:top w:val="single" w:sz="8" w:color="auto"/>
            </w:tcBorders>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780" w:type="dxa"/>
            <w:vAlign w:val="bottom"/>
            <w:tcBorders>
              <w:top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74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780" w:type="dxa"/>
            <w:vAlign w:val="bottom"/>
            <w:tcBorders>
              <w:top w:val="single" w:sz="8" w:color="auto"/>
            </w:tcBorders>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740" w:type="dxa"/>
            <w:vAlign w:val="bottom"/>
            <w:tcBorders>
              <w:top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Orders</w:t>
            </w:r>
          </w:p>
        </w:tc>
        <w:tc>
          <w:tcPr>
            <w:tcW w:w="2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(22,776)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61,538</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3,585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13,356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20.0 %</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6.8 %</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59,217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8.7 %</w:t>
            </w:r>
          </w:p>
        </w:tc>
        <w:tc>
          <w:tcPr>
            <w:tcW w:w="0" w:type="dxa"/>
            <w:vAlign w:val="bottom"/>
          </w:tcPr>
          <w:p>
            <w:pPr>
              <w:spacing w:after="0"/>
              <w:rPr>
                <w:sz w:val="1"/>
                <w:szCs w:val="1"/>
                <w:color w:val="auto"/>
              </w:rPr>
            </w:pPr>
          </w:p>
        </w:tc>
      </w:tr>
      <w:tr>
        <w:trPr>
          <w:trHeight w:val="35"/>
        </w:trPr>
        <w:tc>
          <w:tcPr>
            <w:tcW w:w="11240" w:type="dxa"/>
            <w:vAlign w:val="bottom"/>
            <w:gridSpan w:val="57"/>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1) Amounts are calculated based on unrounded numbers and therefore may not recalculate using the rounded numbers provided. 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segments' improved contribution margin is mostly attributable to improved gross profit as a percentage of sales. Gross profit improved due to past strategic pricing actions, stabilization of input costs, and the record sales volume over our fixed manufacturing cost structure aided by fewer supply chain and operational disruptions during fiscal 2024 as compared to fiscal 2023. Fewer supply chain and operational disruptions paired with our investments to increase capacity allowed for improved operational efficiency and fulfillment of beginning year backlog and new orders to result in increased sales. During fiscal year 2024, we returned to market expected lead times. We regularly adjust our sales and marketing activities and staffing levels to achieve current and expected future sales levels.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years ended April 27, 2024 and April 29, 2023, our operating income was positively impacted by a net amount of 1.0% and 0.3% of overtime revenue or $4.1 million and $1.2 million, respectively, as a result of changes in contract estimates related to projects in progress at the beginning of the respective period. These changes in estimates resulted primarily from favorable project execution of 1.5% of overtime revenue or $6.5 million, reduced cost estimates and contingencies that were relieved when conditions were resolved. Gross unfavorable changes in contract estimates were 0.6% of overtime revenue or $2.4 million and immaterial for the years ended April 27, 2024 and April 29, 2023, respectively. Live Events business unit had the largest dollar impact of $4.5 million and $0.9 million gross negative impacts, there were 1.7% and 0.3% of overtime revenue sales in Live Events. The remaining business units had immaterial gross positive and gross negative changes. See "Note 1. Nature of Business and Summary of Significant Accounting Policies" for more information regarding revenue recognition.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decrease in net sales and orders was driven by volatility in order bookings of larger sized Spectacular LED video displays projects,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fewer projects in the market as compared to prior years, and a contraction in digital billboards deployed by our OOH customers. Gross profit as a percentage of sales improved 2.9 points for the factors noted above. Selling expenses remained relatively flat in dollars and increased as a percentage of sales because of the change in sales volume.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was driven by fulfilling pent-up order backlog and returning to market acceptable lead times for new order bookings.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bookings increased because of an active market of upgrades in sports-related facilities, primarily in colleges and universities. Gross profit as a percentage of sales improved a total of 11.1 points primarily due to the pricing strategies and volume increases attributable to the stabilization factors cited above and the net favorable estimate changes for overtime revenue recognition of 1.1 points, offset by a 1.0 points or $3.3 million warranty charge to resolve a discrete product issue. Selling expenses increased primarily for personnel related costs yet declined as a percent of sales. In fiscal 2023, we recorded a goodwill impairment of $2.3 million impacting operating income, with no such impact in fiscal 2024.</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was driven by fulfilling pent-up orders in backlog and similar market demand for video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 High Schools. Video projects are a larger dollar-sized transaction than traditional scoreboard products. Segment contribution margin profitability was primarily driven by the gross profit factors described above, offset by selling expense increases for personnel-related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was driven by fulfilling orders in backlog and continued buildable order bookings, especially in large intelligent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system projects. Gross profit as a percentage of sales increased 3.1 points primarily for strategic pricing actions. Selling expense increases were for personnel-related expenses. Segment contribution margin improvements were primarily driven by gross profit factors described above, offset by $1.7 million warranty charges to resolve a discrete product issue.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decrease in net sales was driven by lower backlog and lower orders. Global geopolitical events have driven down the amount of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for digital display systems and large-sized projects causing the decrease in orders. Gross margin increased 2.4 points primarily due to strategic pricing actions. Even with efforts to lower selling and other operational costs, International operated at a negative $1.3 million contribution margin. In fiscal 2023, we recorded a goodwill impairment of $2.3 million impacting operating income, with no such impact in fiscal 2024.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48,217</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The $63.2 million in cash provided by operating activities was the result of improved profitability offset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growth in operating assets and liabilities. Increases in contract assets, accounts receivable and decreases in customer deposits and contract liabilities use of cash were offset by reductions in inventory.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During fiscal 2024, purchases of property and equipment totaled $17.0 million and investments in and advances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were $5.1 million. This compared to $25.4 million and $4.3 million in fiscal 2023, respectively. Fiscal 2023 purchases were higher because of initiatives to upgrade existing or purchase new manufacturing equipment for capacity and automation.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during fiscal 2024 resulted from closing on a $25.0 million Convertible Note financing and the $15.0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financing to add liquidity to the Company. These inflows were offset by the payoff of our previous credit line of $17.8 million, expending $7.2 million of debt issuance costs, and principal payments made on the mortgage.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Cash</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the $60.0 million ABL maturing on May 11, 2027 subject to customary covenants and conditions. As of April 27, 2024, our total borrowing capacity was $39.5 million, there were no borrowings outstanding, and there was $5.3 million used to secure letters of credit outstanding, leaving $34.2 million available to borrow. The Credit Facility is secured by first priority lien on the Company's assets and is subject to certain factors that can impact our borrowing capacity. We have a mortgage of $13.9 million secured by a first priority lien on our Brookings, South Dakota real estate and matures on May 11, 2026. We also have a convertible note in the original principal amount of $25.0 million due May 11, 2027 (the "Convertible Note") is secured by a second priority lien on assets securing the ABL facility and a first priority lien on substantially all the other assets of the Company, excluding all real property. On May 11, 2023, the Company paid all amounts outstanding on the prior credit agreement, and this prior credit agreement was terminated as of that date. No gain or loss was recognized upon termination, and the Company incurred no early termination penalties in connection with such termination.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April 27, 2024, we had $81.3 million in cash and cash equivalents and $34.2 million in borrowing capacity under our ABL. We believe cash flow from operations, existing lines of credit, and access to debt and capital markets will be sufficient to meet our current liquidity needs, and we have committed liquidity and cash reserves in excess of our anticipated funding requirements. The Credit Agreement, Mortgage, and the Convertible Note require a fixed charge coverage ratio of greater than 1.1 and include other customary non-financial covenants. As of April 27, 2024, we were in compliance with our financial covenants under the Credit Agreement and the Convertible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equivalent balances consist of high-quality, short-term money market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financing agreements, see "Note 7. Financing Agreements"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Working capital was $209.7 million and $132.5 million as of April 27, 2024 and April 29, 2023, respectively. The changes in working capital, particularly changes in inventory, accounts payable, accounts receivable, and contract assets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liabilities, are impacted by the sports market and construction seasonality. These changes can have a significant impact on the amount of net cash provided by or used in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 flows.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$14.5 million of retainage on long-term contracts included in receivables and contract assets as of April 27, 2024, which we expect to collect within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and Capital Uses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capital allocation strategy is to first fund operations and investments in growth, maintain a reasonable liquidity and leverage ratio that reflects a prudent and compliant capital structure in light of the cyclically of business, reduce debt, and then return excess cash over time to shareholders through dividends and share repurchases. During fiscal year 2024, we did not repurchase shares of common stock, and we did not pay a dividend.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capital expenditures to be approximately $27 million for fiscal 2025.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In addition to capital expenditures, we plan to make additional investments in our general and administration expenses to execute our broad digital transformation strategies to modernize our service systems for field service automation, to advance our enterprise performance planning capabilities, and to improve and automate quoting and sales processes. We also evaluate and may make strategic investments in new technologies or in our affiliates or acquire companies aligned with our business strategy. We are committed to invest an additional $0.5 million in fiscal 2025 in our current affiliates. We may make additional investments beyond our commitments.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an aggregate of $190.0 million bonding line available through surety companies. If we were unable to complete the installation work, and our customer would call upon the bond for payment, the surety company would subrogate its loss to Daktronics. As of April 27, 2024, we had $44.5 million of bonded work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Notes to the Consolidated Financial Statements included in this Form 10-K have been prepared in accordance with accounting principles generally accepted in the United States of America ("GAAP").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of the Notes to our Consolidated Financial Statements included in this Form 10-K, the following discussion is intended to highlight and describe those accounting policies that are especially critical to the preparation of our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a policy that is both very important to the portrayal of a company's financial condition and results and requires management's most difficult, subjective or complex judgments. We regularly review our critical accounting policies and evaluate them based on these factors. We believe the estimation process for uniquely configured contracts and warranties are most material and critical. These areas contain estimates with a reasonable likelihood to change, and those changes could have a material impact on our financial condition and reported results of operations. The estimation processes for these areas are also difficult and subjective and use complex judgments. Our critical accounting estimates are based on historical experience; on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uniquely configured contracts. </w:t>
      </w:r>
      <w:r>
        <w:rPr>
          <w:rFonts w:ascii="Times New Roman" w:cs="Times New Roman" w:eastAsia="Times New Roman" w:hAnsi="Times New Roman"/>
          <w:sz w:val="18"/>
          <w:szCs w:val="18"/>
          <w:color w:val="auto"/>
        </w:rPr>
        <w:t>Revenue for uniquely configured (custom) or integrated systems is recognized over time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cost-to-cost input method by comparing cumulative costs incurred to the total estimated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costs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an accrued liability for warranty obligations equal to our estimate of the actual costs to be incurred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2024 and April 29, 2023, we had approximately $37.9 million and $32.5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16. Commitments and Contingencies" of the Notes to our Consolidated Financial Statements included in this Form 10-K for further information on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affected by factors such as changes in foreign currency rates or weak economic conditions in foreign markets. We derive net sales in United States dollars and other currencies including Canadian dollars, Euros, British pounds, Australian dollars, or other currencies. For fiscal 2024, 9.0 percent of net sales were derived in currencies other than United States dollars. We incur expenses in currencies other than United States dollars relating to specific contracts with customers and for our operations outside the United States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believe currency risk in any foreign location or with respect to specific sales or purchase transaction is significant, we utilize foreign exchange hedging contracts to manage our exposure to the currency fluctuations. There were no foreign currency agreements outstanding as of April 27, 2024. These contracts are marked to market each balance sheet date and are not designated as hedges. See "Note 15. Derivative Financial Instruments" of the Notes to our Consolidated Financial Statements included in this Form 10-K for further details. We estimate that a 10 percent change in all foreign exchange rates would impact our reported income before taxes by approximately $0.5 million. This sensitivity analysis disregards the possibilities that rates can move in opposite directions and that losses from one geographic area may be offset by gains from another geographic area.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United States dollar. To the extent we engage in international sales denominated in United States dollars, an increase in the value of the United States dollar relative to foreign currencies could make our products less competitive in international markets. This effect is also impacted by sources of raw materials from international sources and costs of our sales, service, and manufacturing locations outside the United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$81.3 million in cash balances as of April 27, 2024, $67.8 million were denominated in United States dollars, of which $0.3 million were held by our foreign subsidiaries. As of April 27, 2024, we had an additional $13.5 million in cash balances denominated in foreign currencies, of which $8.0 million was maintained in accounts of our foreign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exposure to market risks relate primarily to changes in interest rates on our financing agreements, cash, and marketable securities. We do not expect our income or cash flows to be significantly impacted by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dependent on basic raw materials, sub-assemblies, components, and other supplies used in our production operations. Our financial results have been and could continue to be affected by changes in the availability, prices, and global tariff regulation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Daktronics,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Daktronics, Inc. and subsidiaries (the "Company") as of April 27, 2024 and April 29, 2023, the related consolidated statements of operations, comprehensive income (loss), shareholders' equity, and cash flows, for each of the three years in the period ended April 27, 2024, and the related notes (collectively referred to as the "financial statements"). In our opinion, the financial statements present fairly, in all material respects, the financial position of the Company as of April 27, 2024 and April 29, 2023, and the results of its operations and its cash flows for each of the three years in the period ended April 27, 2024,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April 27, 2024, based on criteria established in Internal Control — Integrated Framework (2013) issued by the Committee of Sponsoring Organizations of the Treadway Commission and our report dated June 26, 2024,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Uniquely Configured Contracts — Refer to Notes 1 and 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 its contractual performance obligations are satisfied, which may be at a point in time or over time. Certain of the Company’s contracts are for the delivery, installation, and integration of uniquely configured audio-visual communication systems. Revenue for these uniquely configured systems is recognized over time using the cost-to-cost input method. This input method requires management to make estimates of the costs that will ultimately be incurred at the completion of each contract. Revenue is recognized based on the transaction price and the percentage of cost incurred as of the balance sheet date in relation to the total estimated inputs at completion.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revenue associated with uniquely configured contracts as a critical audit matter because of the significant judgments necessary for management to estimate total costs to be incurred to recognize revenue under these contracts. Changes in estimated costs could have a significant impact on the timing and amount of revenue recognized. This required an increased level of auditor judgment due to the complexity of uniquely configured contracts and extent of effort when performing audit procedures to audit management’s estimate of total costs and evaluating the reasonableness of the underlying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estimates of total cost used to recognize revenue for uniquely configured contracts included the following, among others:</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20"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tested the design and operating effectiveness of controls over uniquely configured contracts, including management’s controls over the estimates of total costs.</w:t>
      </w:r>
    </w:p>
    <w:p>
      <w:pPr>
        <w:spacing w:after="0" w:line="194"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selected a sample of uniquely configured contracts and performed the following:</w:t>
      </w:r>
    </w:p>
    <w:p>
      <w:pPr>
        <w:spacing w:after="0" w:line="1" w:lineRule="exact"/>
        <w:rPr>
          <w:rFonts w:ascii="Arial" w:cs="Arial" w:eastAsia="Arial" w:hAnsi="Arial"/>
          <w:sz w:val="22"/>
          <w:szCs w:val="22"/>
          <w:color w:val="auto"/>
        </w:rPr>
      </w:pPr>
    </w:p>
    <w:p>
      <w:pPr>
        <w:ind w:left="1300" w:hanging="644"/>
        <w:spacing w:after="0" w:line="203" w:lineRule="auto"/>
        <w:tabs>
          <w:tab w:leader="none" w:pos="1300" w:val="left"/>
        </w:tabs>
        <w:numPr>
          <w:ilvl w:val="1"/>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Compared costs incurred to date to the costs management estimated to be incurred to date.</w:t>
      </w:r>
    </w:p>
    <w:p>
      <w:pPr>
        <w:spacing w:after="0" w:line="225" w:lineRule="exact"/>
        <w:rPr>
          <w:rFonts w:ascii="Arial" w:cs="Arial" w:eastAsia="Arial" w:hAnsi="Arial"/>
          <w:sz w:val="22"/>
          <w:szCs w:val="22"/>
          <w:color w:val="auto"/>
        </w:rPr>
      </w:pPr>
    </w:p>
    <w:p>
      <w:pPr>
        <w:ind w:left="1300" w:hanging="644"/>
        <w:spacing w:after="0" w:line="220" w:lineRule="auto"/>
        <w:tabs>
          <w:tab w:leader="none" w:pos="1295" w:val="left"/>
        </w:tabs>
        <w:numPr>
          <w:ilvl w:val="1"/>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Evaluated management’s ability to achieve the estimates of total cost by performing corroborating inquiries with the Company’s project managers and engineers, and compared the estimates to management’s work plans, engineering specifications, and supplier contracts.</w:t>
      </w:r>
    </w:p>
    <w:p>
      <w:pPr>
        <w:spacing w:after="0" w:line="207" w:lineRule="exact"/>
        <w:rPr>
          <w:rFonts w:ascii="Arial" w:cs="Arial" w:eastAsia="Arial" w:hAnsi="Arial"/>
          <w:sz w:val="22"/>
          <w:szCs w:val="22"/>
          <w:color w:val="auto"/>
        </w:rPr>
      </w:pPr>
    </w:p>
    <w:p>
      <w:pPr>
        <w:ind w:left="1300" w:hanging="644"/>
        <w:spacing w:after="0"/>
        <w:tabs>
          <w:tab w:leader="none" w:pos="1300" w:val="left"/>
        </w:tabs>
        <w:numPr>
          <w:ilvl w:val="1"/>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Confirmed contractual terms with third parties.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1"/>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Tested the mathematical accuracy of management’s estimate of total costs.</w:t>
      </w:r>
    </w:p>
    <w:p>
      <w:pPr>
        <w:spacing w:after="0" w:line="224" w:lineRule="exact"/>
        <w:rPr>
          <w:rFonts w:ascii="Arial" w:cs="Arial" w:eastAsia="Arial" w:hAnsi="Arial"/>
          <w:sz w:val="22"/>
          <w:szCs w:val="22"/>
          <w:color w:val="auto"/>
        </w:rPr>
      </w:pPr>
    </w:p>
    <w:p>
      <w:pPr>
        <w:ind w:left="660" w:hanging="328"/>
        <w:spacing w:after="0" w:line="220"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evaluated management’s ability to accurately estimate total costs by comparing actual costs to management’s historical estimates for uniquely configured contracts that have been fulfilled.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9" w:lineRule="auto"/>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June 26,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36"/>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342,657</w:t>
            </w:r>
          </w:p>
        </w:tc>
      </w:tr>
      <w:tr>
        <w:trPr>
          <w:trHeight w:val="257"/>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27,928</w:t>
            </w: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024"/>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(continued)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67,522</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91,549</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36,005</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210,163</w:t>
            </w:r>
          </w:p>
        </w:tc>
      </w:tr>
      <w:tr>
        <w:trPr>
          <w:trHeight w:val="257"/>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20,313</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77"/>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81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r>
      <w:tr>
        <w:trPr>
          <w:trHeight w:val="256"/>
        </w:trPr>
        <w:tc>
          <w:tcPr>
            <w:tcW w:w="128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Shares, no par value, authorized 50 shares; no shares issued and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Common stock, no par value, authorized 115,000 shares; 48,121 and 47,396 shares issued as of April 27,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63,023</w:t>
            </w:r>
          </w:p>
        </w:tc>
      </w:tr>
      <w:tr>
        <w:trPr>
          <w:trHeight w:val="234"/>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 and April 29, 2023, respectively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50,259</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r>
      <w:tr>
        <w:trPr>
          <w:trHeight w:val="27"/>
        </w:trPr>
        <w:tc>
          <w:tcPr>
            <w:tcW w:w="8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1,907 shares as of April 27, 2024 and April 29, 2023,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4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527,884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468,104</w:t>
            </w:r>
          </w:p>
        </w:tc>
      </w:tr>
      <w:tr>
        <w:trPr>
          <w:trHeight w:val="27"/>
        </w:trPr>
        <w:tc>
          <w:tcPr>
            <w:tcW w:w="12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494,273</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51,075</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29,013</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112,651</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r>
      <w:tr>
        <w:trPr>
          <w:trHeight w:val="256"/>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56"/>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5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45,326</w:t>
            </w:r>
          </w:p>
        </w:tc>
      </w:tr>
      <w:tr>
        <w:trPr>
          <w:trHeight w:val="277"/>
        </w:trPr>
        <w:tc>
          <w:tcPr>
            <w:tcW w:w="6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DAKTRONICS, INC. AND SUBSIDIARIES CONSOLIDATED STATEMENTS OF COMPREHENSIVE INCOME (LOSS)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56"/>
        </w:trPr>
        <w:tc>
          <w:tcPr>
            <w:tcW w:w="66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900" w:type="dxa"/>
            <w:vAlign w:val="bottom"/>
            <w:gridSpan w:val="4"/>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2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90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980" w:type="dxa"/>
            <w:vAlign w:val="bottom"/>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In</w:t>
            </w: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9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80" w:type="dxa"/>
            <w:vAlign w:val="bottom"/>
            <w:gridSpan w:val="3"/>
          </w:tcPr>
          <w:p>
            <w:pPr>
              <w:jc w:val="right"/>
              <w:ind w:right="1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 Other</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9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8"/>
                <w:szCs w:val="18"/>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May 1, 2021:</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193,554</w:t>
            </w:r>
          </w:p>
        </w:tc>
        <w:tc>
          <w:tcPr>
            <w:tcW w:w="0" w:type="dxa"/>
            <w:vAlign w:val="bottom"/>
          </w:tcPr>
          <w:p>
            <w:pPr>
              <w:spacing w:after="0"/>
              <w:rPr>
                <w:sz w:val="1"/>
                <w:szCs w:val="1"/>
                <w:color w:val="auto"/>
              </w:rPr>
            </w:pPr>
          </w:p>
        </w:tc>
      </w:tr>
      <w:tr>
        <w:trPr>
          <w:trHeight w:val="193"/>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(loss) on available-for-sale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Treasury stock reissued</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purchase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30,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46,733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61,794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48,372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96,608</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191,564</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29,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103,410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200,878</w:t>
            </w:r>
          </w:p>
        </w:tc>
        <w:tc>
          <w:tcPr>
            <w:tcW w:w="0" w:type="dxa"/>
            <w:vAlign w:val="bottom"/>
          </w:tcPr>
          <w:p>
            <w:pPr>
              <w:spacing w:after="0"/>
              <w:rPr>
                <w:sz w:val="1"/>
                <w:szCs w:val="1"/>
                <w:color w:val="auto"/>
              </w:rPr>
            </w:pPr>
          </w:p>
        </w:tc>
      </w:tr>
      <w:tr>
        <w:trPr>
          <w:trHeight w:val="18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34,621</w:t>
            </w:r>
          </w:p>
        </w:tc>
        <w:tc>
          <w:tcPr>
            <w:tcW w:w="100" w:type="dxa"/>
            <w:vAlign w:val="bottom"/>
          </w:tcPr>
          <w:p>
            <w:pPr>
              <w:spacing w:after="0"/>
              <w:rPr>
                <w:sz w:val="16"/>
                <w:szCs w:val="16"/>
                <w:color w:val="auto"/>
              </w:rPr>
            </w:pPr>
          </w:p>
        </w:tc>
        <w:tc>
          <w:tcPr>
            <w:tcW w:w="90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34,621</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Cumulative translation adjustments</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80"/>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gain on available-for-sale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93"/>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Shares withheld for taxes on Restricted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Unit issuances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6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issued upon vesting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savings plan activity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27,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138,031</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238,792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9"/>
        </w:trPr>
        <w:tc>
          <w:tcPr>
            <w:tcW w:w="6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(gain) on sale of property, equipment and other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(recovery) for doubtful accounts,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Debt issuance costs write-off</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w:t>
            </w:r>
          </w:p>
        </w:tc>
      </w:tr>
      <w:tr>
        <w:trPr>
          <w:trHeight w:val="244"/>
        </w:trPr>
        <w:tc>
          <w:tcPr>
            <w:tcW w:w="66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(27,035)</w:t>
            </w:r>
          </w:p>
        </w:tc>
      </w:tr>
      <w:tr>
        <w:trPr>
          <w:trHeight w:val="148"/>
        </w:trPr>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equity and loans to equity investees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r>
      <w:tr>
        <w:trPr>
          <w:trHeight w:val="243"/>
        </w:trPr>
        <w:tc>
          <w:tcPr>
            <w:tcW w:w="66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(31,384)</w:t>
            </w:r>
          </w:p>
        </w:tc>
      </w:tr>
      <w:tr>
        <w:trPr>
          <w:trHeight w:val="148"/>
        </w:trPr>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(46,801)</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long-term obligations</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56"/>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191"/>
        </w:trPr>
        <w:tc>
          <w:tcPr>
            <w:tcW w:w="6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NET INCREASE (DECREASE) IN CASH, CASH EQUIVALENTS AND RESTRICTED</w:t>
            </w:r>
          </w:p>
        </w:tc>
        <w:tc>
          <w:tcPr>
            <w:tcW w:w="16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56,988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6,682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(62,394)</w:t>
            </w:r>
          </w:p>
        </w:tc>
      </w:tr>
      <w:tr>
        <w:trPr>
          <w:trHeight w:val="241"/>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48"/>
        </w:trPr>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80,402</w:t>
            </w:r>
          </w:p>
        </w:tc>
      </w:tr>
      <w:tr>
        <w:trPr>
          <w:trHeight w:val="243"/>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We operate on a 52- or 53-week fiscal year, with our fiscal year ending on the Saturday closest to April 30 of each year. When April 30 falls on a Wednesday, the fiscal year ends on the preceding Saturday. Within each fiscal year, each quarter is comprised of a 13-week periods following the beginning of each fiscal year. In each 53-week year, an additional week is added to the first quarter, and each of the last three quarters is comprised of a 13-week period. The fiscal years ended April 27, 2024, April 29, 2023 and April 30, 2022 contained operating results for 52 weeks.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xml:space="preserve">: The consolidated financial statements include Daktronics, Inc. and its subsidiaries. All intercompany accounts and transactions are eliminated in consolidation. We have a variable interest in a business where we have elected to follow the proportionate consolidation method because certain criteria were met under Accounting Standards Codification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arrangements we concluded were a variable interest entity and accounted for them under the proportionate consolidation method. These arrangements had an aggregate amount of contract assets, contract liabilities and gross profit of $1,955, $38 and $2,761, respectively, as of and for the year ended April 27, 2024. As of April 29, 2023, the aggregate amount of contract assets and gross profit was $5,223 and $2,748,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Investments in affiliates</w:t>
      </w:r>
      <w:r>
        <w:rPr>
          <w:rFonts w:ascii="Times New Roman" w:cs="Times New Roman" w:eastAsia="Times New Roman" w:hAnsi="Times New Roman"/>
          <w:sz w:val="18"/>
          <w:szCs w:val="18"/>
          <w:color w:val="auto"/>
        </w:rPr>
        <w:t>: We consolidate entities in which we have a controlling financial interest by first considering if an entity meets the definition of a variable interest entity ("VIE") for which we are deemed to be the primary beneficiary, or if we have the power to control an entity through a majority of voting interest or through other arrangements.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A VIE is an entity (i) that lacks sufficient equity to finance its activities without additional subordinated financial support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(ii) whose equity holders lack the characteristics of a controlling financial interest; and/or (iii) that is established with non-substantive voting rights. A VIE is consolidated by its primary beneficiary, which is defined as the party who has a controlling financial interest in the VIE through (a) the power to direct the activities of the VIE that most significantly affect the VIE’s economic performance, and (b) the obligation to absorb losses or the right to receive benefits of the VIE that could be significant to the VIE. This assessment may involve subjectivity in the determination of which activities most significantly affect the VIE’s performance and making estimates about the current and future fair value of the assets held by the VIE and the financial performance of the VIE. In assessing the Company's interests in a VIE, we also consider interests held by its related parties, including de facto agents. Additionally, we assess whether it is a member of a related party group that collectively meets the power and benefits criteria and, if so, whether we are most closely associated with the VIE. In performing the related party analysis, we consider both qualitative and quantitative factors including, but not limited to: the characteristics and size of its investment relative to the related party; our and the related party's ability to control or significantly influence key decisions of the VIE, including consideration of involvement by de facto agents; the obligation or likelihood for us or the related party to fund operating losses of the VIE; and the similarity and significance of the VIE’s business activities to those of us and the related party. The determination of whether an entity is a VIE and whether we are the primary beneficiary may involve significant judgment and depends upon facts and circumstances specific to an entity at the time of the assessment.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occurrence of certain events such as changes to the entity's legal formation or equity at risk, we reassess whether changes in facts and circumstances cause a change in the status of an entity as a VIE or voting interest entity, and/or a change in our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us in the entity prior to us obtaining control will be remeasured at fair value, which may result in a gain or loss recognized upon initial consolidation. However, if the consolidation represents an asset acquisition of a voting interest entity, our existing interest in the acquired assets, if any, is not remeasured to fair value but continues to be carried at historical cost. We may also deconsolidate a subsidiary as a result of this reassessment, which may result in a gain or loss recognized upon deconsolidation depending on the carrying values of the deconsolidated assets and liabilities compared to the fair value of any interests retained.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use the equity method to account for investments in companies if our investment provides us with the ability to exercise significant influence over operating and financial policies of the investee. Our consolidated net income includes our Company's proportionate share of the net income or loss of these companies. Our judgment regarding the level of influence over each equity method investee includes considering key factors such as our ownership interest, representation on the board of directors, participation in policy-making decisions, other commercial arrangements and material intercompany transactions. We evaluated the nature of our investment in affiliates of Xdisplay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("XDC"), which is developing micro-LED mass transfer expertise and technologies, and Miortech (dba Etulipa), which is developing low power outdoor electrowetting technology. Our ownership in Miortech was 55.9 percent and in XDC was 16.4 percent as of April 27, 2024. The aggregate amount of our investments accounted for under the equity method was $1,813 and $11,934 as of April 27, 2024 and April 29, 2023, respectively.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determined both entities are a VIE, and based on management's analysis, we determined that Daktronics is not the primary beneficiary because the power criterion was not met; therefore, the investments in Miortech and XDC are accounted for under the equity method. Our consolidated net income includes our Company's proportionate share of the net income or loss of each affiliates. Our proportional share of the respective affiliates' earnings or losses is included in the "Other expense and debt issuance costs write-off, net" line item in our consolidated statements of operations. For the fiscal years 2024, 2023 and 2022, our share of the losses of our affiliates was $3,764, $3,332 and $2,970,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our investments in affiliates for impairment indicators. In fiscal years 2024 and 2023, we concluded there was an other-than-temporary impairment of our investment in Miortech and recorded an impairment loss of $1,392 and $4,473, respectively, to reflect the investment at fair market value (level 3). In fiscal year 2024, we concluded there was other-than-temporary impairment of our investment in XDC and recorded an impairment loss of $4,967, to reflect the investment at fair market value (level 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fiscal years 2024, 2023 and 2022 was $577, $672, and $1,520, respectively, which is included in the "Product design and development" line item in our consolidated statements of operations, and as of April 27, 2024 and April 29, 2023, $146 and $52, respectively, remains unpaid and is included in the "Accounts payable " line item in our consolidated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for equity method investments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4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r>
    </w:tbl>
    <w:p>
      <w:pPr>
        <w:spacing w:after="0" w:line="3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Loans to affiliates. </w:t>
      </w:r>
      <w:r>
        <w:rPr>
          <w:rFonts w:ascii="Times New Roman" w:cs="Times New Roman" w:eastAsia="Times New Roman" w:hAnsi="Times New Roman"/>
          <w:sz w:val="18"/>
          <w:szCs w:val="18"/>
          <w:color w:val="auto"/>
        </w:rPr>
        <w:t>We also have advanced our affiliates convertible and promissory notes (collectively, the "Affiliate Notes"). We advanced $5,050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$4,315 in fiscal 2024 and in fiscal 2023, respectively. The total amount of Affiliate Notes was $14,241 and $8,789 as of April 27, 2024 and April 29, 2023, respectively. The balances of Affiliate Notes are included in the "Investments in affiliates and other assets" line item in our consolidated balance sheets. We evaluate the Affiliate Notes for impairment and credit losses. As of April 27, 2024 and April 29, 2023, no provision for losses were recorded as management's analysis concluded the Affiliate Notes were collectable or realizable based on the rights of these instruments and related valuation of each affiliate.</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Affiliate Notes balance combined with the investment in affiliates balance totaled $16,054 and $20,723 as of April 27, 2024 and April 29, 2023. We are committed to invest an additional $500 in fiscal 2025 in our current affiliates.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("GAAP") requires management to make estimates and assumptions affecting the reported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 in the near-term relate to the determination of the estimated total costs on uniquely configured contracts and estimated costs to be incurred for product warranties, income taxes, and valuation of investment in and advances to affiliates. Estimation processes are also used in inventory valuation and for determining the allowance for credit losses, share-based compensation, goodwill impairment, value of long-term assets, and extended warranty and product maintenance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estimates are reflected in the periods in which they become known.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Restricted cash consists of cash and cash equivalents held in bank deposit accounts to secure certain issuances of foreign bank guarantees.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totals of the same amounts shown in the consolidated statements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$81,299 in cash and cash equivalents balances as of April 27, 2024, $67,830 was denominated in United States dollars, of which $275 was held by our foreign subsidiaries. As of April 27, 2024, we had an additional $13,469 in cash balances denominated in foreign currencies, of which $8,029 was maintained in accounts of our foreign subsidiaries.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 accordance with ASC 330</w:t>
      </w:r>
      <w:r>
        <w:rPr>
          <w:rFonts w:ascii="Times New Roman" w:cs="Times New Roman" w:eastAsia="Times New Roman" w:hAnsi="Times New Roman"/>
          <w:sz w:val="18"/>
          <w:szCs w:val="18"/>
          <w:i w:val="1"/>
          <w:iCs w:val="1"/>
          <w:color w:val="auto"/>
        </w:rPr>
        <w:t>, Inventory,</w:t>
      </w:r>
      <w:r>
        <w:rPr>
          <w:rFonts w:ascii="Times New Roman" w:cs="Times New Roman" w:eastAsia="Times New Roman" w:hAnsi="Times New Roman"/>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are applied to the purchase cost of the raw materials. When we estimate net realizable value to be lower than cost, any necessary adjustments are charged to cost of sales in that period. In determining net realizable value, we review various factors such as current inventory levels, forecasted demand, costs of completion, and technological obsolescence.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Allowance for credit losses:</w:t>
      </w:r>
      <w:r>
        <w:rPr>
          <w:rFonts w:ascii="Times New Roman" w:cs="Times New Roman" w:eastAsia="Times New Roman" w:hAnsi="Times New Roman"/>
          <w:sz w:val="18"/>
          <w:szCs w:val="18"/>
          <w:color w:val="auto"/>
        </w:rPr>
        <w:t xml:space="preserve"> We make estimates regarding the collectability of our accounts receivable, long-term receivables, contract assets and other receivables. In evaluating the adequacy of our allowance for credit losses,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In addition,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an allowance is maintained for estimated forward-looking losses resulting from the possible inability of customers to make required payments (current expected losses). The amount of the allowance is determined principally on the basis of past collection experience and known financial factors regarding specific customers. We charge off receivables at such time it is determined collection will not occur against the allowance for credit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 Our accounting policies and estimates are in accordance with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and are as follows: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$384 and $860 as of April 27, 2024 and April 29, 2023, respectively. These are included in the "Inventories" line item in our consolidated balance sheets.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we identify performance obligations by reviewing the agreement for material distinct goods and services. Goods and services are distinct when the customer can benefit from them on its own and our promises to transfer 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Accounts Receivable, net" for amounts recorded in long-term receivables.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separate performance obligations are identified, we allocate the transaction price to the individual performance obligations based on the best method we judge to be a faithful depiction of the value of each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Estimated contract revenues and costs include management’s latest estimate using significant judgments with respect to the complexity of the scope and duration of a particular contract, project to-date performance and conditions, knowledge of any stated or expected project dispute or other claim, and market conditions for input costs. Unanticipated costs that exceed our original estimates may not be recoverable under fixed price contracts. Changes in costs may occur as a result of several factors including, but not limited to,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Contingencies for unknown or uncertain cost estimates may be utilized based on the complexity of scope and duration of a project and are relieved when conditions resolve. We evaluate changes in estimates on a contract-by-contract basis, and estimates are made when the revisions are probable and reasonably estimable. Provisions of estimated losses on uncompleted contracts are made in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when such losses are capable of being estimated. The cumulative catch-up method is used to account for revisions in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build and installation schedules, and the related timing differences in transfer of control. Balances are also impacted by the seasonality in our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judgments and estimates are used in applying our revenue policies. In order to assure appropriate and consistent revenue recognition, we regularly evaluate available project related information and update estimates accordingly.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performance obligation types include:</w:t>
      </w:r>
    </w:p>
    <w:p>
      <w:pPr>
        <w:spacing w:after="0" w:line="22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Unique configuration contracts</w:t>
      </w:r>
      <w:r>
        <w:rPr>
          <w:rFonts w:ascii="Times New Roman" w:cs="Times New Roman" w:eastAsia="Times New Roman" w:hAnsi="Times New Roman"/>
          <w:sz w:val="18"/>
          <w:szCs w:val="18"/>
          <w:color w:val="auto"/>
        </w:rPr>
        <w:t>: audio-visual communication systems uniquely configured (custom) or integrated for a customer's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Revenue for uniquely configured (custom) or integrated systems is recognized over time using the cost-to-cost input method by comparing cumulative costs incurred to the total estimated costs and applying that percentage of completion to the transaction price to recognize revenue. Over time revenue recognition is appropriate because we have no alternative use for the uniquely configured system and have an enforceable right to payment for work performed, including a reasonable profit margin. The cost-to-cost input method measures costs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time between contract order and project completion is typically less than 12 months but may extend longer depending on the amount of custom work and customers’ delivery needs.</w:t>
      </w:r>
    </w:p>
    <w:p>
      <w:pPr>
        <w:spacing w:after="0" w:line="16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Limited configuration (standard systems) and after-sale parts contracts</w:t>
      </w:r>
      <w:r>
        <w:rPr>
          <w:rFonts w:ascii="Times New Roman" w:cs="Times New Roman" w:eastAsia="Times New Roman" w:hAnsi="Times New Roman"/>
          <w:sz w:val="18"/>
          <w:szCs w:val="18"/>
          <w:color w:val="auto"/>
        </w:rPr>
        <w:t>: Limited configuration (standard systems) or after-sale parts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or no configuration or limited integration are recognized as distinct individual performance obligations when material. When not distinct, we combine into one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obligation the goods and/or services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Revenue is recognized at a point in time when control passes, or over time as services are performed or control passes.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by comparing cumulative costs incurred to the total estimated costs, and applying that percentage of completion to the transaction price to recognize revenue. We believe the cost-to-cost input method is the most faithful depiction of the customer obtaining control and benefits from the work performed.</w:t>
      </w:r>
    </w:p>
    <w:p>
      <w:pPr>
        <w:spacing w:after="0" w:line="19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Services sold on a stand-alone basis or after the initial system sale include performance obligations such as event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room design, on-site training, equipment service, service-type warranties, technical support, software sold as a service, and other immaterial revenue streams. These are contracted with a customer generally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83"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from software license fees on sales, other than uniquely configured type contracts, are recognized when delivery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has occurred. Subscription-based licenses include the right for a customer to use our licenses and receive related support for a specified term, and revenue is recognized pro-rata over the term of the agreement.</w:t>
      </w:r>
    </w:p>
    <w:p>
      <w:pPr>
        <w:spacing w:after="0" w:line="17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Shipping and handling costs collected from our customers in connection with our sales are recorded as a component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sales. We record shipping and handling costs as a component of cost of sales at the time the product is shipped.</w:t>
      </w:r>
    </w:p>
    <w:p>
      <w:pPr>
        <w:spacing w:after="0" w:line="15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types of warranties to include on-site labor, routine maintenance and event support.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property and equipment are stated at cost and depreciated principally on the straight-line method over the following estimated useful lives: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5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lesser of the useful life of the asset or the term of the lease.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we assess long-lived tangible assets and definite-lived intangible assets for impairment whenever events or changes in circumstances indicate the carrying value may not be recoverable.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We account for goodwill and other intangible assets with indefinite lives in accordance with ASC 350</w:t>
      </w:r>
      <w:r>
        <w:rPr>
          <w:rFonts w:ascii="Times New Roman" w:cs="Times New Roman" w:eastAsia="Times New Roman" w:hAnsi="Times New Roman"/>
          <w:sz w:val="18"/>
          <w:szCs w:val="18"/>
          <w:i w:val="1"/>
          <w:iCs w:val="1"/>
          <w:color w:val="auto"/>
        </w:rPr>
        <w:t>, 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w:t>
      </w:r>
      <w:r>
        <w:rPr>
          <w:rFonts w:ascii="Times New Roman" w:cs="Times New Roman" w:eastAsia="Times New Roman" w:hAnsi="Times New Roman"/>
          <w:sz w:val="18"/>
          <w:szCs w:val="18"/>
          <w:color w:val="auto"/>
        </w:rPr>
        <w:t>Under these provisions, goodwill is not amortized but is tested for impairment on at least an annual basis. Impairment testing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more often than annually if an event or circumstance indicates an impairment or a decline in value may have occurred.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qualitative assessment may be used to first determine whether it is "more likely than not" that the fair value of a reporting unit is less its carrying value. Based on this assessment, if it is determined that is more likely than not that impairment has occurred, a quantitative analysis will be performed. The quantitative assessment uses an income approach to estimate the fair value of each reporting unit. The income approach is based on the projected cash flows, which are discounted to their present value using discount rates which consider the timing and risk of the forecasted cash flows. Fair value is estimated using internally developed forecasts and assumptions and takes into account management plans, business trends, and market and economic conditions. If the quantitative assessment of goodwill impairment fails, an impairment loss equal to the amount that a reporting unit's carrying value exceeds its fair value will be recognized.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 xml:space="preserve">: We follow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We account for income taxes in accordance with ASC 740</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likely than not the deferred tax asset will not be realized. We report the net deferred tax asset and liability as a long-term asset or liability. Net deferred assets or liabilities are calculated by combining them based on their jurisdiction.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we operate in multiple income tax jurisdictions both within the United States and internationally, the calculation of tax liabilities involves judgment in estimating the impact of uncertainties in the application of complex tax laws. Resolution of these uncertainties in a manner inconsistent with our expectations could have a material impact on our financial condition and operating results. See "Note 12. Income Taxes" for further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Self-Insurance</w:t>
      </w:r>
      <w:r>
        <w:rPr>
          <w:rFonts w:ascii="Times New Roman" w:cs="Times New Roman" w:eastAsia="Times New Roman" w:hAnsi="Times New Roman"/>
          <w:sz w:val="18"/>
          <w:szCs w:val="18"/>
          <w:color w:val="auto"/>
        </w:rPr>
        <w:t>: Generally, we self-insure a portion of health insurance, product liability claims, and workers' compensation. Under these plans, liabilities are recognized for claims incurred, including those incurred but not reported. We use historical expense trend information and claim information or third-party administrators and actuaries who use historical claims experience and various state statutes to assist in the determination of the accrued liability balance. We self-insure our health insurance benefit and maintain an excess liability insurance policy with outside insurance carriers to minimize the risks related to catastrophic claims in excess $250 per occurrence for health insurance and personal injury matters. Any material change in the aforementioned factors could have an adverse impact on operating results. Balances are included within accrued expenses on the consolidated balance sheets.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Comprehensive income (loss)</w:t>
      </w:r>
      <w:r>
        <w:rPr>
          <w:rFonts w:ascii="Times New Roman" w:cs="Times New Roman" w:eastAsia="Times New Roman" w:hAnsi="Times New Roman"/>
          <w:sz w:val="18"/>
          <w:szCs w:val="18"/>
          <w:color w:val="auto"/>
        </w:rPr>
        <w:t>: We follow the provisions of ASC 220</w:t>
      </w:r>
      <w:r>
        <w:rPr>
          <w:rFonts w:ascii="Times New Roman" w:cs="Times New Roman" w:eastAsia="Times New Roman" w:hAnsi="Times New Roman"/>
          <w:sz w:val="18"/>
          <w:szCs w:val="18"/>
          <w:i w:val="1"/>
          <w:iCs w:val="1"/>
          <w:color w:val="auto"/>
        </w:rPr>
        <w:t>, Reporting Comprehensive Income</w:t>
      </w:r>
      <w:r>
        <w:rPr>
          <w:rFonts w:ascii="Times New Roman" w:cs="Times New Roman" w:eastAsia="Times New Roman" w:hAnsi="Times New Roman"/>
          <w:sz w:val="18"/>
          <w:szCs w:val="18"/>
          <w:color w:val="auto"/>
        </w:rPr>
        <w:t>, which establishes standards for reporting and displaying comprehensive income (loss) and its components, and disclose these components in the consolidated statements of comprehensive income. Comprehensive income (loss) reflects the change in equity of a business enterprise during a period from transactions and other events and circumstances from non-owner sources. For us, comprehensive income (loss) represents net income adjusted for cumulative foreign currency translation adjustments and unrealized gains and losses on available-for-sale securities. The foreign currency translation adjustment included in the comprehensive income (loss) calculation has not been tax affected, as the investments in foreign affiliates are deemed to be permanent.</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Product design and development</w:t>
      </w:r>
      <w:r>
        <w:rPr>
          <w:rFonts w:ascii="Times New Roman" w:cs="Times New Roman" w:eastAsia="Times New Roman" w:hAnsi="Times New Roman"/>
          <w:sz w:val="18"/>
          <w:szCs w:val="18"/>
          <w:color w:val="auto"/>
        </w:rPr>
        <w:t xml:space="preserve">: We follow the provisions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Earnings per share (“EPS”)</w:t>
      </w:r>
      <w:r>
        <w:rPr>
          <w:rFonts w:ascii="Times New Roman" w:cs="Times New Roman" w:eastAsia="Times New Roman" w:hAnsi="Times New Roman"/>
          <w:sz w:val="18"/>
          <w:szCs w:val="18"/>
          <w:color w:val="auto"/>
        </w:rPr>
        <w:t>: We follow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and common share amounts used in the calculation of basic and diluted EPS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2024, April 29, 2023 and April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3"/>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6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00" w:type="dxa"/>
            <w:vAlign w:val="bottom"/>
          </w:tcPr>
          <w:p>
            <w:pPr>
              <w:spacing w:after="0"/>
              <w:rPr>
                <w:sz w:val="21"/>
                <w:szCs w:val="21"/>
                <w:color w:val="auto"/>
              </w:rPr>
            </w:pPr>
          </w:p>
        </w:tc>
      </w:tr>
      <w:tr>
        <w:trPr>
          <w:trHeight w:val="237"/>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00" w:type="dxa"/>
            <w:vAlign w:val="bottom"/>
          </w:tcPr>
          <w:p>
            <w:pPr>
              <w:spacing w:after="0"/>
              <w:rPr>
                <w:sz w:val="23"/>
                <w:szCs w:val="23"/>
                <w:color w:val="auto"/>
              </w:rPr>
            </w:pPr>
          </w:p>
        </w:tc>
      </w:tr>
      <w:tr>
        <w:trPr>
          <w:trHeight w:val="263"/>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3"/>
                <w:szCs w:val="23"/>
                <w:color w:val="auto"/>
              </w:rPr>
            </w:pPr>
          </w:p>
        </w:tc>
      </w:tr>
      <w:tr>
        <w:trPr>
          <w:trHeight w:val="26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2"/>
                <w:szCs w:val="22"/>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r>
      <w:tr>
        <w:trPr>
          <w:trHeight w:val="24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Dilution associated with convertible note</w:t>
            </w:r>
          </w:p>
        </w:tc>
        <w:tc>
          <w:tcPr>
            <w:tcW w:w="1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45,326</w:t>
            </w:r>
          </w:p>
        </w:tc>
        <w:tc>
          <w:tcPr>
            <w:tcW w:w="100" w:type="dxa"/>
            <w:vAlign w:val="bottom"/>
          </w:tcPr>
          <w:p>
            <w:pPr>
              <w:spacing w:after="0"/>
              <w:rPr>
                <w:sz w:val="21"/>
                <w:szCs w:val="21"/>
                <w:color w:val="auto"/>
              </w:rPr>
            </w:pPr>
          </w:p>
        </w:tc>
      </w:tr>
      <w:tr>
        <w:trPr>
          <w:trHeight w:val="270"/>
        </w:trPr>
        <w:tc>
          <w:tcPr>
            <w:tcW w:w="65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88"/>
        </w:trPr>
        <w:tc>
          <w:tcPr>
            <w:tcW w:w="6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4"/>
                <w:szCs w:val="24"/>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Options outstanding to purchase 675, 2,084 and 1,846 shares of common stock with a weighted average exercise price of $10.29, $7.47 and $9.15 for the fiscal years ended April 27, 2024, April 29, 2023 and April 30, 2022, respectively, were not included in the computation of diluted EPS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27, 2024, shares of common stock issuable upon conversion of the secured convertible note in the original principal amount of $25,000 due on May 11, 2027 (the "Convertible Note") were not included in the computation of diluted EPS, as the effect would be anti-dilutive. For the fiscal year ended April 27, 2024, 3,915 potential common shares related to the Convertible Note were excluded from the calculation of diluted EPS.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Share-based compensation</w:t>
      </w:r>
      <w:r>
        <w:rPr>
          <w:rFonts w:ascii="Times New Roman" w:cs="Times New Roman" w:eastAsia="Times New Roman" w:hAnsi="Times New Roman"/>
          <w:sz w:val="18"/>
          <w:szCs w:val="18"/>
          <w:color w:val="auto"/>
        </w:rPr>
        <w:t>: We account for share-based compensation in accordance with ASC 718</w:t>
      </w:r>
      <w:r>
        <w:rPr>
          <w:rFonts w:ascii="Times New Roman" w:cs="Times New Roman" w:eastAsia="Times New Roman" w:hAnsi="Times New Roman"/>
          <w:sz w:val="18"/>
          <w:szCs w:val="18"/>
          <w:i w:val="1"/>
          <w:iCs w:val="1"/>
          <w:color w:val="auto"/>
        </w:rPr>
        <w:t>, Compensation-Stock Compensation.</w:t>
      </w:r>
      <w:r>
        <w:rPr>
          <w:rFonts w:ascii="Times New Roman" w:cs="Times New Roman" w:eastAsia="Times New Roman" w:hAnsi="Times New Roman"/>
          <w:sz w:val="18"/>
          <w:szCs w:val="18"/>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10. Shareholders' Equity and Share-Based Compensation" for additional information and the assumptions we use to calculate the fair value of share-based employee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(the "FASB") issued Accounting Standards Update ("ASU") 2020-06, </w:t>
      </w:r>
      <w:r>
        <w:rPr>
          <w:rFonts w:ascii="Times New Roman" w:cs="Times New Roman" w:eastAsia="Times New Roman" w:hAnsi="Times New Roman"/>
          <w:sz w:val="18"/>
          <w:szCs w:val="18"/>
          <w:i w:val="1"/>
          <w:iCs w:val="1"/>
          <w:color w:val="auto"/>
        </w:rPr>
        <w:t>Debt - 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(Subtopic 470- 20) and 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ASU 2020-06 simplified the accounting for certain financial</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instruments with characteristics of liabilities and equity. ASU 2020-06 (1) simplified the accounting for convertible debt instruments and convertible preferred stock by removing the existing guidance in ASC 470-20, </w:t>
      </w:r>
      <w:r>
        <w:rPr>
          <w:rFonts w:ascii="Times New Roman" w:cs="Times New Roman" w:eastAsia="Times New Roman" w:hAnsi="Times New Roman"/>
          <w:sz w:val="18"/>
          <w:szCs w:val="18"/>
          <w:i w:val="1"/>
          <w:iCs w:val="1"/>
          <w:color w:val="auto"/>
        </w:rPr>
        <w:t>Debt: Debt with Conversion and Other Options</w:t>
      </w:r>
      <w:r>
        <w:rPr>
          <w:rFonts w:ascii="Times New Roman" w:cs="Times New Roman" w:eastAsia="Times New Roman" w:hAnsi="Times New Roman"/>
          <w:sz w:val="18"/>
          <w:szCs w:val="18"/>
          <w:color w:val="auto"/>
        </w:rPr>
        <w:t>, that required entities to account for beneficial conversion features and cash conversion features in equity separately from the host convertible debt or preferred stock; (2) revised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revised the guidance in ASC 260, Earnings Per Share, to require entities to calculate diluted EPS for convertible instruments by using the if-converted method. In addition, entities must presume share settlement for purposes of calculating diluted EPS when an instrument may be settled in cash or shares. For SEC filers, excluding smaller reporting companies, ASU 2020-06 was effective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fiscal years beginning after December 15, 2021, including interim periods within those fiscal years. Early adoption was permitted, but no earlier than fiscal years beginning after December 15, 2020. For all other entities, ASU 2020-06 was effective for fiscal years beginning after December 15, 2023, including interim periods within those fiscal years. In the first quarter of fiscal 2024, we adopted ASU 2020-06 with no material impact to the consolidated financial statements. On May 11, 2023, we borrowed $25,000 in aggregate principal amount evidenced by the secured Convertible Note due May 11, 2027. See "Note 7. Financing Agreements" for further information on the Convertible Note.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requires enhanced disclosures about significant segment expenses. The Company is required to adopt ASU 2023-07 for its annual reporting in fiscal year 2025 and for interim period reporting beginning in the first quarter of fiscal year 2026 on a retrospective basis. Early adoption is permitted. We are currently evaluating the impact of ASU 2023-07 on our segment disclosures.</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the disclosure of specified additional information in its income tax rate reconciliation and to provide additional information for reconciling items that meet a quantitative threshold. ASU 2023-09 will also require disaggregation of income taxes paid disclosure by federal, state and foreign taxes, with further disaggregation required for significant individual jurisdictions. The Company is required to adopt this guidance for its annual reporting in fiscal year 2026 on a prospective basis. Early adoption and retroactive application are permitted. We are currently evaluating the impact of ASU 2023-09 on our income tax disclosures.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422,621</w:t>
            </w:r>
          </w:p>
        </w:tc>
        <w:tc>
          <w:tcPr>
            <w:tcW w:w="0" w:type="dxa"/>
            <w:vAlign w:val="bottom"/>
          </w:tcPr>
          <w:p>
            <w:pPr>
              <w:spacing w:after="0"/>
              <w:rPr>
                <w:sz w:val="1"/>
                <w:szCs w:val="1"/>
                <w:color w:val="auto"/>
              </w:rPr>
            </w:pPr>
          </w:p>
        </w:tc>
      </w:tr>
      <w:tr>
        <w:trPr>
          <w:trHeight w:val="277"/>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109,458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327,453</w:t>
            </w:r>
          </w:p>
        </w:tc>
        <w:tc>
          <w:tcPr>
            <w:tcW w:w="0" w:type="dxa"/>
            <w:vAlign w:val="bottom"/>
          </w:tcPr>
          <w:p>
            <w:pPr>
              <w:spacing w:after="0"/>
              <w:rPr>
                <w:sz w:val="1"/>
                <w:szCs w:val="1"/>
                <w:color w:val="auto"/>
              </w:rPr>
            </w:pPr>
          </w:p>
        </w:tc>
      </w:tr>
      <w:tr>
        <w:trPr>
          <w:trHeight w:val="263"/>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68,009</w:t>
            </w:r>
          </w:p>
        </w:tc>
        <w:tc>
          <w:tcPr>
            <w:tcW w:w="0" w:type="dxa"/>
            <w:vAlign w:val="bottom"/>
          </w:tcPr>
          <w:p>
            <w:pPr>
              <w:spacing w:after="0"/>
              <w:rPr>
                <w:sz w:val="1"/>
                <w:szCs w:val="1"/>
                <w:color w:val="auto"/>
              </w:rPr>
            </w:pPr>
          </w:p>
        </w:tc>
      </w:tr>
      <w:tr>
        <w:trPr>
          <w:trHeight w:val="275"/>
        </w:trPr>
        <w:tc>
          <w:tcPr>
            <w:tcW w:w="2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343,825</w:t>
            </w:r>
          </w:p>
        </w:tc>
        <w:tc>
          <w:tcPr>
            <w:tcW w:w="0" w:type="dxa"/>
            <w:vAlign w:val="bottom"/>
          </w:tcPr>
          <w:p>
            <w:pPr>
              <w:spacing w:after="0"/>
              <w:rPr>
                <w:sz w:val="1"/>
                <w:szCs w:val="1"/>
                <w:color w:val="auto"/>
              </w:rPr>
            </w:pPr>
          </w:p>
        </w:tc>
      </w:tr>
      <w:tr>
        <w:trPr>
          <w:trHeight w:val="225"/>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289,609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474,258</w:t>
            </w:r>
          </w:p>
        </w:tc>
        <w:tc>
          <w:tcPr>
            <w:tcW w:w="0" w:type="dxa"/>
            <w:vAlign w:val="bottom"/>
          </w:tcPr>
          <w:p>
            <w:pPr>
              <w:spacing w:after="0"/>
              <w:rPr>
                <w:sz w:val="1"/>
                <w:szCs w:val="1"/>
                <w:color w:val="auto"/>
              </w:rPr>
            </w:pPr>
          </w:p>
        </w:tc>
      </w:tr>
      <w:tr>
        <w:trPr>
          <w:trHeight w:val="275"/>
        </w:trPr>
        <w:tc>
          <w:tcPr>
            <w:tcW w:w="2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Fiscal Year 2023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Live Events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Transportation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223,560</w:t>
            </w: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45,286</w:t>
            </w: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0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351,020</w:t>
            </w:r>
          </w:p>
        </w:tc>
        <w:tc>
          <w:tcPr>
            <w:tcW w:w="0" w:type="dxa"/>
            <w:vAlign w:val="bottom"/>
          </w:tcPr>
          <w:p>
            <w:pPr>
              <w:spacing w:after="0"/>
              <w:rPr>
                <w:sz w:val="1"/>
                <w:szCs w:val="1"/>
                <w:color w:val="auto"/>
              </w:rPr>
            </w:pPr>
          </w:p>
        </w:tc>
      </w:tr>
      <w:tr>
        <w:trPr>
          <w:trHeight w:val="263"/>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43,007</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346,509</w:t>
            </w: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132,728</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45,687</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356,449</w:t>
            </w:r>
          </w:p>
        </w:tc>
        <w:tc>
          <w:tcPr>
            <w:tcW w:w="0" w:type="dxa"/>
            <w:vAlign w:val="bottom"/>
          </w:tcPr>
          <w:p>
            <w:pPr>
              <w:spacing w:after="0"/>
              <w:rPr>
                <w:sz w:val="1"/>
                <w:szCs w:val="1"/>
                <w:color w:val="auto"/>
              </w:rPr>
            </w:pPr>
          </w:p>
        </w:tc>
      </w:tr>
      <w:tr>
        <w:trPr>
          <w:trHeight w:val="21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397,747</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Fiscal Year 2022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Park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20,175</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32,658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256,620</w:t>
            </w:r>
          </w:p>
        </w:tc>
        <w:tc>
          <w:tcPr>
            <w:tcW w:w="0" w:type="dxa"/>
            <w:vAlign w:val="bottom"/>
          </w:tcPr>
          <w:p>
            <w:pPr>
              <w:spacing w:after="0"/>
              <w:rPr>
                <w:sz w:val="1"/>
                <w:szCs w:val="1"/>
                <w:color w:val="auto"/>
              </w:rPr>
            </w:pPr>
          </w:p>
        </w:tc>
      </w:tr>
      <w:tr>
        <w:trPr>
          <w:trHeight w:val="277"/>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118,308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43,029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301,050</w:t>
            </w:r>
          </w:p>
        </w:tc>
        <w:tc>
          <w:tcPr>
            <w:tcW w:w="0" w:type="dxa"/>
            <w:vAlign w:val="bottom"/>
          </w:tcPr>
          <w:p>
            <w:pPr>
              <w:spacing w:after="0"/>
              <w:rPr>
                <w:sz w:val="1"/>
                <w:szCs w:val="1"/>
                <w:color w:val="auto"/>
              </w:rPr>
            </w:pPr>
          </w:p>
        </w:tc>
      </w:tr>
      <w:tr>
        <w:trPr>
          <w:trHeight w:val="263"/>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15,054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7,443</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154,211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199,106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111,816</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62,707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120,776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82,678</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22,088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45,036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307,807</w:t>
            </w:r>
          </w:p>
        </w:tc>
        <w:tc>
          <w:tcPr>
            <w:tcW w:w="0" w:type="dxa"/>
            <w:vAlign w:val="bottom"/>
          </w:tcPr>
          <w:p>
            <w:pPr>
              <w:spacing w:after="0"/>
              <w:rPr>
                <w:sz w:val="1"/>
                <w:szCs w:val="1"/>
                <w:color w:val="auto"/>
              </w:rPr>
            </w:pPr>
          </w:p>
        </w:tc>
      </w:tr>
      <w:tr>
        <w:trPr>
          <w:trHeight w:val="22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33,435</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161,877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40,619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38,094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303,163</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154,211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199,106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111,816</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62,707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4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7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46,789</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19.3 %</w:t>
            </w:r>
          </w:p>
        </w:tc>
      </w:tr>
      <w:tr>
        <w:trPr>
          <w:trHeight w:val="26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100" w:type="dxa"/>
            <w:vAlign w:val="bottom"/>
          </w:tcPr>
          <w:p>
            <w:pPr>
              <w:spacing w:after="0"/>
              <w:rPr>
                <w:sz w:val="22"/>
                <w:szCs w:val="22"/>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(28.4)</w:t>
            </w:r>
          </w:p>
        </w:tc>
      </w:tr>
      <w:tr>
        <w:trPr>
          <w:trHeight w:val="27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24.8</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29, 2023 to April 27, 2024 were due to the timing of billing schedules and revenue recognition, which can vary significantly depending on the contractual payment terms and the seasonality of the sports markets. We had no significant impairments of contract assets for fiscal 2024, and we had no impairments of contract assets for fiscal 2023 and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of our consolidated balance sheets. Changes in unearned service-type warranty contracts, net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44,216</w:t>
            </w:r>
          </w:p>
        </w:tc>
      </w:tr>
      <w:tr>
        <w:trPr>
          <w:trHeight w:val="27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(42,132)</w:t>
            </w:r>
          </w:p>
        </w:tc>
      </w:tr>
      <w:tr>
        <w:trPr>
          <w:trHeight w:val="26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process identified as loss contracts as of April 27, 2024 and April 29, 2023 were immaterial. Loss provisions are recorded in "Accrued expenses" line item in our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we recognized revenue of $84,140 related to our contract liabilities as of April 29,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 and revenue recognized from past 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27, 2024, the aggregate amount of the transaction price allocated to the remaining performance obligations was $382,939. Remaining performance obligations related to product and service agreements as of April 27, 2024 were $316,905 and $66,034, respectively. We expect approximately $323,421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 The amount of revenue recognized associated with performance obligations satisfied in prior years during the years ended April 27, 2024 and April 29, 2023 was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 Reporting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organize and manage our business by the following five segments which meet the definition of reportable segments under ASC 280-10</w:t>
      </w:r>
      <w:r>
        <w:rPr>
          <w:rFonts w:ascii="Times New Roman" w:cs="Times New Roman" w:eastAsia="Times New Roman" w:hAnsi="Times New Roman"/>
          <w:sz w:val="18"/>
          <w:szCs w:val="18"/>
          <w:i w:val="1"/>
          <w:iCs w:val="1"/>
          <w:color w:val="auto"/>
        </w:rPr>
        <w:t>,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geography and are the same as our operating segments/business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operating decision-maker (CODM), who is our president and chief executive officer, regularly reviews the consolidated financial results in their entirety and the operating segment financials results to the GAAP measure of gross profit. The CODM has ultimate responsibility for enterprise decisions and making resource allocation decisions for our company and our segments. Management of each operating segment has the responsibility for operating decisions, allocating resources, and assessing performance within their segment.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3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business unit primarily consists of sales of our integrated video display systems, digital billboards,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and dynamic messaging systems to resellers (primarily sign companies), out-of-home ("OOH") companies, national retailers, quick-serve restaurants, casinos, shopping centers, cruise ships, commercial building owners, and petroleum retailers.</w:t>
      </w:r>
    </w:p>
    <w:p>
      <w:pPr>
        <w:spacing w:after="0" w:line="20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w:t>
      </w:r>
    </w:p>
    <w:p>
      <w:pPr>
        <w:spacing w:after="0" w:line="158" w:lineRule="exact"/>
        <w:rPr>
          <w:rFonts w:ascii="Times New Roman" w:cs="Times New Roman" w:eastAsia="Times New Roman" w:hAnsi="Times New Roman"/>
          <w:sz w:val="18"/>
          <w:szCs w:val="18"/>
          <w:color w:val="auto"/>
        </w:rPr>
      </w:pPr>
    </w:p>
    <w:p>
      <w:pPr>
        <w:ind w:left="660" w:hanging="328"/>
        <w:spacing w:after="0" w:line="23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School Park and Recreation business unit primarily consists of sales of scoring systems,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and resellers (primarily sign companies).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lines and other intelligent transportation systems dynamic message signs, to governmental transportation departments, transportation industry contractors, airlines and other transportation related customers.</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 Assets are not allocated to the segments. Depreciation and amortization are allocated to each segment based on various financial measures; however, some depreciation and amortization are corporate in nature and remain unallocated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36"/>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154,211</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199,106</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111,816</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62,707</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83,130</w:t>
            </w:r>
          </w:p>
        </w:tc>
      </w:tr>
      <w:tr>
        <w:trPr>
          <w:trHeight w:val="257"/>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50"/>
        </w:trPr>
        <w:tc>
          <w:tcPr>
            <w:tcW w:w="66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51,075</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29,013</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112,651</w:t>
            </w:r>
          </w:p>
        </w:tc>
      </w:tr>
      <w:tr>
        <w:trPr>
          <w:trHeight w:val="25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and debt issuance costs write-off, net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26"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28575</wp:posOffset>
            </wp:positionV>
            <wp:extent cx="2948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6800"/>
        <w:spacing w:after="0"/>
        <w:tabs>
          <w:tab w:leader="none" w:pos="8360" w:val="left"/>
          <w:tab w:leader="none" w:pos="9940" w:val="left"/>
        </w:tabs>
        <w:rPr>
          <w:sz w:val="20"/>
          <w:szCs w:val="20"/>
          <w:color w:val="auto"/>
        </w:rPr>
      </w:pPr>
      <w:r>
        <w:rPr>
          <w:rFonts w:ascii="Times New Roman" w:cs="Times New Roman" w:eastAsia="Times New Roman" w:hAnsi="Times New Roman"/>
          <w:sz w:val="18"/>
          <w:szCs w:val="18"/>
          <w:b w:val="1"/>
          <w:bCs w:val="1"/>
          <w:color w:val="auto"/>
        </w:rPr>
        <w:t>April 27, 2024</w:t>
      </w:r>
      <w:r>
        <w:rPr>
          <w:sz w:val="20"/>
          <w:szCs w:val="20"/>
          <w:color w:val="auto"/>
        </w:rPr>
        <w:tab/>
      </w:r>
      <w:r>
        <w:rPr>
          <w:rFonts w:ascii="Times New Roman" w:cs="Times New Roman" w:eastAsia="Times New Roman" w:hAnsi="Times New Roman"/>
          <w:sz w:val="18"/>
          <w:szCs w:val="18"/>
          <w:b w:val="1"/>
          <w:bCs w:val="1"/>
          <w:color w:val="auto"/>
        </w:rPr>
        <w:t>April 29, 2023</w:t>
      </w:r>
      <w:r>
        <w:rPr>
          <w:sz w:val="20"/>
          <w:szCs w:val="20"/>
          <w:color w:val="auto"/>
        </w:rPr>
        <w:tab/>
      </w:r>
      <w:r>
        <w:rPr>
          <w:rFonts w:ascii="Times New Roman" w:cs="Times New Roman" w:eastAsia="Times New Roman" w:hAnsi="Times New Roman"/>
          <w:sz w:val="17"/>
          <w:szCs w:val="17"/>
          <w:b w:val="1"/>
          <w:bCs w:val="1"/>
          <w:color w:val="auto"/>
        </w:rPr>
        <w:t>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744,419</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661,312</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513,740</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97,230</w:t>
            </w:r>
          </w:p>
        </w:tc>
      </w:tr>
      <w:tr>
        <w:trPr>
          <w:trHeight w:val="250"/>
        </w:trPr>
        <w:tc>
          <w:tcPr>
            <w:tcW w:w="66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818,083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754,196</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610,970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64,332</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63,786</w:t>
            </w:r>
          </w:p>
        </w:tc>
        <w:tc>
          <w:tcPr>
            <w:tcW w:w="10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58,643</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r>
      <w:tr>
        <w:trPr>
          <w:trHeight w:val="250"/>
        </w:trPr>
        <w:tc>
          <w:tcPr>
            <w:tcW w:w="66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71,752</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72,147</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w:t>
            </w:r>
          </w:p>
        </w:tc>
      </w:tr>
      <w:tr>
        <w:trPr>
          <w:trHeight w:val="27"/>
        </w:trPr>
        <w:tc>
          <w:tcPr>
            <w:tcW w:w="66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fiscal year ended April 27, 2024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940" w:type="dxa"/>
            <w:vAlign w:val="bottom"/>
            <w:shd w:val="clear" w:color="auto" w:fill="CCEEFF"/>
          </w:tcPr>
          <w:p>
            <w:pPr>
              <w:jc w:val="center"/>
              <w:ind w:right="3610"/>
              <w:spacing w:after="0"/>
              <w:rPr>
                <w:sz w:val="20"/>
                <w:szCs w:val="20"/>
                <w:color w:val="auto"/>
              </w:rPr>
            </w:pPr>
            <w:r>
              <w:rPr>
                <w:rFonts w:ascii="Times New Roman" w:cs="Times New Roman" w:eastAsia="Times New Roman" w:hAnsi="Times New Roman"/>
                <w:sz w:val="18"/>
                <w:szCs w:val="18"/>
                <w:b w:val="1"/>
                <w:bCs w:val="1"/>
                <w:color w:val="auto"/>
                <w:w w:val="99"/>
              </w:rPr>
              <w:t>Balance as of April 29, 2023: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6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5940" w:type="dxa"/>
            <w:vAlign w:val="bottom"/>
            <w:shd w:val="clear" w:color="auto" w:fill="CCEEFF"/>
          </w:tcPr>
          <w:p>
            <w:pPr>
              <w:jc w:val="center"/>
              <w:ind w:right="3590"/>
              <w:spacing w:after="0"/>
              <w:rPr>
                <w:sz w:val="20"/>
                <w:szCs w:val="20"/>
                <w:color w:val="auto"/>
              </w:rPr>
            </w:pPr>
            <w:r>
              <w:rPr>
                <w:rFonts w:ascii="Times New Roman" w:cs="Times New Roman" w:eastAsia="Times New Roman" w:hAnsi="Times New Roman"/>
                <w:sz w:val="18"/>
                <w:szCs w:val="18"/>
                <w:color w:val="auto"/>
                <w:w w:val="99"/>
              </w:rPr>
              <w:t>Goodwill impairment</w:t>
            </w:r>
          </w:p>
        </w:tc>
        <w:tc>
          <w:tcPr>
            <w:tcW w:w="2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40" w:type="dxa"/>
            <w:vAlign w:val="bottom"/>
          </w:tcPr>
          <w:p>
            <w:pPr>
              <w:jc w:val="center"/>
              <w:ind w:right="3610"/>
              <w:spacing w:after="0"/>
              <w:rPr>
                <w:sz w:val="20"/>
                <w:szCs w:val="20"/>
                <w:color w:val="auto"/>
              </w:rPr>
            </w:pPr>
            <w:r>
              <w:rPr>
                <w:rFonts w:ascii="Times New Roman" w:cs="Times New Roman" w:eastAsia="Times New Roman" w:hAnsi="Times New Roman"/>
                <w:sz w:val="18"/>
                <w:szCs w:val="18"/>
                <w:b w:val="1"/>
                <w:bCs w:val="1"/>
                <w:color w:val="auto"/>
                <w:w w:val="99"/>
              </w:rPr>
              <w:t>Balance as of April 27, 2024: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performed our annual impairment test on October 29, 2023 and concluded no goodwill impairment existed for fiscal year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annual impairment test for fiscal year 2023 concluded that the carrying value of the Live Events and International reporting units exceeded their respective fair values and consequently recorded an a $4,576 impairment charge. We determined the fair value of the reporting units based on an income approach, using the present value of future discounted cash flows. Significant estimates used to determine fair value include the weighted average cost of capital and financial forecasts. The recognized impairment was primarily a result of our weighted average cost of capital being notably higher, which was driven by strains on our liquidity caused by disrupted supply chains and geopolitical conditions during fiscal 2024. As a result, the present value of our future cash flows was lower, which caused the impairment charge. Based on our annual impairment test, we concluded that the fair value of the Commercial and Transportation reporting units exceeded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their respective carrying values and concluded no goodwill impairment existed for those reporting units. The annual impairment test for fiscal year 2022 concluded no goodwill impairment existed.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impairments to goodwill as of April 27, 2024 was $4,576.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April 27, 2024 and April 29,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fiscal years 2024, 2023, and 2022, amortization expense was $287, $290, and $504, respectively. Amortization expenses are included primarily in product design and development and selling expense in the consolidated statements of operations. Intangible assets are written off when fully amortized.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April 27, 2024, amortization expenses for future periods were estimated to be as follows: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Selected Financial Statement Data</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5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57,260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53,666</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138,008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w:t>
            </w:r>
          </w:p>
        </w:tc>
      </w:tr>
      <w:tr>
        <w:trPr>
          <w:trHeight w:val="257"/>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265,488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193,341</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depreciation expense was $17,453, $16,703, and $14,890 for the fiscal years 2024, 2023, and 2022,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accrued expenses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amortization expense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8"/>
              </w:rPr>
              <w:t>1,530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82"/>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and debt issuance costs write-off, net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equity method investees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write off</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Accounts Receivables,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credit losses of $4,568 and $4,182 as of April 27, 2024 and April 29, 2023, respectively. Included in accounts receivable as of April 27, 2024 and April 29, 2023 was $1,350 and $1,416, respectively, of retainage on construction-type contracts, all of which is expected to be collected within one year.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$859 and $1,473 as of April 27, 2024 and April 29, 2023, respectively. Contract receivables bearing annual interest rates of 8.0 to 9.0 percent are due in varying annual installments through February 2026. The face value of long-term receivables was $863 and $1,512 as of April 27, 2024 and April 29,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Financing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27,</w:t>
            </w:r>
          </w:p>
        </w:tc>
        <w:tc>
          <w:tcPr>
            <w:tcW w:w="26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29,</w:t>
            </w:r>
          </w:p>
        </w:tc>
      </w:tr>
      <w:tr>
        <w:trPr>
          <w:trHeight w:val="238"/>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credit facility/prior line of credit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gross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1"/>
        </w:trPr>
        <w:tc>
          <w:tcPr>
            <w:tcW w:w="1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2023, we closed on a $75,000 senior credit facility (the "Credit Facility"). The Credit Facility consists of a $60,000 asset-based revolving credit facility (the "ABL") maturing on May 11. 2026, which is secured by first priority lien on the Company's assets and is subject to certain factors that can impact our borrowing capacity, and a $15,000 delayed draw loan (the "Delayed Draw Loan") secured by a first priority mortgage on our Brookings, South Dakota real estate (the "Mortgage"). The ABL and Delayed Draw Loan are evidenced by a Credit Agreement dated as of May 11, 2023 (the "Credit Agreement") between the Company and JPMorgan Chase Bank, N.A., as the lender. On May 11, 2023, the Company paid all amounts outstanding on the prior credit agreement, and this prior credit agreement was terminated as of that date. No gain or loss was recognized upon termination, and the Company incurred no early termination penalties in connection with such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ABL, certain factors can impact our borrowing capacity. As of April 27, 2024, our total borrowing capacity was $39,507 there were no borrowings outstanding, and there was $5,342 used to secure letters of credit outstanding leaving $34,165 available to borrow. We made no borrowings on this ABL during fiscal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on the ABL is set on a sliding scale based on the trailing 12-month fixed charge coverage and ranges from 2.5 to 3.5 percent over the standard overnight financing rate (SOFR). The ABL is secured by a first priority lien on the Company's assets described in the Credit Agreement and the Pledge and Security Agreement dated as of May 11, 2023 by and among the Company, Daktronics Installation, Inc. and JPMorgan Chase Bank, N.A.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$15,000 Delayed Draw Loan was funded on July 7, 2023 and is secured by the Mortgage on the Company's Brookings, South Dakota real estate. It amortizes over 10 years and has monthly payments of $125. The Delayed Draw Loan is subject to the terms of the Credit Agreement and matures on May 11, 2026. The interest rate on the Delayed Draw Loan is set on a sliding scale based on the trailing 12-month fixed charge coverage ratio and ranges between 1.0 and 2.0 percent over the Commercial Bank Floating Rate (CBFR). The interest rate as of April 27, 2024 for Delayed Draw Loan was 9.5 percent.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2023, we borrowed $25,000 in aggregate principal amount evidenced by the secured Convertible Note due May 11, 2027. The Convertible Note holder (the "Holder") has a second priority lien on assets securing the ABL facility and a first priority lien on substantially all of the other assets of the Company, excluding all real property, subject to the Intercreditor Agreement dated as of May 11, 2023 by and among the Company, JPMorgan Chase Bank N.A., and the Holder of the Convertible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Features</w:t>
      </w:r>
    </w:p>
    <w:p>
      <w:pPr>
        <w:spacing w:after="0" w:line="227" w:lineRule="exact"/>
        <w:rPr>
          <w:sz w:val="20"/>
          <w:szCs w:val="20"/>
          <w:color w:val="auto"/>
        </w:rPr>
      </w:pPr>
    </w:p>
    <w:p>
      <w:pPr>
        <w:jc w:val="both"/>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 allows the Holder and any of the Holder’s permitted transferees, donees, pledgees, assignees or successors-in-interest (collectively, the “Selling Shareholders”) to convert all or any portion of the principal amount of the Convertible Note, together with any accrued and unpaid interest and any other unpaid amounts, including late charges, if any (together, the “Conversion Amount”), into shares of the Company’s common stock at an initial conversion price of $6.31 per share, subject to adjustment in accordance with the terms of the Convertible Note (the “Conversion Price”).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a forced conversion right, which is exercisable on the occurrence of certain conditions set forth in the Convertible Note, pursuant to which it can cause all or any portion of the outstanding and unpaid Conversion Amount to be converted into shares of common stock at the Conversion Price.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if the Company fails other than by reason of a failure by the Holder to comply with its obligations, the Holder is permitted to cash payments from the Company until such conversion failure is cured.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27"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were to have an "Event of Default", as defined by the Convertible Note, then the Holder may require the Company to redeem all or any portion of the Convertible Note.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"Change of Control", as defined by the Convertible Note, then the Holder is entitled to payment of the outstanding amount of the Convertible Note at the "Change in Control Redemption Price," as defined in the Convertible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accruing under the Convertible Note is payable, at the option of the Company, in either (i) cash or (ii) a combination of cash interest and capitalized interest; provided, however, that at least fifty percent (50%) of the interest paid on each interest date must be paid as cash interest. The Convertible Note accrues interest (or is payable) quarterly at an annual rate of 9.0 percent when interest is paid in cash or an annual rate of 10.0 percent if interest is paid in kind. Upon an event of default under the Convertible Note, the annual interest rate will increase to 12.0 percent. The annual rate of 9.0 percent was used to calculate the interest accrued as of April 27, 2024, as interest will be paid in cash.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Note as described in "Note 14. Fair Value Measurement". The financial liability was initially measured at its issue-date fair value and is subsequently remeasured at fair value on a recurring basis at each reporting period date. We have elected to present the fair value and the accrued interest component separately in the consolidated statements of operations. Therefore, interest will be recognized and accrued separately in interest expense, with changes in fair value of the Convertible Note presented in the "Change in fair value of convertible note" line item in our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fair value of the Convertible Note during fiscal 2024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Liability Component</w:t>
            </w:r>
          </w:p>
        </w:tc>
      </w:tr>
      <w:tr>
        <w:trPr>
          <w:trHeight w:val="270"/>
        </w:trPr>
        <w:tc>
          <w:tcPr>
            <w:tcW w:w="6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6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May 11,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 recognized</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r>
      <w:tr>
        <w:trPr>
          <w:trHeight w:val="26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27, 2024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41,550</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Convertible Note upon its issuance date of May 11, 2023 was its face value because it was negotiated at arms length and as of April 27, 2024 was computed using a binomial lattice model which incorporates significant inputs that are not observable in the market and thus represents a Level 3 measurement.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the fair value by using the following key assumptions in the binomial lattice model: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(Annual)</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Implied Yield</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16.28 %</w:t>
            </w:r>
          </w:p>
        </w:tc>
      </w:tr>
      <w:tr>
        <w:trPr>
          <w:trHeight w:val="27"/>
        </w:trPr>
        <w:tc>
          <w:tcPr>
            <w:tcW w:w="446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40.00 %</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(Annual)</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Credit Agreement and the Convertible Note require a fixed charge coverage ratio of greater than 1.1 and include other customary non-financial covenants. As of April 27, 2024, we were in compliance with our financial covenants under the Credit Agreement and the Convertible Note.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Debt issuance costs incurred and capitalized are amortized on a straight-line basis over the term of the associated debt agreement. If early principal payments or conversions occur, a proportional amount of unamortized debt issuance costs is expensed. As part of these financings, we capitalized $8,195 in debt issuance costs. During the fiscal year ended April 27, 2024, due to the Convertible Note being accounted for at fair value, we expensed $3,353 of the related debt issuance costs which is included in the "Other expense and debt issuance costs write-off, net" line item in our consolidated statements of operations. During the fiscal year ended April 27, 2024, we amortized $1,551 of debt issuance costs. The remaining debt issuance costs of $3,291 are being amortized over the three-year term of the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Maturities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contractual maturities of debt in future fiscal years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7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5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38,875</w:t>
            </w:r>
          </w:p>
        </w:tc>
      </w:tr>
      <w:tr>
        <w:trPr>
          <w:trHeight w:val="20"/>
        </w:trPr>
        <w:tc>
          <w:tcPr>
            <w:tcW w:w="4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2020, the Board had suspended the program. On December 2, 2021, the Board of Directors of Daktronics voted to reauthorize the stock repurchase program.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2024 and 2023, we had no repurchases of shares of our outstanding common stock. During fiscal 2022, we repurchased 641 shares of common stock at a total cost of $3,184. As of April 27, 2024, we had $29,355 of remaining capacity under our current share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facilities and various equipment to manufacture products and provide employee collaboration space and tools. These are all classified as operating leases and have initial lease terms ranging from 1 year to 5 years. These operating leases do not contain material residual value guarantees or material restrictive covenants. Our lease for our facility in Sioux Falls, South Dakota has a purchase option. We have no material financing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the inception of the lease.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and short-term lease cost is recognized when paid. During fiscal 2024, the amount of the operating lease cost included in cost of sales and operating expenses in the consolidated statements of operations was $2,344 and $980, respectively; as compared to $2,560 and $906, respectively, in fiscal year 2023; and $2,425 and $870, respectively, in fiscal year 2022. Operating lease cost includes short-term leases, which are immaterial.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27, 2024, the weighted average remaining lease term and discount rate related to operating leases was 2.4 years and 5.0 percent as compared to 2.9 years and 2.7 percent as of April 29,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cash flow information related to operating leases were as follows:</w:t>
      </w:r>
    </w:p>
    <w:p>
      <w:pPr>
        <w:spacing w:after="0" w:line="275"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28575</wp:posOffset>
            </wp:positionV>
            <wp:extent cx="2948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6800"/>
        <w:spacing w:after="0"/>
        <w:tabs>
          <w:tab w:leader="none" w:pos="8360" w:val="left"/>
          <w:tab w:leader="none" w:pos="9940" w:val="left"/>
        </w:tabs>
        <w:rPr>
          <w:sz w:val="20"/>
          <w:szCs w:val="20"/>
          <w:color w:val="auto"/>
        </w:rPr>
      </w:pPr>
      <w:r>
        <w:rPr>
          <w:rFonts w:ascii="Times New Roman" w:cs="Times New Roman" w:eastAsia="Times New Roman" w:hAnsi="Times New Roman"/>
          <w:sz w:val="18"/>
          <w:szCs w:val="18"/>
          <w:b w:val="1"/>
          <w:bCs w:val="1"/>
          <w:color w:val="auto"/>
        </w:rPr>
        <w:t>April 27, 2024</w:t>
      </w:r>
      <w:r>
        <w:rPr>
          <w:sz w:val="20"/>
          <w:szCs w:val="20"/>
          <w:color w:val="auto"/>
        </w:rPr>
        <w:tab/>
      </w:r>
      <w:r>
        <w:rPr>
          <w:rFonts w:ascii="Times New Roman" w:cs="Times New Roman" w:eastAsia="Times New Roman" w:hAnsi="Times New Roman"/>
          <w:sz w:val="18"/>
          <w:szCs w:val="18"/>
          <w:b w:val="1"/>
          <w:bCs w:val="1"/>
          <w:color w:val="auto"/>
        </w:rPr>
        <w:t>April 29, 2023</w:t>
      </w:r>
      <w:r>
        <w:rPr>
          <w:sz w:val="20"/>
          <w:szCs w:val="20"/>
          <w:color w:val="auto"/>
        </w:rPr>
        <w:tab/>
      </w:r>
      <w:r>
        <w:rPr>
          <w:rFonts w:ascii="Times New Roman" w:cs="Times New Roman" w:eastAsia="Times New Roman" w:hAnsi="Times New Roman"/>
          <w:sz w:val="17"/>
          <w:szCs w:val="17"/>
          <w:b w:val="1"/>
          <w:bCs w:val="1"/>
          <w:color w:val="auto"/>
        </w:rPr>
        <w:t>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2,692</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540"/>
        </w:trPr>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operating lease payments as of, and subsequent to, April 27, 2024 under ASC 842 are as follows: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3"/>
        </w:trPr>
        <w:tc>
          <w:tcPr>
            <w:tcW w:w="490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 ending</w:t>
            </w:r>
          </w:p>
        </w:tc>
        <w:tc>
          <w:tcPr>
            <w:tcW w:w="2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0"/>
        </w:trPr>
        <w:tc>
          <w:tcPr>
            <w:tcW w:w="4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and long-term portions of the lease liabilities are included in the "Accrued expenses" and "Other long-term obligations" line items in our consolidated balance sheets,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Shareholders' Equity and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Authorized share types and shareholder rights plan</w:t>
      </w:r>
      <w:r>
        <w:rPr>
          <w:rFonts w:ascii="Times New Roman" w:cs="Times New Roman" w:eastAsia="Times New Roman" w:hAnsi="Times New Roman"/>
          <w:sz w:val="18"/>
          <w:szCs w:val="18"/>
          <w:color w:val="auto"/>
        </w:rPr>
        <w:t>: Our 120,000 authorized shares consist of 115,000 shares of common stock, 50 shares of Series A Junior Participating Preferred Stock, and 4,950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outstanding share of our common stock includes one preferred share purchase right. Each right entitles the registered holder of our common stock to purchase from us one one-thousandth of one share of our Series A Junior Participating Preferred Stock at an initial exercise price of $20 per right, subject to adjustment under the terms of the shareholder rights agreement under which the dividend was declared and paid. The rights become exercisable immediately after the earlier of (i) 10 business days following a public announcement that a person or group has acquired beneficial ownership of 20 percent or more of our outstanding common shares (subject to certain exceptions) or (ii) 10 business days following the commencement or announcement of an intention to make a tender offer or exchange offer for our common shares,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consummation of which would result in the beneficial ownership by a person or group of 20 percent or more of our outstanding common shares. The rights expire on November 19,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date may be extended by our Board of Directors subject to certain additional conditions.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During fiscal 2021, we established the Daktronics, Inc. 2020 Stock Incentive Plan (“2020 Plan”) and ceased granting options under the 2015 Stock Incentive Plan ("2015 Plan"). The 2020 Plan provides for the issuance of stock-based awards, including stock options, restricted stock, restricted stock units and deferred stock to employees, directors and consultants. Stock options issued to employees under the 2015 Plan and 2020 Plan generally have a 10-year life, an exercise price equal to the closing market value on the grant date and a five-year annual vesting period.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27, 2024, the aggregate number of shares available for future grants under the 2020 Plan for stock options and restricted stock awards was 1,631 shares. Shares of common stock subject to all stock awards granted under the 2020 Plan are counted as one share of stock for each share of stock subject to the award. Although the 2015 Plan remains in effect for options outstanding that were granted under the 2015 Plan until the earlier of the exercise of the options or their expiration or termination without being exercised, no new options can be granted under the 2015 Plan.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We issue restricted stock to our non-employee directors and restricted stock units to employees.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$1,977 as of April 27, 2024, which is expected to be recognized over a weighted-average period of 2.76 years. The total fair value of restricted stock vested was $1,536, $1,160, and $1,203 in fiscal years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and restricted stock units for fiscal years 2024, 2023, and 2022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6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0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00" w:type="dxa"/>
            <w:vAlign w:val="bottom"/>
          </w:tcPr>
          <w:p>
            <w:pPr>
              <w:spacing w:after="0"/>
              <w:rPr>
                <w:sz w:val="21"/>
                <w:szCs w:val="21"/>
                <w:color w:val="auto"/>
              </w:rPr>
            </w:pPr>
          </w:p>
        </w:tc>
        <w:tc>
          <w:tcPr>
            <w:tcW w:w="304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98"/>
        </w:trPr>
        <w:tc>
          <w:tcPr>
            <w:tcW w:w="196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Outstanding at beginning</w:t>
            </w: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year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50"/>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We issue incentive stock options to our employees and non-qualified stock options to our independent directors. A summary of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under our 2015 Plan and 2020 Plan during the fiscal year ended April 27, 2024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9"/>
        </w:trPr>
        <w:tc>
          <w:tcPr>
            <w:tcW w:w="50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29,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6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2"/>
                <w:szCs w:val="22"/>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April 27,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230"/>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 and expected to vest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April 27,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14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difference between the exercise price of stock options and the fair market value of the underlying common stock for all in-the-money options. We define in-the-money options as of April 27, 2024 as options having exercise prices lower than the $9.29 per share market price of our common stock on that date. There were 593 shares exercisable that were in-the-money options as of April 27, 2024. The total intrinsic value of options exercised during fiscal years 2024, 2023, and 2022 was $708, $7, and $2, respectively. The total fair value of stock options vested was $453, $467, and $465 for fiscal years 2024, 2023, and 2022,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options granted represents the period of time they are expected to be outstanding. We estimate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We estimate the volatility of our common stock at the date of grant based on historical volatility consistent with ASC 718 and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Staff Accounting Bulletin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rate is based on the United States Treasury zero-coupon yield curve on the grant date for a term similar to the expected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use an expected dividend yield consistent with our historical dividend yield pattern.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fair value of options granted and the related assumptions used in the Black-Scholes model: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43"/>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8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8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40.60 %</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bl>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We have an employee stock purchase plan (“ESPP”), which enables employees after six months of continuous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5,500. The number of shares of common stock issued under the ESPP totaled 355, 424, and 310 shares in fiscal 2024, 2023, and 2022, respectively. The number of shares of common stock reserved for future employee purchases under the ESPP totaled 1,220 shares as of April 27, 2024. The ESPP is intended to qualify under Section 423 of the Internal Revenue Code of 1986 (the "Code").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share-based compensation expense</w:t>
      </w:r>
      <w:r>
        <w:rPr>
          <w:rFonts w:ascii="Times New Roman" w:cs="Times New Roman" w:eastAsia="Times New Roman" w:hAnsi="Times New Roman"/>
          <w:sz w:val="18"/>
          <w:szCs w:val="18"/>
          <w:color w:val="auto"/>
        </w:rPr>
        <w:t>: As of April 27, 2024, there was $2,827 of total unrecognized compensation cost related to non-vested share-based compensation arrangements granted under all equity compensation plans. Total unrecognized compensation cost will be adjusted for future changes in estimated forfeitures. We expect to recognize the cost over a weighted-average period of 2.6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share-based compensation expense by equity type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share-based compensation expense for stock options, restricted stock, restricted stock units and shares issued under the ESPP for fiscal years 2024, 2023, and 2022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received $1,302 in cash from option exercises under all share-based payment arrangements for the fiscal year ended April 27, 2024. The tax expense related to non-qualified options and restricted stock units under all share-based payment arrangements totaled $22, $23, and $47 for fiscal years 2024, 2023, and 2022,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Retirement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a 401(k) savings plan providing benefits for substantially all United States-based employees of Daktronics, Inc. and its subsidiaries, subject to certain Internal Revenue Service ("IRS") limits. We made matching cash contributions equal to 50 percent of the employee's qualifying contribution up to six percent of such employee's compensation. Employees are eligible to participate in the 401(k) savings plan the first day of the calendar month following completion of 30 days of continuous service if they have attained the age of 21. We contributed $3,201, $2,969 and $2,573 for matches to the plan for fiscal years 2024,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significant components of our income tax provision. The pretax income (loss) attributable to domestic and foreign operations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provision for income taxes and the amount computed by applying the federal statutory rate to income before income taxes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income tax expense at federal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on convertible debt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tax rates different than statutory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Erosion Anti-Abuse Tax (BEAT)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fiscal 2024 was 35.9 percent. The effective income tax rate for fiscal 2024 was primarily impacted due to the fair value</w:t>
      </w:r>
    </w:p>
    <w:p>
      <w:pPr>
        <w:spacing w:after="0" w:line="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adjustment to the Convertible Note that is not deductible for tax purposes. Additional other items impacting the rate were valuation allowances on equity investments, state taxes, as well as prior year provision to return adjustments reduced in part by tax benefits from permanent tax credits.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for fiscal 2023 was 48.7 percent. During fiscal 2023, our effective income tax rate was impacted due to valuation allowances on equity investments and on foreign net operating losses in Ireland, goodwill impairment, state taxes, a mix of taxes in foreign countries where the tax rate is higher than the United States, as well as prior year provision to return adjustments reduced in part by tax benefits from permanent tax credits.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for fiscal 2022 was 46.6 percent. During fiscal 2022, our effective income tax rate was impacted by tax benefits from permanent tax credits offset by valuation allowances as well as other various permanent tax adjustments and state taxes with additional expense for prior year provision to return adjustments.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assets were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warranty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Vacation accrual</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maintenance revenue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excess and obsolete inventory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credit losses accounts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Inventory capitalization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loss on foreign currency exchange</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Outside basis difference in equity method investments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 carry forwards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lease liability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23,939</w:t>
            </w: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right of use asset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foreign currency exchange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0" w:type="dxa"/>
            <w:vAlign w:val="bottom"/>
          </w:tcPr>
          <w:p>
            <w:pPr>
              <w:spacing w:after="0"/>
              <w:rPr>
                <w:sz w:val="1"/>
                <w:szCs w:val="1"/>
                <w:color w:val="auto"/>
              </w:rPr>
            </w:pPr>
          </w:p>
        </w:tc>
      </w:tr>
      <w:tr>
        <w:trPr>
          <w:trHeight w:val="256"/>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classification of the net deferred tax assets in the accompanying consolidated balance sheets is: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5"/>
        </w:trPr>
        <w:tc>
          <w:tcPr>
            <w:tcW w:w="128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6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summary of changes in the amounts related to unrecognized uncertain tax benefits are: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prior period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decreases related to prior period tax positions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$34 of the unrecognized tax benefits (including interest) expires in the next 12 months. The benefit will be recognized if the statute lapses with no further action taken by regulators. Additionally, we recognized the release of $171 in unrecognized tax benefits related to the lapse of a statute of limitations in fiscal 2024.</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$21 and $28 as of April 27, 2024 and April 29, 2023,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27, 2024, we had total valuation allowances against deferred tax assets of $7,197, as compared to $4,900 as of April 29, 2023, representing an increase of $2,297 during fiscal 2024. The increase in valuation allowance as well as the majority of the total balance is related to the outside basis difference and impairments in equity method investments. A small portion of the total valuation allowances are related to foreign net operating loss carryfowards as detailed below. We consider all positive and negative evidence available in determining the potential of realizing deferred tax assets including its past operating results and the forecast of future earnings, category of income, future taxable income, and prudent and feasible tax planning strategies. If sufficient evidence of our ability to generate applicable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27, 2024, we had foreign net operating loss (“NOL”) carryforwards of approximately $5,136 primarily related to our operations in Belgium and Ireland, which have indefinite lives. A deferred tax asset has been recorded for all NOL carryforwards totaling approximately $883. However, due to uncertainty in future taxable income, a valuation allowance has been recorded for the full amount of the asset.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tax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United States federal income tax as well as income taxes of multiple state and foreign jurisdictions. Fiscal years 2021, 2022 and 2023 remain open to federal tax examinations, and fiscal years 2020, 2021, 2022 and 2023 remain open for state income tax examinations. Certain subsidiaries are also subject to income tax in several foreign jurisdictions which have open tax years varying by jurisdiction beginning in fiscal 2013. In the event of any future tax assessments, we have elected to record the income taxes and any related interest and penalties as income tax expense in our consolidated statements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27, 2024, we had no deferred tax liability recognized relating to our investment in foreign subsidiaries where the earnings have been indefinitely reinvested. The Tax Act of 2017 generally eliminates United States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non-United States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Cash Flow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1"/>
                <w:szCs w:val="21"/>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(61,159)</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75"/>
        </w:trPr>
        <w:tc>
          <w:tcPr>
            <w:tcW w:w="1280" w:type="dxa"/>
            <w:vAlign w:val="bottom"/>
            <w:tcBorders>
              <w:bottom w:val="single" w:sz="8" w:color="CCEEFF"/>
            </w:tcBorders>
            <w:shd w:val="clear" w:color="auto" w:fill="CCEEFF"/>
          </w:tcPr>
          <w:p>
            <w:pPr>
              <w:spacing w:after="0"/>
              <w:rPr>
                <w:sz w:val="23"/>
                <w:szCs w:val="23"/>
                <w:color w:val="auto"/>
              </w:rPr>
            </w:pPr>
          </w:p>
        </w:tc>
        <w:tc>
          <w:tcPr>
            <w:tcW w:w="5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51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29, 2023</w:t>
            </w:r>
          </w:p>
        </w:tc>
        <w:tc>
          <w:tcPr>
            <w:tcW w:w="140" w:type="dxa"/>
            <w:vAlign w:val="bottom"/>
          </w:tcPr>
          <w:p>
            <w:pPr>
              <w:spacing w:after="0"/>
              <w:rPr>
                <w:sz w:val="22"/>
                <w:szCs w:val="22"/>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impairment charges:</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investees impairment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non-cash impairment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60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6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5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40" w:type="dxa"/>
            <w:vAlign w:val="bottom"/>
            <w:tcBorders>
              <w:bottom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Demonstration equipment transferred to 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Pr>
          <w:p>
            <w:pPr>
              <w:spacing w:after="0"/>
              <w:rPr>
                <w:sz w:val="21"/>
                <w:szCs w:val="21"/>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as of April 27, 2024 and April 29, 2023 according to the valuation techniques we used to determine their fair values. There have been no transfers of assets or liabilities among the fair value hierarchies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2024:</w:t>
            </w: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81,299</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Convertible note</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29, 2023: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During fiscal 2024, we added the fair value of the Convertible Note. There have been no other changes in the valuation techniques used by us to value our financial instruments since the end of fiscal 2023.</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to secure issuances of foreign bank guarantees.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was 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We elected to value the Convertible Note at fair value in accordance with ASC 825-10-15-4(a) because of the embedded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the Convertible Note. The fair value of the Convertible Note was estimated using a binomial lattice model. Binomial lattice allows for the examination of the value to a holder and understanding the investment decision that would occur at each node.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Note entered into during the first quarter of fiscal 2024 was classified as Level 3 because certain inputs for the valuation were not readily determinable or observable.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Derivatives – currency forward contracts</w:t>
      </w:r>
      <w:r>
        <w:rPr>
          <w:rFonts w:ascii="Times New Roman" w:cs="Times New Roman" w:eastAsia="Times New Roman" w:hAnsi="Times New Roman"/>
          <w:sz w:val="18"/>
          <w:szCs w:val="18"/>
          <w:color w:val="auto"/>
        </w:rPr>
        <w:t>: Consists of currency forward contracts trading with sufficient frequency and volume to enable us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information on an ongoing basis. The fair value of these securities was measured based on a valuation from a third-party bank. See "Note 15. Derivative Financial Instruments" for more information regarding our derivatives.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measurements: </w:t>
      </w:r>
      <w:r>
        <w:rPr>
          <w:rFonts w:ascii="Times New Roman" w:cs="Times New Roman" w:eastAsia="Times New Roman" w:hAnsi="Times New Roman"/>
          <w:sz w:val="18"/>
          <w:szCs w:val="18"/>
          <w:color w:val="auto"/>
        </w:rPr>
        <w:t>The fair value measurement standard also applies to certain non-financial assets and liabilities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Nature of Business and Summary of Significant Accounting Policies" for further details of impairment loss of $6,359 for our investments in Miortech and XDC.</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measurements using fair value</w:t>
      </w:r>
      <w:r>
        <w:rPr>
          <w:rFonts w:ascii="Times New Roman" w:cs="Times New Roman" w:eastAsia="Times New Roman" w:hAnsi="Times New Roman"/>
          <w:sz w:val="18"/>
          <w:szCs w:val="18"/>
          <w:color w:val="auto"/>
        </w:rPr>
        <w:t>: Some of our financial instruments, such as accounts receivable, long-term receivables, prepaid expense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derivative financial instruments to manage the economic impact of fluctuations in currency exchange rates on those transactions denominated in currencies other than our functional currency, which is the United States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April 27, 2024 and April 29, 2023, we had not designated any of our derivative instruments as accounting hedges, and thus we recorded the changes in fair value in the "Other expense and debt issuance costs write-off, net" line item in the consolidated statements of operations.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foreign currency agreements outstanding as of April 27, 2024. The foreign currency exchange contracts in aggregated notional amounts in place to exchange United States dollars as of April 29, 2023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31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29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April 29, 2023</w:t>
            </w:r>
          </w:p>
        </w:tc>
      </w:tr>
      <w:tr>
        <w:trPr>
          <w:trHeight w:val="207"/>
        </w:trPr>
        <w:tc>
          <w:tcPr>
            <w:tcW w:w="5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56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480" w:type="dxa"/>
            <w:vAlign w:val="bottom"/>
          </w:tcPr>
          <w:p>
            <w:pPr>
              <w:spacing w:after="0"/>
              <w:rPr>
                <w:sz w:val="18"/>
                <w:szCs w:val="18"/>
                <w:color w:val="auto"/>
              </w:rPr>
            </w:pPr>
          </w:p>
        </w:tc>
      </w:tr>
      <w:tr>
        <w:trPr>
          <w:trHeight w:val="245"/>
        </w:trPr>
        <w:tc>
          <w:tcPr>
            <w:tcW w:w="5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Foreign Currency</w:t>
            </w:r>
          </w:p>
        </w:tc>
      </w:tr>
      <w:tr>
        <w:trPr>
          <w:trHeight w:val="23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70"/>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Dollars/Euros</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27, 2024, there was an no asset or liability, and, as of April 29, 2023, there was an asset and liability of $0 and $579, respectively, representing the fair value of foreign currency exchange forward contracts, which were determined using level 2 inputs from a third-party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Times New Roman" w:cs="Times New Roman" w:eastAsia="Times New Roman" w:hAnsi="Times New Roman"/>
          <w:sz w:val="18"/>
          <w:szCs w:val="18"/>
          <w:i w:val="1"/>
          <w:iCs w:val="1"/>
          <w:color w:val="auto"/>
        </w:rPr>
        <w:t>Contingencies - Loss Contingencies</w:t>
      </w:r>
      <w:r>
        <w:rPr>
          <w:rFonts w:ascii="Times New Roman" w:cs="Times New Roman" w:eastAsia="Times New Roman" w:hAnsi="Times New Roman"/>
          <w:sz w:val="18"/>
          <w:szCs w:val="18"/>
          <w:color w:val="auto"/>
        </w:rPr>
        <w:t>. Our assessment of whether a loss is reasonably possible or probable is based on our assessment and consultation with legal counsel regarding the ultimate outcome of the matter following all appeals.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See "Note 1. Nature of Business and Summary of Significant Accounting Policies" for more information regarding warranties.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obligation for the fiscal years ended April 27, 2024 and April 29, 2023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27, 2024</w:t>
            </w: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29, 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0" w:type="dxa"/>
            <w:vAlign w:val="bottom"/>
          </w:tcPr>
          <w:p>
            <w:pPr>
              <w:spacing w:after="0"/>
              <w:rPr>
                <w:sz w:val="1"/>
                <w:szCs w:val="1"/>
                <w:color w:val="auto"/>
              </w:rPr>
            </w:pPr>
          </w:p>
        </w:tc>
      </w:tr>
      <w:tr>
        <w:trPr>
          <w:trHeight w:val="250"/>
        </w:trPr>
        <w:tc>
          <w:tcPr>
            <w:tcW w:w="81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jc w:val="right"/>
              <w:ind w:right="541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April 27, 2024, we had outstanding letters of credit, bank guarantees and surety bonds in the amount of $5,342, $163 and $44,478,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April 27, 2024, we were not aware of any indemnification claim from a customer.</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cloud-based information systems,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services, and various other products and services over periods that extend beyond one year. As of April 27, 2024, we were obligated under the following unconditional purchase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6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r>
      <w:tr>
        <w:trPr>
          <w:trHeight w:val="25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6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6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9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Related Party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adopted a written policy and procedures with respect to related party transactions, which the Audit Committee oversees. Under the policy, a "related party transaction" is generally defined as a transaction, arrangement, or relationship in which the Company was, is or will be a participant; the amount involved exceeds $120;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Part II, Item 7 “Management’s Discussion and Analysis of Financial Condition and Results of Operations” in the section entitled “Liquidity and Capital Resources” of our Annual Report on Form 10-K for the fiscal year ended April 29, 2023, effective on May 11, 2023, the Company entered into the Securities Purchase Agreement with Alta Fox Opportunities Fund, LP, as the holder (the "Holder") of the Convertible Note. Under the Securities Purchase Agreement, the Company sold and issued to the Holder the Convertible Note in exchange for the payment by the Holder to the Company of $25,000. As of May 11, 2023, and based on Amendment No. 2 to the Schedule 13D filed by the Holder and its affiliates named therein on May 15, 2023 with the SEC, the Holder and its affiliates beneficially owned 4,768 shares of common stock of the Company, representing 9.99 percent of the Company’s common stock, causing the Holder to be a “related party” of the Company under the Company’s written policy and procedures and the applicable definitions under the Securities Act of 1933. The Securities Purchase Agreement, the Convertible Note, the Pledge and Security Agreement dated as of May 11, 2023 by and between the Holder and the Company, and the Registration Rights Agreement were approved in advance of their execution by the Company’s Strategy and Financing Review Committee, the members of which include all members of the Company’s Audit Committee.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May 11, 2023, the largest aggregate amount outstanding under the Convertible Note was $25,563, consisting of $25,000 of principal and $563 of interest. During fiscal 2024, we have made interest payments of $1,688 under the Convertible Note.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description of the Securities Purchase Agreement, the Convertible Note, the Pledge and Security Agreement, and the Registration Rights Agreement dated as of May 11, 2023 by and between the Holder and the Company and their respective terms set forth in Part II, Item 7 “Management’s Discussion and Analysis of Financial Condition and Results of Operations” in the section entitled “Liquidity and Capital Resources” of the Company's Annual Report on Form 10-K for the fiscal year ended April 29, 2023 is hereby incorporated by reference into this Report. In addition, the Company is a party to the Standstill and Voting Agreement dated as of March 19, 2023 with Alta Fox Management, LLC and Connor Haley (the “Standstill Agreement”), who are affiliates of the Holder. The Standstill Agreement is filed as Exhibit 10.13 to this Form 10-K.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Amendment No. 3 (“Amendment No. 3”) to the Schedule 13D filed with the SEC by the Holder and its affiliates named therein on June 9, 2023, and based on other information provided by the Holder, the following persons may be deemed to be beneficial owners of the shares of the Company’s common stock beneficially owned by the Holder: Alta Fox GenPar, LP, as the general partner of Alta Fox Opportunities Fund, LP; Alta Fox Equity, LLC, as the general partner of Alta Fox GenPar, LP; Alta Fox Capital Management, LLC, as the investment manager of Alta Fox Opportunities Fund, LP; and P. Connor Haley, as the sole owner, member and manager of each of Alta Fox Capital Management, LLC and Alta Fox Equity LLC.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7, 2023, the Company received from the Holder a written notice of a decrease in the “Percentage Cap” (as such term is defined in the Convertible Note) from 9.99 percent to 4.99 percent, which decrease became effective immediately upon the Company’s receipt of such written notice. The Percentage Cap generally represents the maximum percentage of shares of the Company’s common stock the Holder may own. In Amendment No. 3, the Holder and its affiliates identified in Amendment No. 3 owned 2,293 shares of common stock on June 9, 2023, representing 4.99 percent of the common stock of the Company, meaning the Holder and its affiliates are no longer “related parties” of the Company under the Company’s written policy and procedures and the applicable definitions under the Securities Act of 1933.</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2024, the Company and the South Dakota Board of Regents entered into contracts for video display systems for Dakota State University. The amount of the contracts was $1,178 A member of the Company's Board of Directors is the President of Dakota State University.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Nature of Business and Summary of Significant Accounting Policies" of the Notes to our Consolidated Financial Statements included in this Form 10-K for further details of related party transactions with our investments in the Affiliate Notes issued by our affiliates.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Rules 13a-15(e) and 15d-15(e) under the Securities Exchange Act of 1934. As of April 27, 2024, an evaluation was performed, under the supervision and with the participation of management, including our Chief Executive Officer and Chief Financial Officer, of the effectiveness of the design and operation of our disclosure controls and procedures. Based upon that evaluation, our Chief Executive Officer and Chief Financial Officer concluded that as of April 27, 2024,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the Chief Executive Officer and Chief Financial Officer, to allow timely decisions regarding required disclosure.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believe the consolidated financial statements included in this Annual Report on Form 10-K fairly represent, in all material respects, our financial condition, results of operations and cash flows as of and for the periods presented in accordance with U.S. GAAP.</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Year Material Weakness in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in our Annual Report on Form 10-K for the fiscal year ended April 29, 2023, a material weakness in our internal control over financial reporting was reported relating to the ineffective operation of certain transactional level controls related to revenue contracts recognized over time. These controls operated ineffectively due to insufficient training of the control operators as to the level of precision expected when executing the revenue controls in accordance with the Company's policy. The Company has made the following enhancements to internal controls to address the material weakness:</w:t>
      </w:r>
    </w:p>
    <w:p>
      <w:pPr>
        <w:spacing w:after="0" w:line="183"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policy and process over the extent of review procedures to be performed, the related documentation, and the level of precision used by the control operator.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to the control operators relating to the level of precision, evidence, and documentation expected when executing the revenue controls in accordance with the Company's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determined, through its testing, that the Company's internal controls related to revenue contracts recognized over time were designed and operated effectively for a sufficient period of time during fiscal 2024 to conclude that the previously identified material weakness has been remediated as of April 27,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Securities Exchange Act of 1934. Our system of internal control was designed to provide reasonable assurance regarding the reliability of financial reporting and the preparation of our financial statements for external purposes in accordance with accounting principles generally accepted in the United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criteria in Internal Control—Integrated Framework issued by the Committee of Sponsoring Organizations of the Treadway Commission (2013 Framework). Based on our evaluation under the criteria in the 2013 Framework, our management concluded our internal control over financial reporting was effective as of April 27,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April 27, 2024 has been audited by Deloitte &amp; Touche, LLP, our independent registered public accounting firm, as stated in their report, which is included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remediation of the material weakness noted above, during the quarter ended April 27, 2024, there have been no changes in our internal control over financial reporting that have materially affected, or are reasonably likely to materially affect, our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Reece A. Kurtenbach</w:t>
            </w:r>
          </w:p>
        </w:tc>
        <w:tc>
          <w:tcPr>
            <w:tcW w:w="3600" w:type="dxa"/>
            <w:vAlign w:val="bottom"/>
          </w:tcPr>
          <w:p>
            <w:pPr>
              <w:spacing w:after="0"/>
              <w:rPr>
                <w:sz w:val="18"/>
                <w:szCs w:val="18"/>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Sheila M. Anderson</w:t>
            </w:r>
          </w:p>
        </w:tc>
      </w:tr>
      <w:tr>
        <w:trPr>
          <w:trHeight w:val="2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Reece A. Kurtenbach</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Sheila M. Anderson</w:t>
            </w:r>
          </w:p>
        </w:tc>
      </w:tr>
      <w:tr>
        <w:trPr>
          <w:trHeight w:val="25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26, 2024</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June 26, 2024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Daktronics,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Daktronics, Inc. and subsidiaries (the “Company”) as of April 27, 2024, based on criteria established in Internal Control — Integrated Framework (2013) issued by the Committee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Sponsoring Organizations of the Treadway Commission (COSO). In our opinion, the Company maintained, in all material respects, effective internal control over financial reporting as of April 27, 2024, based on criteria established in Internal Control — Integrated Framework (2013) issued by COSO.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27, 2024 of the Company and our report dated June 26, 2024 expressed an unqualified opinion on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3" w:lineRule="auto"/>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June 26, 2024</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Daktronics, Inc. Stock Trading Policy for All Employees and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the “Daktronics, Inc. Stock Trading Policy for All Employees and Directors” (the “Stock Trading Policy”), which governs the purchase, sale and other dispositions of the Company’s securities by all of our directors, officers and employees and their family members sharing their same residence. The Stock Trading Policy is designed to promote compliance with insider trading laws, rules and regulations, as well as the rules and regulations of the Nasdaq Global Select Market. It prohibits those who are subject to the Stock Trading Policy from trading securities of any company, including Daktronics, while in possession of material non-public information, and from buying, selling or gifting Daktronics securities even if not in possession of such information during certain trading blackout periods, subject to limited exceptions. It also prohibits those who are subject to the Stock Trading Policy from effecting short sales of Daktronics securities and from engaging in hedging transactions and purchasing or selling derivative securities, such as puts and calls, relating to Daktronics securities. The foregoing summary of the Stock Trading Policy does not purport to be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complete and is qualified in its entirety by reference to the full text of the Stock Trading Policy furnished with this Form 10-K as Exhibit 19.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10 will be included under the captions "Proposal One - Election of Directors" and "Corporate Governance" in our Proxy Statement for our 2024 annual meeting of shareholders ("Proxy Statement") to be filed within 120 days after our most recent fiscal year-end. Any information concerning the compliance of our officers, directors, and 10 percent shareholders with Section 16(a) of the Securities Exchange Act of 1934 is incorporated by reference to the information to be contained in the Proxy Statement under the caption "Delinquent Section 16(a) Reports." The information regarding Audit Committee members and "Audit Committee Financial Experts" is incorporated by reference to the information to be contained in the Proxy Statement under the caption "Corporate Governance – Committees of the Board of Directors." The information regarding our Code of Conduct is incorporated by reference to the information to be contained in the Proxy Statement under the heading "Corporate Governance – Code of Conduct."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the compensation of our directors and officers for the fiscal year ended April 27, 2024 will be in the Proxy Statement under the heading “Proposal One - Election of Directors” and “Executive Compensation” and is incorporated herein by reference.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Code of Conduct which applies to all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www.daktronics.com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2023, the Board of Directors (the “Board”) of Daktronics, Inc. (the “Company”) adopted a Clawback Policy (the “Policy”) providing for the recoupment of certain executive compensation in the event of an accounting restatement resulting from the Company’s material noncompliance with financial reporting requirements under the federal securities laws. The Policy is filed as Exhibit 97 to this Form 10-K. It is designed to comply with Section 10D of and Rule 10D-1 under the Securities Exchange Act of 1934 (the “Exchange Act”) and Nasdaq Listing Rule 5608. This Policy applies to the Company's current and former executive officers, as determined by the Board in accordance with Section 10D of the Exchange Act and the listing standards of the Nasdaq Global Select Market and such other senior executives who may from time to time be deemed subject to the Policy by the Board (the “Covered Executives”). If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(defined below) received by any Covered Executive during the three completed fiscal years immediately preceding the date on which the Company is required to prepare an accounting restatement. For purposes of this Policy, the term "Incentive Compensation" means Incentive-Based Compensation as defined in accordance with Section 10D of the Exchange Act and the listing standards of the Nasdaq Global Select Market for Covered Executives if such compensation is granted, earned, or vested based wholly or in part on the attainment of a financial reporting measure, including “variable compensation” or “Margin Based Compensation” as referred to within the Company, and the term “financial reporting measures” has the same meaning as defined in accordance with Section 10D of the Exchange Act and the listing standards of the Nasdaq Global Select Market.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200" w:lineRule="exact"/>
        <w:rPr>
          <w:sz w:val="20"/>
          <w:szCs w:val="20"/>
          <w:color w:val="auto"/>
        </w:rPr>
      </w:pP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See "Note 17. Related Party" of the Notes to our Consolidated Financial Statements included in this Form 10-K for further details of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8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(a)(1)</w:t>
        <w:tab/>
        <w:t>Financial Statements</w:t>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financial statements, a description of which follows, are contained in Part II, Item 8:</w:t>
      </w:r>
    </w:p>
    <w:p>
      <w:pPr>
        <w:spacing w:after="0" w:line="3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 Deloitte &amp; Touche LLP</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April 27, 2024 and April 29, 2023</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each of the three fiscal years ended April 27, 2024, April 29, 2023 and April 30, 2022</w:t>
      </w:r>
    </w:p>
    <w:p>
      <w:pPr>
        <w:spacing w:after="0" w:line="279"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 for each of the three fiscal years ended April 27, 2024, April 29, 2023 and April 30, 2022</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Shareholders’ Equity for each of the three fiscal years ended April 27, 2024, April 29, 2023 and April 30, 2022</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each of the three fiscal years ended April 27, 2024, April 29, 2023 and April 30, 2022</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117" w:lineRule="exact"/>
        <w:rPr>
          <w:sz w:val="20"/>
          <w:szCs w:val="20"/>
          <w:color w:val="auto"/>
        </w:rPr>
      </w:pPr>
    </w:p>
    <w:p>
      <w:pPr>
        <w:ind w:left="700" w:hanging="67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333" w:lineRule="exact"/>
        <w:rPr>
          <w:rFonts w:ascii="Times New Roman" w:cs="Times New Roman" w:eastAsia="Times New Roman" w:hAnsi="Times New Roman"/>
          <w:sz w:val="18"/>
          <w:szCs w:val="18"/>
          <w:color w:val="auto"/>
        </w:rPr>
      </w:pPr>
    </w:p>
    <w:p>
      <w:pPr>
        <w:ind w:left="7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are omitted because they are not required or are not applicable or because the required information is included in the financial statements listed above.</w:t>
      </w:r>
    </w:p>
    <w:p>
      <w:pPr>
        <w:spacing w:after="0" w:line="53" w:lineRule="exact"/>
        <w:rPr>
          <w:rFonts w:ascii="Times New Roman" w:cs="Times New Roman" w:eastAsia="Times New Roman" w:hAnsi="Times New Roman"/>
          <w:sz w:val="18"/>
          <w:szCs w:val="18"/>
          <w:color w:val="auto"/>
        </w:rPr>
      </w:pPr>
    </w:p>
    <w:p>
      <w:pPr>
        <w:ind w:left="700" w:hanging="67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jc w:val="both"/>
        <w:ind w:left="700"/>
        <w:spacing w:after="0" w:line="312" w:lineRule="auto"/>
        <w:rPr>
          <w:sz w:val="20"/>
          <w:szCs w:val="20"/>
          <w:color w:val="auto"/>
        </w:rPr>
      </w:pPr>
      <w:r>
        <w:rPr>
          <w:rFonts w:ascii="Times New Roman" w:cs="Times New Roman" w:eastAsia="Times New Roman" w:hAnsi="Times New Roman"/>
          <w:sz w:val="17"/>
          <w:szCs w:val="17"/>
          <w:color w:val="auto"/>
        </w:rPr>
        <w:t>Certain of the following exhibits are incorporated by reference from prior filings. The form with which each exhibit was filed and the date of filed and the date of filing are as indicated below; the reports described below are filed as Commission File No. 001-38747 unless otherwise indicated.</w:t>
      </w:r>
    </w:p>
    <w:p>
      <w:pPr>
        <w:spacing w:after="0" w:line="32" w:lineRule="exact"/>
        <w:rPr>
          <w:sz w:val="20"/>
          <w:szCs w:val="20"/>
          <w:color w:val="auto"/>
        </w:rPr>
      </w:pPr>
    </w:p>
    <w:p>
      <w:pPr>
        <w:ind w:left="700" w:right="14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3.1</w:t>
      </w:r>
      <w:r>
        <w:rPr>
          <w:sz w:val="20"/>
          <w:szCs w:val="20"/>
          <w:color w:val="auto"/>
        </w:rPr>
        <w:tab/>
      </w:r>
      <w:hyperlink r:id="rId108">
        <w:r>
          <w:rPr>
            <w:rFonts w:ascii="Times New Roman" w:cs="Times New Roman" w:eastAsia="Times New Roman" w:hAnsi="Times New Roman"/>
            <w:sz w:val="18"/>
            <w:szCs w:val="18"/>
            <w:u w:val="single" w:color="auto"/>
            <w:color w:val="auto"/>
          </w:rPr>
          <w:t>Amended and Restated Articles of Incorporation of the Company (Incorporated by reference to Exhibit 3.1 of the Quarterly Report on Form 10-</w:t>
        </w:r>
      </w:hyperlink>
      <w:hyperlink r:id="rId108">
        <w:r>
          <w:rPr>
            <w:rFonts w:ascii="Times New Roman" w:cs="Times New Roman" w:eastAsia="Times New Roman" w:hAnsi="Times New Roman"/>
            <w:sz w:val="18"/>
            <w:szCs w:val="18"/>
            <w:u w:val="single" w:color="auto"/>
            <w:color w:val="auto"/>
          </w:rPr>
          <w:t>Q/A (Amendment No. 1) of Daktronics, Inc. filed on December 21, 2018).</w:t>
        </w:r>
      </w:hyperlink>
    </w:p>
    <w:p>
      <w:pPr>
        <w:spacing w:after="0" w:line="14" w:lineRule="exact"/>
        <w:rPr>
          <w:sz w:val="20"/>
          <w:szCs w:val="20"/>
          <w:color w:val="auto"/>
        </w:rPr>
      </w:pPr>
    </w:p>
    <w:p>
      <w:pPr>
        <w:ind w:left="700" w:right="34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3.2</w:t>
      </w:r>
      <w:r>
        <w:rPr>
          <w:sz w:val="20"/>
          <w:szCs w:val="20"/>
          <w:color w:val="auto"/>
        </w:rPr>
        <w:tab/>
      </w:r>
      <w:hyperlink r:id="rId109">
        <w:r>
          <w:rPr>
            <w:rFonts w:ascii="Times New Roman" w:cs="Times New Roman" w:eastAsia="Times New Roman" w:hAnsi="Times New Roman"/>
            <w:sz w:val="18"/>
            <w:szCs w:val="18"/>
            <w:u w:val="single" w:color="auto"/>
            <w:color w:val="auto"/>
          </w:rPr>
          <w:t>Amended and Restated Bylaws of the Company (Incorporated by reference to Exhibit 3.1 filed with our Current Report on Form 8-K filed on</w:t>
        </w:r>
      </w:hyperlink>
      <w:r>
        <w:rPr>
          <w:rFonts w:ascii="Times New Roman" w:cs="Times New Roman" w:eastAsia="Times New Roman" w:hAnsi="Times New Roman"/>
          <w:sz w:val="18"/>
          <w:szCs w:val="18"/>
          <w:u w:val="single" w:color="auto"/>
          <w:color w:val="auto"/>
        </w:rPr>
        <w:t xml:space="preserve"> </w:t>
      </w:r>
      <w:hyperlink r:id="rId109">
        <w:r>
          <w:rPr>
            <w:rFonts w:ascii="Times New Roman" w:cs="Times New Roman" w:eastAsia="Times New Roman" w:hAnsi="Times New Roman"/>
            <w:sz w:val="18"/>
            <w:szCs w:val="18"/>
            <w:u w:val="single" w:color="auto"/>
            <w:color w:val="auto"/>
          </w:rPr>
          <w:t>January 30, 2023).</w:t>
        </w:r>
      </w:hyperlink>
    </w:p>
    <w:p>
      <w:pPr>
        <w:spacing w:after="0" w:line="14" w:lineRule="exact"/>
        <w:rPr>
          <w:sz w:val="20"/>
          <w:szCs w:val="20"/>
          <w:color w:val="auto"/>
        </w:rPr>
      </w:pPr>
    </w:p>
    <w:p>
      <w:pPr>
        <w:ind w:left="700" w:hanging="674"/>
        <w:spacing w:after="0" w:line="281" w:lineRule="auto"/>
        <w:tabs>
          <w:tab w:leader="none" w:pos="6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Form of Stock Certificate Evidencing Common Stock, without par value, of the Company (Incorporated by reference to Exhibit 4.1 filed with our Amendment No. 1 to the Registration Statement on Form S-1 on January 12, 1994 as Commission File No. 33-72466).**</w:t>
      </w:r>
    </w:p>
    <w:p>
      <w:pPr>
        <w:spacing w:after="0" w:line="1" w:lineRule="exact"/>
        <w:rPr>
          <w:sz w:val="20"/>
          <w:szCs w:val="20"/>
          <w:color w:val="auto"/>
        </w:rPr>
      </w:pPr>
    </w:p>
    <w:p>
      <w:pPr>
        <w:ind w:left="700" w:right="20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4.2</w:t>
      </w:r>
      <w:r>
        <w:rPr>
          <w:sz w:val="20"/>
          <w:szCs w:val="20"/>
          <w:color w:val="auto"/>
        </w:rPr>
        <w:tab/>
      </w:r>
      <w:hyperlink r:id="rId110">
        <w:r>
          <w:rPr>
            <w:rFonts w:ascii="Times New Roman" w:cs="Times New Roman" w:eastAsia="Times New Roman" w:hAnsi="Times New Roman"/>
            <w:sz w:val="18"/>
            <w:szCs w:val="18"/>
            <w:u w:val="single" w:color="auto"/>
            <w:color w:val="auto"/>
          </w:rPr>
          <w:t>Rights Agreement dated as November 16, 2018 between Daktronics, Inc. and Equiniti Trust Company, as Rights Agent (Incorporated by</w:t>
        </w:r>
      </w:hyperlink>
      <w:r>
        <w:rPr>
          <w:rFonts w:ascii="Times New Roman" w:cs="Times New Roman" w:eastAsia="Times New Roman" w:hAnsi="Times New Roman"/>
          <w:sz w:val="18"/>
          <w:szCs w:val="18"/>
          <w:u w:val="single" w:color="auto"/>
          <w:color w:val="auto"/>
        </w:rPr>
        <w:t xml:space="preserve"> </w:t>
      </w:r>
      <w:hyperlink r:id="rId110">
        <w:r>
          <w:rPr>
            <w:rFonts w:ascii="Times New Roman" w:cs="Times New Roman" w:eastAsia="Times New Roman" w:hAnsi="Times New Roman"/>
            <w:sz w:val="18"/>
            <w:szCs w:val="18"/>
            <w:u w:val="single" w:color="auto"/>
            <w:color w:val="auto"/>
          </w:rPr>
          <w:t>reference to Exhibit 4.1 of the Current Report on Form 8-K of Daktronics, Inc. filed on November 16, 2018, Commission File No. 000-23246).</w:t>
        </w:r>
      </w:hyperlink>
    </w:p>
    <w:p>
      <w:pPr>
        <w:spacing w:after="0" w:line="14"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4.3</w:t>
      </w:r>
      <w:r>
        <w:rPr>
          <w:sz w:val="20"/>
          <w:szCs w:val="20"/>
          <w:color w:val="auto"/>
        </w:rPr>
        <w:tab/>
      </w:r>
      <w:hyperlink r:id="rId111">
        <w:r>
          <w:rPr>
            <w:rFonts w:ascii="Times New Roman" w:cs="Times New Roman" w:eastAsia="Times New Roman" w:hAnsi="Times New Roman"/>
            <w:sz w:val="18"/>
            <w:szCs w:val="18"/>
            <w:u w:val="single" w:color="auto"/>
            <w:color w:val="auto"/>
          </w:rPr>
          <w:t>First Amendment to Rights Agreement dated as of November 19, 2021 between Daktronics, Inc. and Equiniti Trust Company, as Rights Agent</w:t>
        </w:r>
      </w:hyperlink>
      <w:r>
        <w:rPr>
          <w:rFonts w:ascii="Times New Roman" w:cs="Times New Roman" w:eastAsia="Times New Roman" w:hAnsi="Times New Roman"/>
          <w:sz w:val="18"/>
          <w:szCs w:val="18"/>
          <w:u w:val="single" w:color="auto"/>
          <w:color w:val="auto"/>
        </w:rPr>
        <w:t xml:space="preserve"> </w:t>
      </w:r>
      <w:hyperlink r:id="rId111">
        <w:r>
          <w:rPr>
            <w:rFonts w:ascii="Times New Roman" w:cs="Times New Roman" w:eastAsia="Times New Roman" w:hAnsi="Times New Roman"/>
            <w:sz w:val="18"/>
            <w:szCs w:val="18"/>
            <w:u w:val="single" w:color="auto"/>
            <w:color w:val="auto"/>
          </w:rPr>
          <w:t>(Incorporated by reference to Exhibit 4.2 of the Current Report on Form 8-K of Daktronics, Inc. filed on November 19, 2021).</w:t>
        </w:r>
      </w:hyperlink>
    </w:p>
    <w:p>
      <w:pPr>
        <w:spacing w:after="0" w:line="1" w:lineRule="exact"/>
        <w:rPr>
          <w:sz w:val="20"/>
          <w:szCs w:val="20"/>
          <w:color w:val="auto"/>
        </w:rPr>
      </w:pPr>
    </w:p>
    <w:p>
      <w:pPr>
        <w:ind w:left="700" w:right="38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4.4</w:t>
      </w:r>
      <w:r>
        <w:rPr>
          <w:sz w:val="20"/>
          <w:szCs w:val="20"/>
          <w:color w:val="auto"/>
        </w:rPr>
        <w:tab/>
      </w:r>
      <w:hyperlink r:id="rId112">
        <w:r>
          <w:rPr>
            <w:rFonts w:ascii="Times New Roman" w:cs="Times New Roman" w:eastAsia="Times New Roman" w:hAnsi="Times New Roman"/>
            <w:sz w:val="18"/>
            <w:szCs w:val="18"/>
            <w:u w:val="single" w:color="auto"/>
            <w:color w:val="auto"/>
          </w:rPr>
          <w:t>Daktronics, Inc. 2007 Incentive Stock Plan (Incorporated by reference to Exhibit 10.1 filed with our Quarterly Report on Form 10-Q filed on</w:t>
        </w:r>
      </w:hyperlink>
      <w:r>
        <w:rPr>
          <w:rFonts w:ascii="Times New Roman" w:cs="Times New Roman" w:eastAsia="Times New Roman" w:hAnsi="Times New Roman"/>
          <w:sz w:val="18"/>
          <w:szCs w:val="18"/>
          <w:u w:val="single" w:color="auto"/>
          <w:color w:val="auto"/>
        </w:rPr>
        <w:t xml:space="preserve"> </w:t>
      </w:r>
      <w:hyperlink r:id="rId112">
        <w:r>
          <w:rPr>
            <w:rFonts w:ascii="Times New Roman" w:cs="Times New Roman" w:eastAsia="Times New Roman" w:hAnsi="Times New Roman"/>
            <w:sz w:val="18"/>
            <w:szCs w:val="18"/>
            <w:u w:val="single" w:color="auto"/>
            <w:color w:val="auto"/>
          </w:rPr>
          <w:t>August 20, 2007, Commission File No. 000-23246).*</w:t>
        </w:r>
      </w:hyperlink>
    </w:p>
    <w:p>
      <w:pPr>
        <w:spacing w:after="0" w:line="14" w:lineRule="exact"/>
        <w:rPr>
          <w:sz w:val="20"/>
          <w:szCs w:val="20"/>
          <w:color w:val="auto"/>
        </w:rPr>
      </w:pPr>
    </w:p>
    <w:p>
      <w:pPr>
        <w:ind w:left="700" w:right="18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4.5</w:t>
      </w:r>
      <w:r>
        <w:rPr>
          <w:sz w:val="20"/>
          <w:szCs w:val="20"/>
          <w:color w:val="auto"/>
        </w:rPr>
        <w:tab/>
      </w:r>
      <w:hyperlink r:id="rId113">
        <w:r>
          <w:rPr>
            <w:rFonts w:ascii="Times New Roman" w:cs="Times New Roman" w:eastAsia="Times New Roman" w:hAnsi="Times New Roman"/>
            <w:sz w:val="18"/>
            <w:szCs w:val="18"/>
            <w:u w:val="single" w:color="auto"/>
            <w:color w:val="auto"/>
          </w:rPr>
          <w:t>Daktronics, Inc. 2015 Incentive Stock Plan ("2015 Plan") (Incorporated by reference to Exhibit A to the Company's Definitive Proxy Statement</w:t>
        </w:r>
      </w:hyperlink>
      <w:r>
        <w:rPr>
          <w:rFonts w:ascii="Times New Roman" w:cs="Times New Roman" w:eastAsia="Times New Roman" w:hAnsi="Times New Roman"/>
          <w:sz w:val="18"/>
          <w:szCs w:val="18"/>
          <w:u w:val="single" w:color="auto"/>
          <w:color w:val="auto"/>
        </w:rPr>
        <w:t xml:space="preserve"> </w:t>
      </w:r>
      <w:hyperlink r:id="rId113">
        <w:r>
          <w:rPr>
            <w:rFonts w:ascii="Times New Roman" w:cs="Times New Roman" w:eastAsia="Times New Roman" w:hAnsi="Times New Roman"/>
            <w:sz w:val="18"/>
            <w:szCs w:val="18"/>
            <w:u w:val="single" w:color="auto"/>
            <w:color w:val="auto"/>
          </w:rPr>
          <w:t>on Schedule 14A filed on July 14, 2015, Commission File No. 000-23246).*</w:t>
        </w:r>
      </w:hyperlink>
    </w:p>
    <w:p>
      <w:pPr>
        <w:spacing w:after="0" w:line="14" w:lineRule="exact"/>
        <w:rPr>
          <w:sz w:val="20"/>
          <w:szCs w:val="20"/>
          <w:color w:val="auto"/>
        </w:rPr>
      </w:pPr>
    </w:p>
    <w:p>
      <w:pPr>
        <w:ind w:left="700" w:right="18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4.6</w:t>
      </w:r>
      <w:r>
        <w:rPr>
          <w:sz w:val="20"/>
          <w:szCs w:val="20"/>
          <w:color w:val="auto"/>
        </w:rPr>
        <w:tab/>
      </w:r>
      <w:hyperlink r:id="rId114">
        <w:r>
          <w:rPr>
            <w:rFonts w:ascii="Times New Roman" w:cs="Times New Roman" w:eastAsia="Times New Roman" w:hAnsi="Times New Roman"/>
            <w:sz w:val="18"/>
            <w:szCs w:val="18"/>
            <w:u w:val="single" w:color="auto"/>
            <w:color w:val="auto"/>
          </w:rPr>
          <w:t>Daktronics, Inc. 2020 Incentive Stock Plan ("2020 Plan") (Incorporated by reference to Exhibit A to the Company's Definitive Proxy Statement</w:t>
        </w:r>
      </w:hyperlink>
      <w:r>
        <w:rPr>
          <w:rFonts w:ascii="Times New Roman" w:cs="Times New Roman" w:eastAsia="Times New Roman" w:hAnsi="Times New Roman"/>
          <w:sz w:val="18"/>
          <w:szCs w:val="18"/>
          <w:u w:val="single" w:color="auto"/>
          <w:color w:val="auto"/>
        </w:rPr>
        <w:t xml:space="preserve"> </w:t>
      </w:r>
      <w:hyperlink r:id="rId114">
        <w:r>
          <w:rPr>
            <w:rFonts w:ascii="Times New Roman" w:cs="Times New Roman" w:eastAsia="Times New Roman" w:hAnsi="Times New Roman"/>
            <w:sz w:val="18"/>
            <w:szCs w:val="18"/>
            <w:u w:val="single" w:color="auto"/>
            <w:color w:val="auto"/>
          </w:rPr>
          <w:t>on Schedule 14A filed on July 16, 2020).*</w:t>
        </w:r>
      </w:hyperlink>
    </w:p>
    <w:p>
      <w:pPr>
        <w:spacing w:after="0" w:line="14" w:lineRule="exact"/>
        <w:rPr>
          <w:sz w:val="20"/>
          <w:szCs w:val="20"/>
          <w:color w:val="auto"/>
        </w:rPr>
      </w:pPr>
    </w:p>
    <w:p>
      <w:pPr>
        <w:ind w:left="700" w:right="40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4.7</w:t>
      </w:r>
      <w:r>
        <w:rPr>
          <w:sz w:val="20"/>
          <w:szCs w:val="20"/>
          <w:color w:val="auto"/>
        </w:rPr>
        <w:tab/>
      </w:r>
      <w:hyperlink r:id="rId115">
        <w:r>
          <w:rPr>
            <w:rFonts w:ascii="Times New Roman" w:cs="Times New Roman" w:eastAsia="Times New Roman" w:hAnsi="Times New Roman"/>
            <w:sz w:val="18"/>
            <w:szCs w:val="18"/>
            <w:u w:val="single" w:color="auto"/>
            <w:color w:val="auto"/>
          </w:rPr>
          <w:t>Form of Restricted Stock Award Agreement under the 2020 Plan (Incorporated by reference to Exhibit 10.2 filed with our Current Report on</w:t>
        </w:r>
      </w:hyperlink>
      <w:r>
        <w:rPr>
          <w:rFonts w:ascii="Times New Roman" w:cs="Times New Roman" w:eastAsia="Times New Roman" w:hAnsi="Times New Roman"/>
          <w:sz w:val="18"/>
          <w:szCs w:val="18"/>
          <w:u w:val="single" w:color="auto"/>
          <w:color w:val="auto"/>
        </w:rPr>
        <w:t xml:space="preserve"> </w:t>
      </w:r>
      <w:hyperlink r:id="rId115">
        <w:r>
          <w:rPr>
            <w:rFonts w:ascii="Times New Roman" w:cs="Times New Roman" w:eastAsia="Times New Roman" w:hAnsi="Times New Roman"/>
            <w:sz w:val="18"/>
            <w:szCs w:val="18"/>
            <w:u w:val="single" w:color="auto"/>
            <w:color w:val="auto"/>
          </w:rPr>
          <w:t>Form 8-K filed on September 3, 2020).*</w:t>
        </w:r>
      </w:hyperlink>
    </w:p>
    <w:p>
      <w:pPr>
        <w:spacing w:after="0" w:line="14" w:lineRule="exact"/>
        <w:rPr>
          <w:sz w:val="20"/>
          <w:szCs w:val="20"/>
          <w:color w:val="auto"/>
        </w:rPr>
      </w:pPr>
    </w:p>
    <w:p>
      <w:pPr>
        <w:ind w:left="700" w:right="6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4.8</w:t>
      </w:r>
      <w:r>
        <w:rPr>
          <w:sz w:val="20"/>
          <w:szCs w:val="20"/>
          <w:color w:val="auto"/>
        </w:rPr>
        <w:tab/>
      </w:r>
      <w:hyperlink r:id="rId116">
        <w:r>
          <w:rPr>
            <w:rFonts w:ascii="Times New Roman" w:cs="Times New Roman" w:eastAsia="Times New Roman" w:hAnsi="Times New Roman"/>
            <w:sz w:val="18"/>
            <w:szCs w:val="18"/>
            <w:u w:val="single" w:color="auto"/>
            <w:color w:val="auto"/>
          </w:rPr>
          <w:t>Form of Non-Qualified Stock Option Agreement Terms and Conditions under the 2020 Plan (Incorporated by reference to Exhibit 10.3 filed with</w:t>
        </w:r>
      </w:hyperlink>
      <w:r>
        <w:rPr>
          <w:rFonts w:ascii="Times New Roman" w:cs="Times New Roman" w:eastAsia="Times New Roman" w:hAnsi="Times New Roman"/>
          <w:sz w:val="18"/>
          <w:szCs w:val="18"/>
          <w:u w:val="single" w:color="auto"/>
          <w:color w:val="auto"/>
        </w:rPr>
        <w:t xml:space="preserve"> </w:t>
      </w:r>
      <w:hyperlink r:id="rId116">
        <w:r>
          <w:rPr>
            <w:rFonts w:ascii="Times New Roman" w:cs="Times New Roman" w:eastAsia="Times New Roman" w:hAnsi="Times New Roman"/>
            <w:sz w:val="18"/>
            <w:szCs w:val="18"/>
            <w:u w:val="single" w:color="auto"/>
            <w:color w:val="auto"/>
          </w:rPr>
          <w:t>our Current Report on Form 8-K filed on September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-38735</wp:posOffset>
            </wp:positionV>
            <wp:extent cx="28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700" w:right="40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4.9</w:t>
      </w:r>
      <w:r>
        <w:rPr>
          <w:sz w:val="20"/>
          <w:szCs w:val="20"/>
          <w:color w:val="auto"/>
        </w:rPr>
        <w:tab/>
      </w:r>
      <w:hyperlink r:id="rId118">
        <w:r>
          <w:rPr>
            <w:rFonts w:ascii="Times New Roman" w:cs="Times New Roman" w:eastAsia="Times New Roman" w:hAnsi="Times New Roman"/>
            <w:sz w:val="18"/>
            <w:szCs w:val="18"/>
            <w:u w:val="single" w:color="auto"/>
            <w:color w:val="auto"/>
          </w:rPr>
          <w:t>Form of Incentive Stock Option Terms and Conditions under the 2020 Plan (Incorporated by reference to Exhibit 10.4 filed with our Current</w:t>
        </w:r>
      </w:hyperlink>
      <w:r>
        <w:rPr>
          <w:rFonts w:ascii="Times New Roman" w:cs="Times New Roman" w:eastAsia="Times New Roman" w:hAnsi="Times New Roman"/>
          <w:sz w:val="18"/>
          <w:szCs w:val="18"/>
          <w:u w:val="single" w:color="auto"/>
          <w:color w:val="auto"/>
        </w:rPr>
        <w:t xml:space="preserve"> </w:t>
      </w:r>
      <w:hyperlink r:id="rId118">
        <w:r>
          <w:rPr>
            <w:rFonts w:ascii="Times New Roman" w:cs="Times New Roman" w:eastAsia="Times New Roman" w:hAnsi="Times New Roman"/>
            <w:sz w:val="18"/>
            <w:szCs w:val="18"/>
            <w:u w:val="single" w:color="auto"/>
            <w:color w:val="auto"/>
          </w:rPr>
          <w:t>Report on Form 8-K filed on September 3, 2020).*</w:t>
        </w:r>
      </w:hyperlink>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0" w:right="52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4.10</w:t>
      </w:r>
      <w:r>
        <w:rPr>
          <w:sz w:val="20"/>
          <w:szCs w:val="20"/>
          <w:color w:val="auto"/>
        </w:rPr>
        <w:tab/>
      </w:r>
      <w:hyperlink r:id="rId120">
        <w:r>
          <w:rPr>
            <w:rFonts w:ascii="Times New Roman" w:cs="Times New Roman" w:eastAsia="Times New Roman" w:hAnsi="Times New Roman"/>
            <w:sz w:val="18"/>
            <w:szCs w:val="18"/>
            <w:u w:val="single" w:color="auto"/>
            <w:color w:val="auto"/>
          </w:rPr>
          <w:t>Form of Restricted Stock Unit Terms and Conditions under the 2020 Plan (Incorporated by reference to Exhibit 10.5 filed with our Current</w:t>
        </w:r>
      </w:hyperlink>
      <w:r>
        <w:rPr>
          <w:rFonts w:ascii="Times New Roman" w:cs="Times New Roman" w:eastAsia="Times New Roman" w:hAnsi="Times New Roman"/>
          <w:sz w:val="18"/>
          <w:szCs w:val="18"/>
          <w:u w:val="single" w:color="auto"/>
          <w:color w:val="auto"/>
        </w:rPr>
        <w:t xml:space="preserve"> </w:t>
      </w:r>
      <w:hyperlink r:id="rId120">
        <w:r>
          <w:rPr>
            <w:rFonts w:ascii="Times New Roman" w:cs="Times New Roman" w:eastAsia="Times New Roman" w:hAnsi="Times New Roman"/>
            <w:sz w:val="18"/>
            <w:szCs w:val="18"/>
            <w:u w:val="single" w:color="auto"/>
            <w:color w:val="auto"/>
          </w:rPr>
          <w:t>Report on Form 8-K filed on September 3, 2020).*</w:t>
        </w:r>
      </w:hyperlink>
    </w:p>
    <w:p>
      <w:pPr>
        <w:spacing w:after="0" w:line="14" w:lineRule="exact"/>
        <w:rPr>
          <w:sz w:val="20"/>
          <w:szCs w:val="20"/>
          <w:color w:val="auto"/>
        </w:rPr>
      </w:pPr>
    </w:p>
    <w:p>
      <w:pPr>
        <w:ind w:left="700" w:right="2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4.11</w:t>
      </w:r>
      <w:r>
        <w:rPr>
          <w:sz w:val="20"/>
          <w:szCs w:val="20"/>
          <w:color w:val="auto"/>
        </w:rPr>
        <w:tab/>
      </w:r>
      <w:hyperlink r:id="rId121">
        <w:r>
          <w:rPr>
            <w:rFonts w:ascii="Times New Roman" w:cs="Times New Roman" w:eastAsia="Times New Roman" w:hAnsi="Times New Roman"/>
            <w:sz w:val="18"/>
            <w:szCs w:val="18"/>
            <w:u w:val="single" w:color="auto"/>
            <w:color w:val="auto"/>
          </w:rPr>
          <w:t>Description of the Registrant’s Securities Registered Pursuant to Section 12 of the Securities Exchange Act of 1934. (Incorporated by reference to</w:t>
        </w:r>
      </w:hyperlink>
      <w:r>
        <w:rPr>
          <w:rFonts w:ascii="Times New Roman" w:cs="Times New Roman" w:eastAsia="Times New Roman" w:hAnsi="Times New Roman"/>
          <w:sz w:val="18"/>
          <w:szCs w:val="18"/>
          <w:u w:val="single" w:color="auto"/>
          <w:color w:val="auto"/>
        </w:rPr>
        <w:t xml:space="preserve"> </w:t>
      </w:r>
      <w:hyperlink r:id="rId121">
        <w:r>
          <w:rPr>
            <w:rFonts w:ascii="Times New Roman" w:cs="Times New Roman" w:eastAsia="Times New Roman" w:hAnsi="Times New Roman"/>
            <w:sz w:val="18"/>
            <w:szCs w:val="18"/>
            <w:u w:val="single" w:color="auto"/>
            <w:color w:val="auto"/>
          </w:rPr>
          <w:t>Exhibit 4.11 files with our Annual Report on Form 10-K filed on July 12, 2023).)</w:t>
        </w:r>
      </w:hyperlink>
    </w:p>
    <w:p>
      <w:pPr>
        <w:spacing w:after="0" w:line="14" w:lineRule="exact"/>
        <w:rPr>
          <w:sz w:val="20"/>
          <w:szCs w:val="20"/>
          <w:color w:val="auto"/>
        </w:rPr>
      </w:pPr>
    </w:p>
    <w:p>
      <w:pPr>
        <w:ind w:left="700" w:right="32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w:t>
      </w:r>
      <w:r>
        <w:rPr>
          <w:sz w:val="20"/>
          <w:szCs w:val="20"/>
          <w:color w:val="auto"/>
        </w:rPr>
        <w:tab/>
      </w:r>
      <w:hyperlink r:id="rId122">
        <w:r>
          <w:rPr>
            <w:rFonts w:ascii="Times New Roman" w:cs="Times New Roman" w:eastAsia="Times New Roman" w:hAnsi="Times New Roman"/>
            <w:sz w:val="18"/>
            <w:szCs w:val="18"/>
            <w:u w:val="single" w:color="auto"/>
            <w:color w:val="auto"/>
          </w:rPr>
          <w:t>Credit Agreement dated November 15, 2016 by and between the Company and U.S. Bank National Association (Incorporated by reference to</w:t>
        </w:r>
      </w:hyperlink>
      <w:r>
        <w:rPr>
          <w:rFonts w:ascii="Times New Roman" w:cs="Times New Roman" w:eastAsia="Times New Roman" w:hAnsi="Times New Roman"/>
          <w:sz w:val="18"/>
          <w:szCs w:val="18"/>
          <w:u w:val="single" w:color="auto"/>
          <w:color w:val="auto"/>
        </w:rPr>
        <w:t xml:space="preserve"> </w:t>
      </w:r>
      <w:hyperlink r:id="rId122">
        <w:r>
          <w:rPr>
            <w:rFonts w:ascii="Times New Roman" w:cs="Times New Roman" w:eastAsia="Times New Roman" w:hAnsi="Times New Roman"/>
            <w:sz w:val="18"/>
            <w:szCs w:val="18"/>
            <w:u w:val="single" w:color="auto"/>
            <w:color w:val="auto"/>
          </w:rPr>
          <w:t>Exhibit 10.1 filed with our Current Report on Form 8-K filed on November 16, 2016, Commission File No. 000-23246).</w:t>
        </w:r>
      </w:hyperlink>
    </w:p>
    <w:p>
      <w:pPr>
        <w:spacing w:after="0" w:line="14" w:lineRule="exact"/>
        <w:rPr>
          <w:sz w:val="20"/>
          <w:szCs w:val="20"/>
          <w:color w:val="auto"/>
        </w:rPr>
      </w:pPr>
    </w:p>
    <w:p>
      <w:pPr>
        <w:ind w:left="700" w:right="12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10.2</w:t>
      </w:r>
      <w:r>
        <w:rPr>
          <w:sz w:val="20"/>
          <w:szCs w:val="20"/>
          <w:color w:val="auto"/>
        </w:rPr>
        <w:tab/>
      </w:r>
      <w:hyperlink r:id="rId123">
        <w:r>
          <w:rPr>
            <w:rFonts w:ascii="Times New Roman" w:cs="Times New Roman" w:eastAsia="Times New Roman" w:hAnsi="Times New Roman"/>
            <w:sz w:val="18"/>
            <w:szCs w:val="18"/>
            <w:u w:val="single" w:color="auto"/>
            <w:color w:val="auto"/>
          </w:rPr>
          <w:t>Revolving Note dated November 15, 2016 issued by the Company to U.S. Bank National Association (Incorporated by reference to Exhibit 10.2</w:t>
        </w:r>
      </w:hyperlink>
      <w:r>
        <w:rPr>
          <w:rFonts w:ascii="Times New Roman" w:cs="Times New Roman" w:eastAsia="Times New Roman" w:hAnsi="Times New Roman"/>
          <w:sz w:val="18"/>
          <w:szCs w:val="18"/>
          <w:u w:val="single" w:color="auto"/>
          <w:color w:val="auto"/>
        </w:rPr>
        <w:t xml:space="preserve"> </w:t>
      </w:r>
      <w:hyperlink r:id="rId123">
        <w:r>
          <w:rPr>
            <w:rFonts w:ascii="Times New Roman" w:cs="Times New Roman" w:eastAsia="Times New Roman" w:hAnsi="Times New Roman"/>
            <w:sz w:val="18"/>
            <w:szCs w:val="18"/>
            <w:u w:val="single" w:color="auto"/>
            <w:color w:val="auto"/>
          </w:rPr>
          <w:t>filed with our Current Report on Form 8-K filed on November 16, 2016, Commission File No. 000-23246).</w:t>
        </w:r>
      </w:hyperlink>
    </w:p>
    <w:p>
      <w:pPr>
        <w:spacing w:after="0" w:line="14" w:lineRule="exact"/>
        <w:rPr>
          <w:sz w:val="20"/>
          <w:szCs w:val="20"/>
          <w:color w:val="auto"/>
        </w:rPr>
      </w:pPr>
    </w:p>
    <w:p>
      <w:pPr>
        <w:ind w:left="700" w:right="40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10.3</w:t>
      </w:r>
      <w:r>
        <w:rPr>
          <w:sz w:val="20"/>
          <w:szCs w:val="20"/>
          <w:color w:val="auto"/>
        </w:rPr>
        <w:tab/>
      </w:r>
      <w:hyperlink r:id="rId124">
        <w:r>
          <w:rPr>
            <w:rFonts w:ascii="Times New Roman" w:cs="Times New Roman" w:eastAsia="Times New Roman" w:hAnsi="Times New Roman"/>
            <w:sz w:val="18"/>
            <w:szCs w:val="18"/>
            <w:u w:val="single" w:color="auto"/>
            <w:color w:val="auto"/>
          </w:rPr>
          <w:t>Second Amendment to Credit Agreement dated as of November 15, 2019 by and between the Company and U.S. Bank National Association</w:t>
        </w:r>
      </w:hyperlink>
      <w:r>
        <w:rPr>
          <w:rFonts w:ascii="Times New Roman" w:cs="Times New Roman" w:eastAsia="Times New Roman" w:hAnsi="Times New Roman"/>
          <w:sz w:val="18"/>
          <w:szCs w:val="18"/>
          <w:u w:val="single" w:color="auto"/>
          <w:color w:val="auto"/>
        </w:rPr>
        <w:t xml:space="preserve"> </w:t>
      </w:r>
      <w:hyperlink r:id="rId124">
        <w:r>
          <w:rPr>
            <w:rFonts w:ascii="Times New Roman" w:cs="Times New Roman" w:eastAsia="Times New Roman" w:hAnsi="Times New Roman"/>
            <w:sz w:val="18"/>
            <w:szCs w:val="18"/>
            <w:u w:val="single" w:color="auto"/>
            <w:color w:val="auto"/>
          </w:rPr>
          <w:t>(Incorporated by reference to Exhibit 10.1 filed with our Current Report on Form 8-K filed on November 15, 2019).</w:t>
        </w:r>
      </w:hyperlink>
    </w:p>
    <w:p>
      <w:pPr>
        <w:spacing w:after="0" w:line="14" w:lineRule="exact"/>
        <w:rPr>
          <w:sz w:val="20"/>
          <w:szCs w:val="20"/>
          <w:color w:val="auto"/>
        </w:rPr>
      </w:pPr>
    </w:p>
    <w:p>
      <w:pPr>
        <w:ind w:left="700" w:right="760" w:hanging="674"/>
        <w:spacing w:after="0" w:line="290" w:lineRule="auto"/>
        <w:tabs>
          <w:tab w:leader="none" w:pos="680" w:val="left"/>
        </w:tabs>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10.4</w:t>
      </w:r>
      <w:r>
        <w:rPr>
          <w:sz w:val="20"/>
          <w:szCs w:val="20"/>
          <w:color w:val="auto"/>
        </w:rPr>
        <w:tab/>
      </w:r>
      <w:hyperlink r:id="rId125">
        <w:r>
          <w:rPr>
            <w:rFonts w:ascii="Times New Roman" w:cs="Times New Roman" w:eastAsia="Times New Roman" w:hAnsi="Times New Roman"/>
            <w:sz w:val="17"/>
            <w:szCs w:val="17"/>
            <w:u w:val="single" w:color="auto"/>
            <w:color w:val="auto"/>
          </w:rPr>
          <w:t>Third Amendment to Credit Agreement dated as of August 28, 2020 by and between the Company and U.S. Bank National Association</w:t>
        </w:r>
      </w:hyperlink>
      <w:r>
        <w:rPr>
          <w:rFonts w:ascii="Times New Roman" w:cs="Times New Roman" w:eastAsia="Times New Roman" w:hAnsi="Times New Roman"/>
          <w:sz w:val="17"/>
          <w:szCs w:val="17"/>
          <w:u w:val="single" w:color="auto"/>
          <w:color w:val="auto"/>
        </w:rPr>
        <w:t xml:space="preserve"> </w:t>
      </w:r>
      <w:hyperlink r:id="rId125">
        <w:r>
          <w:rPr>
            <w:rFonts w:ascii="Times New Roman" w:cs="Times New Roman" w:eastAsia="Times New Roman" w:hAnsi="Times New Roman"/>
            <w:sz w:val="17"/>
            <w:szCs w:val="17"/>
            <w:u w:val="single" w:color="auto"/>
            <w:color w:val="auto"/>
          </w:rPr>
          <w:t>(Incorporated by reference to Exhibit 10.4 filed with our Current Report on Form 10-Q of Daktronics, Inc. filed on August 28, 2020).</w:t>
        </w:r>
      </w:hyperlink>
    </w:p>
    <w:p>
      <w:pPr>
        <w:ind w:left="700" w:right="74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10.5</w:t>
      </w:r>
      <w:r>
        <w:rPr>
          <w:sz w:val="20"/>
          <w:szCs w:val="20"/>
          <w:color w:val="auto"/>
        </w:rPr>
        <w:tab/>
      </w:r>
      <w:hyperlink r:id="rId126">
        <w:r>
          <w:rPr>
            <w:rFonts w:ascii="Times New Roman" w:cs="Times New Roman" w:eastAsia="Times New Roman" w:hAnsi="Times New Roman"/>
            <w:sz w:val="18"/>
            <w:szCs w:val="18"/>
            <w:u w:val="single" w:color="auto"/>
            <w:color w:val="auto"/>
          </w:rPr>
          <w:t>Fourth Amendment to Credit Agreement dated as of March 11, 2021 by and between the Company and U.S. Bank National Association</w:t>
        </w:r>
      </w:hyperlink>
      <w:r>
        <w:rPr>
          <w:rFonts w:ascii="Times New Roman" w:cs="Times New Roman" w:eastAsia="Times New Roman" w:hAnsi="Times New Roman"/>
          <w:sz w:val="18"/>
          <w:szCs w:val="18"/>
          <w:u w:val="single" w:color="auto"/>
          <w:color w:val="auto"/>
        </w:rPr>
        <w:t xml:space="preserve"> </w:t>
      </w:r>
      <w:hyperlink r:id="rId126">
        <w:r>
          <w:rPr>
            <w:rFonts w:ascii="Times New Roman" w:cs="Times New Roman" w:eastAsia="Times New Roman" w:hAnsi="Times New Roman"/>
            <w:sz w:val="18"/>
            <w:szCs w:val="18"/>
            <w:u w:val="single" w:color="auto"/>
            <w:color w:val="auto"/>
          </w:rPr>
          <w:t>(Incorporated by reference to Exhibit 10.5 filed with our Annual Report on Form 10-K filed on June 11, 2021).</w:t>
        </w:r>
      </w:hyperlink>
    </w:p>
    <w:p>
      <w:pPr>
        <w:spacing w:after="0" w:line="14"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10.6</w:t>
      </w:r>
      <w:r>
        <w:rPr>
          <w:sz w:val="20"/>
          <w:szCs w:val="20"/>
          <w:color w:val="auto"/>
        </w:rPr>
        <w:tab/>
      </w:r>
      <w:hyperlink r:id="rId127">
        <w:r>
          <w:rPr>
            <w:rFonts w:ascii="Times New Roman" w:cs="Times New Roman" w:eastAsia="Times New Roman" w:hAnsi="Times New Roman"/>
            <w:sz w:val="18"/>
            <w:szCs w:val="18"/>
            <w:u w:val="single" w:color="auto"/>
            <w:color w:val="auto"/>
          </w:rPr>
          <w:t>Fifth Amendment to Credit Agreement dated as of April 29, 2022 by and between the Company and U.S. Bank National Association</w:t>
        </w:r>
      </w:hyperlink>
      <w:r>
        <w:rPr>
          <w:rFonts w:ascii="Times New Roman" w:cs="Times New Roman" w:eastAsia="Times New Roman" w:hAnsi="Times New Roman"/>
          <w:sz w:val="18"/>
          <w:szCs w:val="18"/>
          <w:u w:val="single" w:color="auto"/>
          <w:color w:val="auto"/>
        </w:rPr>
        <w:t xml:space="preserve"> </w:t>
      </w:r>
      <w:hyperlink r:id="rId127">
        <w:r>
          <w:rPr>
            <w:rFonts w:ascii="Times New Roman" w:cs="Times New Roman" w:eastAsia="Times New Roman" w:hAnsi="Times New Roman"/>
            <w:sz w:val="18"/>
            <w:szCs w:val="18"/>
            <w:u w:val="single" w:color="auto"/>
            <w:color w:val="auto"/>
          </w:rPr>
          <w:t>(Incorporated by reference to Exhibit 10.1 filed with our Current Report on Form 8-K filed on April 29, 2022).</w:t>
        </w:r>
      </w:hyperlink>
    </w:p>
    <w:p>
      <w:pPr>
        <w:spacing w:after="0" w:line="1" w:lineRule="exact"/>
        <w:rPr>
          <w:sz w:val="20"/>
          <w:szCs w:val="20"/>
          <w:color w:val="auto"/>
        </w:rPr>
      </w:pPr>
    </w:p>
    <w:p>
      <w:pPr>
        <w:ind w:left="700" w:right="2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10.7</w:t>
      </w:r>
      <w:r>
        <w:rPr>
          <w:sz w:val="20"/>
          <w:szCs w:val="20"/>
          <w:color w:val="auto"/>
        </w:rPr>
        <w:tab/>
      </w:r>
      <w:hyperlink r:id="rId128">
        <w:r>
          <w:rPr>
            <w:rFonts w:ascii="Times New Roman" w:cs="Times New Roman" w:eastAsia="Times New Roman" w:hAnsi="Times New Roman"/>
            <w:sz w:val="18"/>
            <w:szCs w:val="18"/>
            <w:u w:val="single" w:color="auto"/>
            <w:color w:val="auto"/>
          </w:rPr>
          <w:t>Amendment to Credit Agreement and Revolving Note dated as of August 16, 2022 by and between the Company and U.S. Bank National</w:t>
        </w:r>
      </w:hyperlink>
      <w:r>
        <w:rPr>
          <w:rFonts w:ascii="Times New Roman" w:cs="Times New Roman" w:eastAsia="Times New Roman" w:hAnsi="Times New Roman"/>
          <w:sz w:val="18"/>
          <w:szCs w:val="18"/>
          <w:u w:val="single" w:color="auto"/>
          <w:color w:val="auto"/>
        </w:rPr>
        <w:t xml:space="preserve"> </w:t>
      </w:r>
      <w:hyperlink r:id="rId128">
        <w:r>
          <w:rPr>
            <w:rFonts w:ascii="Times New Roman" w:cs="Times New Roman" w:eastAsia="Times New Roman" w:hAnsi="Times New Roman"/>
            <w:sz w:val="18"/>
            <w:szCs w:val="18"/>
            <w:u w:val="single" w:color="auto"/>
            <w:color w:val="auto"/>
          </w:rPr>
          <w:t>Association (Incorporated by reference to Exhibit 10.1 files with our Current Report on Form 8-K filed on August 18, 2022).</w:t>
        </w:r>
      </w:hyperlink>
    </w:p>
    <w:p>
      <w:pPr>
        <w:spacing w:after="0" w:line="1"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10.8</w:t>
      </w:r>
      <w:r>
        <w:rPr>
          <w:sz w:val="20"/>
          <w:szCs w:val="20"/>
          <w:color w:val="auto"/>
        </w:rPr>
        <w:tab/>
      </w:r>
      <w:hyperlink r:id="rId129">
        <w:r>
          <w:rPr>
            <w:rFonts w:ascii="Times New Roman" w:cs="Times New Roman" w:eastAsia="Times New Roman" w:hAnsi="Times New Roman"/>
            <w:sz w:val="18"/>
            <w:szCs w:val="18"/>
            <w:u w:val="single" w:color="auto"/>
            <w:color w:val="auto"/>
          </w:rPr>
          <w:t>Amendment to Credit Agreement and Revolving Note dated as of October 31, 2022 by and between the Company and U.S. Bank National</w:t>
        </w:r>
      </w:hyperlink>
      <w:r>
        <w:rPr>
          <w:rFonts w:ascii="Times New Roman" w:cs="Times New Roman" w:eastAsia="Times New Roman" w:hAnsi="Times New Roman"/>
          <w:sz w:val="18"/>
          <w:szCs w:val="18"/>
          <w:u w:val="single" w:color="auto"/>
          <w:color w:val="auto"/>
        </w:rPr>
        <w:t xml:space="preserve"> </w:t>
      </w:r>
      <w:hyperlink r:id="rId129">
        <w:r>
          <w:rPr>
            <w:rFonts w:ascii="Times New Roman" w:cs="Times New Roman" w:eastAsia="Times New Roman" w:hAnsi="Times New Roman"/>
            <w:sz w:val="18"/>
            <w:szCs w:val="18"/>
            <w:u w:val="single" w:color="auto"/>
            <w:color w:val="auto"/>
          </w:rPr>
          <w:t>Association (Incorporated by reference to Exhibit 10.1 filed with our Current Report on Form 8-K filed on November 1, 2022).</w:t>
        </w:r>
      </w:hyperlink>
    </w:p>
    <w:p>
      <w:pPr>
        <w:spacing w:after="0" w:line="1"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10.9</w:t>
      </w:r>
      <w:r>
        <w:rPr>
          <w:sz w:val="20"/>
          <w:szCs w:val="20"/>
          <w:color w:val="auto"/>
        </w:rPr>
        <w:tab/>
      </w:r>
      <w:hyperlink r:id="rId130">
        <w:r>
          <w:rPr>
            <w:rFonts w:ascii="Times New Roman" w:cs="Times New Roman" w:eastAsia="Times New Roman" w:hAnsi="Times New Roman"/>
            <w:sz w:val="18"/>
            <w:szCs w:val="18"/>
            <w:u w:val="single" w:color="auto"/>
            <w:color w:val="auto"/>
          </w:rPr>
          <w:t>Sixth Amendment to Credit Agreement dated as of December 9, 2022 by and between the Company and U.S. Bank National Association</w:t>
        </w:r>
      </w:hyperlink>
      <w:r>
        <w:rPr>
          <w:rFonts w:ascii="Times New Roman" w:cs="Times New Roman" w:eastAsia="Times New Roman" w:hAnsi="Times New Roman"/>
          <w:sz w:val="18"/>
          <w:szCs w:val="18"/>
          <w:u w:val="single" w:color="auto"/>
          <w:color w:val="auto"/>
        </w:rPr>
        <w:t xml:space="preserve"> </w:t>
      </w:r>
      <w:hyperlink r:id="rId130">
        <w:r>
          <w:rPr>
            <w:rFonts w:ascii="Times New Roman" w:cs="Times New Roman" w:eastAsia="Times New Roman" w:hAnsi="Times New Roman"/>
            <w:sz w:val="18"/>
            <w:szCs w:val="18"/>
            <w:u w:val="single" w:color="auto"/>
            <w:color w:val="auto"/>
          </w:rPr>
          <w:t>(Incorporated by reference to Exhibit 10.1 filed with our Current Report on Form 8-K filed on December 13, 2022).</w:t>
        </w:r>
      </w:hyperlink>
    </w:p>
    <w:p>
      <w:pPr>
        <w:spacing w:after="0" w:line="1"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10.10</w:t>
      </w:r>
      <w:r>
        <w:rPr>
          <w:sz w:val="20"/>
          <w:szCs w:val="20"/>
          <w:color w:val="auto"/>
        </w:rPr>
        <w:tab/>
      </w:r>
      <w:hyperlink r:id="rId131">
        <w:r>
          <w:rPr>
            <w:rFonts w:ascii="Times New Roman" w:cs="Times New Roman" w:eastAsia="Times New Roman" w:hAnsi="Times New Roman"/>
            <w:sz w:val="18"/>
            <w:szCs w:val="18"/>
            <w:u w:val="single" w:color="auto"/>
            <w:color w:val="auto"/>
          </w:rPr>
          <w:t>Seventh Amendment to Credit Agreement dated as of January 23, 2023 by and between the Company and U.S. Bank National Association</w:t>
        </w:r>
      </w:hyperlink>
      <w:r>
        <w:rPr>
          <w:rFonts w:ascii="Times New Roman" w:cs="Times New Roman" w:eastAsia="Times New Roman" w:hAnsi="Times New Roman"/>
          <w:sz w:val="18"/>
          <w:szCs w:val="18"/>
          <w:u w:val="single" w:color="auto"/>
          <w:color w:val="auto"/>
        </w:rPr>
        <w:t xml:space="preserve"> </w:t>
      </w:r>
      <w:hyperlink r:id="rId131">
        <w:r>
          <w:rPr>
            <w:rFonts w:ascii="Times New Roman" w:cs="Times New Roman" w:eastAsia="Times New Roman" w:hAnsi="Times New Roman"/>
            <w:sz w:val="18"/>
            <w:szCs w:val="18"/>
            <w:u w:val="single" w:color="auto"/>
            <w:color w:val="auto"/>
          </w:rPr>
          <w:t>(Incorporated by reference to Exhibit 10.1 filed with our Current Report on Form 8-K filed on January 25, 2023).</w:t>
        </w:r>
      </w:hyperlink>
    </w:p>
    <w:p>
      <w:pPr>
        <w:spacing w:after="0" w:line="1" w:lineRule="exact"/>
        <w:rPr>
          <w:sz w:val="20"/>
          <w:szCs w:val="20"/>
          <w:color w:val="auto"/>
        </w:rPr>
      </w:pPr>
    </w:p>
    <w:p>
      <w:pPr>
        <w:ind w:left="700" w:hanging="674"/>
        <w:spacing w:after="0" w:line="281"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10.11</w:t>
      </w:r>
      <w:r>
        <w:rPr>
          <w:sz w:val="20"/>
          <w:szCs w:val="20"/>
          <w:color w:val="auto"/>
        </w:rPr>
        <w:tab/>
      </w:r>
      <w:hyperlink r:id="rId132">
        <w:r>
          <w:rPr>
            <w:rFonts w:ascii="Times New Roman" w:cs="Times New Roman" w:eastAsia="Times New Roman" w:hAnsi="Times New Roman"/>
            <w:sz w:val="18"/>
            <w:szCs w:val="18"/>
            <w:u w:val="single" w:color="auto"/>
            <w:color w:val="auto"/>
          </w:rPr>
          <w:t>Security Agreement dated as of August 28, 2020 by and between the Company and U.S. Bank National Association (Incorporated by reference to</w:t>
        </w:r>
      </w:hyperlink>
      <w:r>
        <w:rPr>
          <w:rFonts w:ascii="Times New Roman" w:cs="Times New Roman" w:eastAsia="Times New Roman" w:hAnsi="Times New Roman"/>
          <w:sz w:val="18"/>
          <w:szCs w:val="18"/>
          <w:u w:val="single" w:color="auto"/>
          <w:color w:val="auto"/>
        </w:rPr>
        <w:t xml:space="preserve"> </w:t>
      </w:r>
      <w:hyperlink r:id="rId132">
        <w:r>
          <w:rPr>
            <w:rFonts w:ascii="Times New Roman" w:cs="Times New Roman" w:eastAsia="Times New Roman" w:hAnsi="Times New Roman"/>
            <w:sz w:val="18"/>
            <w:szCs w:val="18"/>
            <w:u w:val="single" w:color="auto"/>
            <w:color w:val="auto"/>
          </w:rPr>
          <w:t>Exhibit 10.5 filed with our Current Report on Form 10-Q of Daktronics, Inc. filed on August 28, 2020).</w:t>
        </w:r>
      </w:hyperlink>
    </w:p>
    <w:p>
      <w:pPr>
        <w:spacing w:after="0" w:line="1" w:lineRule="exact"/>
        <w:rPr>
          <w:sz w:val="20"/>
          <w:szCs w:val="20"/>
          <w:color w:val="auto"/>
        </w:rPr>
      </w:pPr>
    </w:p>
    <w:p>
      <w:pPr>
        <w:ind w:left="20"/>
        <w:spacing w:after="0"/>
        <w:tabs>
          <w:tab w:leader="none" w:pos="680" w:val="left"/>
        </w:tabs>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10.12</w:t>
      </w:r>
      <w:r>
        <w:rPr>
          <w:sz w:val="20"/>
          <w:szCs w:val="20"/>
          <w:color w:val="auto"/>
        </w:rPr>
        <w:tab/>
      </w:r>
      <w:hyperlink r:id="rId133">
        <w:r>
          <w:rPr>
            <w:rFonts w:ascii="Times New Roman" w:cs="Times New Roman" w:eastAsia="Times New Roman" w:hAnsi="Times New Roman"/>
            <w:sz w:val="17"/>
            <w:szCs w:val="17"/>
            <w:u w:val="single" w:color="auto"/>
            <w:color w:val="auto"/>
          </w:rPr>
          <w:t>Cooperation Agreement dated July 23, 2022 by and between the Company and Prairieland Holdco, LLC (Incorporated by reference to Exhibit</w:t>
        </w:r>
      </w:hyperlink>
    </w:p>
    <w:p>
      <w:pPr>
        <w:spacing w:after="0" w:line="16" w:lineRule="exact"/>
        <w:rPr>
          <w:sz w:val="20"/>
          <w:szCs w:val="20"/>
          <w:color w:val="auto"/>
        </w:rPr>
      </w:pPr>
    </w:p>
    <w:p>
      <w:pPr>
        <w:ind w:left="700"/>
        <w:spacing w:after="0"/>
        <w:rPr>
          <w:rFonts w:ascii="Times New Roman" w:cs="Times New Roman" w:eastAsia="Times New Roman" w:hAnsi="Times New Roman"/>
          <w:sz w:val="18"/>
          <w:szCs w:val="18"/>
          <w:u w:val="single" w:color="auto"/>
          <w:color w:val="auto"/>
        </w:rPr>
      </w:pPr>
      <w:hyperlink r:id="rId133">
        <w:r>
          <w:rPr>
            <w:rFonts w:ascii="Times New Roman" w:cs="Times New Roman" w:eastAsia="Times New Roman" w:hAnsi="Times New Roman"/>
            <w:sz w:val="18"/>
            <w:szCs w:val="18"/>
            <w:u w:val="single" w:color="auto"/>
            <w:color w:val="auto"/>
          </w:rPr>
          <w:t>10.1 filed with our Current Report on Form 8-K on July 27, 2022).</w:t>
        </w:r>
      </w:hyperlink>
    </w:p>
    <w:p>
      <w:pPr>
        <w:spacing w:after="0" w:line="43" w:lineRule="exact"/>
        <w:rPr>
          <w:sz w:val="20"/>
          <w:szCs w:val="20"/>
          <w:color w:val="auto"/>
        </w:rPr>
      </w:pPr>
    </w:p>
    <w:p>
      <w:pPr>
        <w:jc w:val="center"/>
        <w:ind w:right="360"/>
        <w:spacing w:after="0" w:line="26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10.13   </w:t>
      </w:r>
      <w:hyperlink r:id="rId134">
        <w:r>
          <w:rPr>
            <w:rFonts w:ascii="Times New Roman" w:cs="Times New Roman" w:eastAsia="Times New Roman" w:hAnsi="Times New Roman"/>
            <w:sz w:val="18"/>
            <w:szCs w:val="18"/>
            <w:u w:val="single" w:color="auto"/>
            <w:color w:val="auto"/>
          </w:rPr>
          <w:t>Standstill and Voting Agreement dated as of March 19, 2023 by and among Daktronics, Inc., Alta Fox Management, LLC and Connor Haley</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auto"/>
          </w:rPr>
          <w:t>(Incorporated by reference to Exhibit 10.1 filed with the Current Report on Form 8-K of Daktronics, Inc. filed on March 20, 2023).</w:t>
        </w:r>
      </w:hyperlink>
    </w:p>
    <w:p>
      <w:pPr>
        <w:spacing w:after="0" w:line="14" w:lineRule="exact"/>
        <w:rPr>
          <w:sz w:val="20"/>
          <w:szCs w:val="20"/>
          <w:color w:val="auto"/>
        </w:rPr>
      </w:pPr>
    </w:p>
    <w:p>
      <w:pPr>
        <w:ind w:left="700" w:right="160" w:hanging="674"/>
        <w:spacing w:after="0" w:line="258" w:lineRule="auto"/>
        <w:tabs>
          <w:tab w:leader="none" w:pos="6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r>
        <w:rPr>
          <w:sz w:val="20"/>
          <w:szCs w:val="20"/>
          <w:color w:val="auto"/>
        </w:rPr>
        <w:tab/>
      </w:r>
      <w:hyperlink r:id="rId135">
        <w:r>
          <w:rPr>
            <w:rFonts w:ascii="Times New Roman" w:cs="Times New Roman" w:eastAsia="Times New Roman" w:hAnsi="Times New Roman"/>
            <w:sz w:val="18"/>
            <w:szCs w:val="18"/>
            <w:u w:val="single" w:color="auto"/>
            <w:color w:val="auto"/>
          </w:rPr>
          <w:t>Credit Agreement dated as of May 11, 2023 by and among Daktronics, Inc. and the other Borrowers; the other Loan Parties to the Credit</w:t>
        </w:r>
      </w:hyperlink>
      <w:r>
        <w:rPr>
          <w:rFonts w:ascii="Times New Roman" w:cs="Times New Roman" w:eastAsia="Times New Roman" w:hAnsi="Times New Roman"/>
          <w:sz w:val="18"/>
          <w:szCs w:val="18"/>
          <w:u w:val="single" w:color="auto"/>
          <w:color w:val="auto"/>
        </w:rPr>
        <w:t xml:space="preserve"> </w:t>
      </w:r>
      <w:hyperlink r:id="rId135">
        <w:r>
          <w:rPr>
            <w:rFonts w:ascii="Times New Roman" w:cs="Times New Roman" w:eastAsia="Times New Roman" w:hAnsi="Times New Roman"/>
            <w:sz w:val="18"/>
            <w:szCs w:val="18"/>
            <w:u w:val="single" w:color="auto"/>
            <w:color w:val="auto"/>
          </w:rPr>
          <w:t>Agreement; the Lenders party to the Credit Agreement; and JPMorgan Chase Bank, N.A., in its capacity as administrative agent for the Lenders</w:t>
        </w:r>
      </w:hyperlink>
      <w:r>
        <w:rPr>
          <w:rFonts w:ascii="Times New Roman" w:cs="Times New Roman" w:eastAsia="Times New Roman" w:hAnsi="Times New Roman"/>
          <w:sz w:val="18"/>
          <w:szCs w:val="18"/>
          <w:u w:val="single" w:color="auto"/>
          <w:color w:val="auto"/>
        </w:rPr>
        <w:t xml:space="preserve"> </w:t>
      </w:r>
      <w:hyperlink r:id="rId135">
        <w:r>
          <w:rPr>
            <w:rFonts w:ascii="Times New Roman" w:cs="Times New Roman" w:eastAsia="Times New Roman" w:hAnsi="Times New Roman"/>
            <w:sz w:val="18"/>
            <w:szCs w:val="18"/>
            <w:u w:val="single" w:color="auto"/>
            <w:color w:val="auto"/>
          </w:rPr>
          <w:t>(Incorporated by reference to Exhibit 10.1 filed with the Current Report on Form 8-K of Daktronics, Inc. filed on May 12, 2023)</w:t>
        </w:r>
        <w:r>
          <w:rPr>
            <w:rFonts w:ascii="Times New Roman" w:cs="Times New Roman" w:eastAsia="Times New Roman" w:hAnsi="Times New Roman"/>
            <w:sz w:val="18"/>
            <w:szCs w:val="18"/>
            <w:color w:val="auto"/>
          </w:rPr>
          <w:t>.</w:t>
        </w:r>
      </w:hyperlink>
    </w:p>
    <w:p>
      <w:pPr>
        <w:spacing w:after="0" w:line="7" w:lineRule="exact"/>
        <w:rPr>
          <w:rFonts w:ascii="Times New Roman" w:cs="Times New Roman" w:eastAsia="Times New Roman" w:hAnsi="Times New Roman"/>
          <w:sz w:val="18"/>
          <w:szCs w:val="18"/>
          <w:u w:val="single" w:color="auto"/>
          <w:color w:val="auto"/>
        </w:rPr>
      </w:pPr>
    </w:p>
    <w:p>
      <w:pPr>
        <w:jc w:val="right"/>
        <w:ind w:left="20" w:right="360"/>
        <w:spacing w:after="0" w:line="26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10.15   </w:t>
      </w:r>
      <w:hyperlink r:id="rId136">
        <w:r>
          <w:rPr>
            <w:rFonts w:ascii="Times New Roman" w:cs="Times New Roman" w:eastAsia="Times New Roman" w:hAnsi="Times New Roman"/>
            <w:sz w:val="18"/>
            <w:szCs w:val="18"/>
            <w:u w:val="single" w:color="auto"/>
            <w:color w:val="auto"/>
          </w:rPr>
          <w:t>Pledge and Security Agreement dated as of May 11, 2023 by and among Daktronics, Inc., Daktronics Installation, Inc., and JPMorgan Chase</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auto"/>
          </w:rPr>
          <w:t>Bank, N.A. (Incorporated by reference to Exhibit 10.2 filed with the Current Report on Form 8-K of Daktronics, Inc. filed on May 12, 2023).</w:t>
        </w:r>
      </w:hyperlink>
    </w:p>
    <w:p>
      <w:pPr>
        <w:spacing w:after="0" w:line="14" w:lineRule="exact"/>
        <w:rPr>
          <w:sz w:val="20"/>
          <w:szCs w:val="20"/>
          <w:color w:val="auto"/>
        </w:rPr>
      </w:pPr>
    </w:p>
    <w:p>
      <w:pPr>
        <w:ind w:left="700" w:right="4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10.16</w:t>
      </w:r>
      <w:r>
        <w:rPr>
          <w:sz w:val="20"/>
          <w:szCs w:val="20"/>
          <w:color w:val="auto"/>
        </w:rPr>
        <w:tab/>
      </w:r>
      <w:hyperlink r:id="rId137">
        <w:r>
          <w:rPr>
            <w:rFonts w:ascii="Times New Roman" w:cs="Times New Roman" w:eastAsia="Times New Roman" w:hAnsi="Times New Roman"/>
            <w:sz w:val="18"/>
            <w:szCs w:val="18"/>
            <w:u w:val="single" w:color="auto"/>
            <w:color w:val="auto"/>
          </w:rPr>
          <w:t>Securities Purchase Agreement dated as of May 11, 2023 by and between Daktronics, Inc. and Alta Fox Opportunities Fund, LP (Incorporated by</w:t>
        </w:r>
      </w:hyperlink>
      <w:r>
        <w:rPr>
          <w:rFonts w:ascii="Times New Roman" w:cs="Times New Roman" w:eastAsia="Times New Roman" w:hAnsi="Times New Roman"/>
          <w:sz w:val="18"/>
          <w:szCs w:val="18"/>
          <w:u w:val="single" w:color="auto"/>
          <w:color w:val="auto"/>
        </w:rPr>
        <w:t xml:space="preserve"> </w:t>
      </w:r>
      <w:hyperlink r:id="rId137">
        <w:r>
          <w:rPr>
            <w:rFonts w:ascii="Times New Roman" w:cs="Times New Roman" w:eastAsia="Times New Roman" w:hAnsi="Times New Roman"/>
            <w:sz w:val="18"/>
            <w:szCs w:val="18"/>
            <w:u w:val="single" w:color="auto"/>
            <w:color w:val="auto"/>
          </w:rPr>
          <w:t>reference to Exhibit 10.3 filed with the Current Report on Form 8-K of Daktronics, Inc. filed on May 12, 2023).</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0" w:right="48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10.17</w:t>
      </w:r>
      <w:r>
        <w:rPr>
          <w:sz w:val="20"/>
          <w:szCs w:val="20"/>
          <w:color w:val="auto"/>
        </w:rPr>
        <w:tab/>
      </w:r>
      <w:hyperlink r:id="rId139">
        <w:r>
          <w:rPr>
            <w:rFonts w:ascii="Times New Roman" w:cs="Times New Roman" w:eastAsia="Times New Roman" w:hAnsi="Times New Roman"/>
            <w:sz w:val="18"/>
            <w:szCs w:val="18"/>
            <w:u w:val="single" w:color="auto"/>
            <w:color w:val="auto"/>
          </w:rPr>
          <w:t>Senior Secured Convertible Note dated as of May 11, 2023 issued by Daktronics, Inc. to Alta Fox Opportunities Fund, LP (Incorporated by</w:t>
        </w:r>
      </w:hyperlink>
      <w:r>
        <w:rPr>
          <w:rFonts w:ascii="Times New Roman" w:cs="Times New Roman" w:eastAsia="Times New Roman" w:hAnsi="Times New Roman"/>
          <w:sz w:val="18"/>
          <w:szCs w:val="18"/>
          <w:u w:val="single" w:color="auto"/>
          <w:color w:val="auto"/>
        </w:rPr>
        <w:t xml:space="preserve"> </w:t>
      </w:r>
      <w:hyperlink r:id="rId139">
        <w:r>
          <w:rPr>
            <w:rFonts w:ascii="Times New Roman" w:cs="Times New Roman" w:eastAsia="Times New Roman" w:hAnsi="Times New Roman"/>
            <w:sz w:val="18"/>
            <w:szCs w:val="18"/>
            <w:u w:val="single" w:color="auto"/>
            <w:color w:val="auto"/>
          </w:rPr>
          <w:t>reference to Exhibit 10.4 filed with the Current Report on Form 8-K of Daktronics, Inc. filed on May 12, 2023).</w:t>
        </w:r>
      </w:hyperlink>
    </w:p>
    <w:p>
      <w:pPr>
        <w:spacing w:after="0" w:line="14" w:lineRule="exact"/>
        <w:rPr>
          <w:sz w:val="20"/>
          <w:szCs w:val="20"/>
          <w:color w:val="auto"/>
        </w:rPr>
      </w:pPr>
    </w:p>
    <w:p>
      <w:pPr>
        <w:ind w:left="700" w:right="240" w:hanging="674"/>
        <w:spacing w:after="0" w:line="258"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10.18</w:t>
      </w:r>
      <w:r>
        <w:rPr>
          <w:sz w:val="20"/>
          <w:szCs w:val="20"/>
          <w:color w:val="auto"/>
        </w:rPr>
        <w:tab/>
      </w:r>
      <w:hyperlink r:id="rId140">
        <w:r>
          <w:rPr>
            <w:rFonts w:ascii="Times New Roman" w:cs="Times New Roman" w:eastAsia="Times New Roman" w:hAnsi="Times New Roman"/>
            <w:sz w:val="18"/>
            <w:szCs w:val="18"/>
            <w:u w:val="single" w:color="auto"/>
            <w:color w:val="auto"/>
          </w:rPr>
          <w:t>Pledge and Security Agreement dated as of May 11, 2023 by and among Daktronics, Inc., Daktronics Installation, Inc., and Alta Fox</w:t>
        </w:r>
      </w:hyperlink>
      <w:r>
        <w:rPr>
          <w:rFonts w:ascii="Times New Roman" w:cs="Times New Roman" w:eastAsia="Times New Roman" w:hAnsi="Times New Roman"/>
          <w:sz w:val="18"/>
          <w:szCs w:val="18"/>
          <w:u w:val="single" w:color="auto"/>
          <w:color w:val="auto"/>
        </w:rPr>
        <w:t xml:space="preserve"> </w:t>
      </w:r>
      <w:hyperlink r:id="rId140">
        <w:r>
          <w:rPr>
            <w:rFonts w:ascii="Times New Roman" w:cs="Times New Roman" w:eastAsia="Times New Roman" w:hAnsi="Times New Roman"/>
            <w:sz w:val="18"/>
            <w:szCs w:val="18"/>
            <w:u w:val="single" w:color="auto"/>
            <w:color w:val="auto"/>
          </w:rPr>
          <w:t>Opportunities Fund, LP (Incorporated by reference to Exhibit 10.5 filed with the Current Report on Form 8-K of Daktronics, Inc. filed on May</w:t>
        </w:r>
      </w:hyperlink>
      <w:r>
        <w:rPr>
          <w:rFonts w:ascii="Times New Roman" w:cs="Times New Roman" w:eastAsia="Times New Roman" w:hAnsi="Times New Roman"/>
          <w:sz w:val="18"/>
          <w:szCs w:val="18"/>
          <w:u w:val="single" w:color="auto"/>
          <w:color w:val="auto"/>
        </w:rPr>
        <w:t xml:space="preserve"> </w:t>
      </w:r>
      <w:hyperlink r:id="rId140">
        <w:r>
          <w:rPr>
            <w:rFonts w:ascii="Times New Roman" w:cs="Times New Roman" w:eastAsia="Times New Roman" w:hAnsi="Times New Roman"/>
            <w:sz w:val="18"/>
            <w:szCs w:val="18"/>
            <w:u w:val="single" w:color="auto"/>
            <w:color w:val="auto"/>
          </w:rPr>
          <w:t>12, 2023).</w:t>
        </w:r>
      </w:hyperlink>
    </w:p>
    <w:p>
      <w:pPr>
        <w:spacing w:after="0" w:line="7" w:lineRule="exact"/>
        <w:rPr>
          <w:rFonts w:ascii="Times New Roman" w:cs="Times New Roman" w:eastAsia="Times New Roman" w:hAnsi="Times New Roman"/>
          <w:sz w:val="18"/>
          <w:szCs w:val="18"/>
          <w:u w:val="single" w:color="auto"/>
          <w:color w:val="auto"/>
        </w:rPr>
      </w:pPr>
    </w:p>
    <w:p>
      <w:pPr>
        <w:ind w:left="700" w:right="60" w:hanging="674"/>
        <w:spacing w:after="0" w:line="266" w:lineRule="auto"/>
        <w:tabs>
          <w:tab w:leader="none" w:pos="6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10.19</w:t>
      </w:r>
      <w:r>
        <w:rPr>
          <w:sz w:val="20"/>
          <w:szCs w:val="20"/>
          <w:color w:val="auto"/>
        </w:rPr>
        <w:tab/>
      </w:r>
      <w:hyperlink r:id="rId141">
        <w:r>
          <w:rPr>
            <w:rFonts w:ascii="Times New Roman" w:cs="Times New Roman" w:eastAsia="Times New Roman" w:hAnsi="Times New Roman"/>
            <w:sz w:val="18"/>
            <w:szCs w:val="18"/>
            <w:u w:val="single" w:color="auto"/>
            <w:color w:val="auto"/>
          </w:rPr>
          <w:t>Registration Rights Agreement dated as of May 11, 2023 by and between Daktronics, Inc. and Alta Fox Opportunities Fund, LP (Incorporated by</w:t>
        </w:r>
      </w:hyperlink>
      <w:r>
        <w:rPr>
          <w:rFonts w:ascii="Times New Roman" w:cs="Times New Roman" w:eastAsia="Times New Roman" w:hAnsi="Times New Roman"/>
          <w:sz w:val="18"/>
          <w:szCs w:val="18"/>
          <w:u w:val="single" w:color="auto"/>
          <w:color w:val="auto"/>
        </w:rPr>
        <w:t xml:space="preserve"> </w:t>
      </w:r>
      <w:hyperlink r:id="rId141">
        <w:r>
          <w:rPr>
            <w:rFonts w:ascii="Times New Roman" w:cs="Times New Roman" w:eastAsia="Times New Roman" w:hAnsi="Times New Roman"/>
            <w:sz w:val="18"/>
            <w:szCs w:val="18"/>
            <w:u w:val="single" w:color="auto"/>
            <w:color w:val="auto"/>
          </w:rPr>
          <w:t>reference to Exhibit 10.6 filed with the Current Report on Form 8-K of Daktronics, Inc. filed on May 12, 2023).</w:t>
        </w:r>
      </w:hyperlink>
    </w:p>
    <w:p>
      <w:pPr>
        <w:spacing w:after="0" w:line="14" w:lineRule="exact"/>
        <w:rPr>
          <w:sz w:val="20"/>
          <w:szCs w:val="20"/>
          <w:color w:val="auto"/>
        </w:rPr>
      </w:pPr>
    </w:p>
    <w:p>
      <w:pPr>
        <w:ind w:left="700" w:right="400" w:hanging="674"/>
        <w:spacing w:after="0" w:line="262" w:lineRule="auto"/>
        <w:tabs>
          <w:tab w:leader="none" w:pos="680" w:val="left"/>
        </w:tabs>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10.20</w:t>
      </w:r>
      <w:r>
        <w:rPr>
          <w:sz w:val="20"/>
          <w:szCs w:val="20"/>
          <w:color w:val="auto"/>
        </w:rPr>
        <w:tab/>
      </w:r>
      <w:hyperlink r:id="rId142">
        <w:r>
          <w:rPr>
            <w:rFonts w:ascii="Times New Roman" w:cs="Times New Roman" w:eastAsia="Times New Roman" w:hAnsi="Times New Roman"/>
            <w:sz w:val="17"/>
            <w:szCs w:val="17"/>
            <w:u w:val="single" w:color="auto"/>
            <w:color w:val="auto"/>
          </w:rPr>
          <w:t>Intercreditor Agreement dated as of May 11, 2023 by and among Daktronics, Inc., JPMorgan Chase Bank, N.A., and Alta Fox Opportunities</w:t>
        </w:r>
      </w:hyperlink>
      <w:r>
        <w:rPr>
          <w:rFonts w:ascii="Times New Roman" w:cs="Times New Roman" w:eastAsia="Times New Roman" w:hAnsi="Times New Roman"/>
          <w:sz w:val="17"/>
          <w:szCs w:val="17"/>
          <w:u w:val="single" w:color="auto"/>
          <w:color w:val="auto"/>
        </w:rPr>
        <w:t xml:space="preserve"> </w:t>
      </w:r>
      <w:hyperlink r:id="rId142">
        <w:r>
          <w:rPr>
            <w:rFonts w:ascii="Times New Roman" w:cs="Times New Roman" w:eastAsia="Times New Roman" w:hAnsi="Times New Roman"/>
            <w:sz w:val="17"/>
            <w:szCs w:val="17"/>
            <w:u w:val="single" w:color="auto"/>
            <w:color w:val="auto"/>
          </w:rPr>
          <w:t>Fund, LP (Incorporated by reference to Exhibit 10.7 filed with the Current Report on Form 8-K of Daktronics, Inc. filed on May 12, 2023).</w:t>
        </w:r>
      </w:hyperlink>
    </w:p>
    <w:p>
      <w:pPr>
        <w:ind w:left="700" w:hanging="67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Daktronics, Inc. Stock Trading Policy for All Employees and Directors. </w:t>
      </w:r>
      <w:r>
        <w:rPr>
          <w:rFonts w:ascii="Times New Roman" w:cs="Times New Roman" w:eastAsia="Times New Roman" w:hAnsi="Times New Roman"/>
          <w:sz w:val="23"/>
          <w:szCs w:val="23"/>
          <w:u w:val="single" w:color="auto"/>
          <w:color w:val="auto"/>
          <w:vertAlign w:val="superscript"/>
        </w:rPr>
        <w:t>(1)</w:t>
      </w:r>
    </w:p>
    <w:p>
      <w:pPr>
        <w:spacing w:after="0" w:line="29" w:lineRule="exact"/>
        <w:rPr>
          <w:rFonts w:ascii="Times New Roman" w:cs="Times New Roman" w:eastAsia="Times New Roman" w:hAnsi="Times New Roman"/>
          <w:sz w:val="18"/>
          <w:szCs w:val="18"/>
          <w:color w:val="auto"/>
        </w:rPr>
      </w:pPr>
    </w:p>
    <w:p>
      <w:pPr>
        <w:ind w:left="20"/>
        <w:spacing w:after="0" w:line="2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7"/>
          <w:szCs w:val="17"/>
          <w:u w:val="single" w:color="auto"/>
          <w:color w:val="auto"/>
        </w:rPr>
        <w:t xml:space="preserve">Subsidiaries of the Company. </w:t>
      </w:r>
      <w:r>
        <w:rPr>
          <w:rFonts w:ascii="Times New Roman" w:cs="Times New Roman" w:eastAsia="Times New Roman" w:hAnsi="Times New Roman"/>
          <w:sz w:val="27"/>
          <w:szCs w:val="27"/>
          <w:u w:val="single" w:color="auto"/>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20"/>
        <w:spacing w:after="0" w:line="1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u w:val="single" w:color="auto"/>
          <w:color w:val="auto"/>
        </w:rPr>
        <w:t xml:space="preserve">Consent of Deloitte &amp; Touche LLP. </w:t>
      </w:r>
      <w:r>
        <w:rPr>
          <w:rFonts w:ascii="Times New Roman" w:cs="Times New Roman" w:eastAsia="Times New Roman" w:hAnsi="Times New Roman"/>
          <w:sz w:val="27"/>
          <w:szCs w:val="27"/>
          <w:u w:val="single" w:color="auto"/>
          <w:color w:val="auto"/>
          <w:vertAlign w:val="superscript"/>
        </w:rPr>
        <w:t>(1)</w:t>
      </w:r>
    </w:p>
    <w:p>
      <w:pPr>
        <w:ind w:left="700" w:hanging="674"/>
        <w:spacing w:after="0" w:line="191"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Power of Attorney. </w:t>
      </w:r>
      <w:r>
        <w:rPr>
          <w:rFonts w:ascii="Times New Roman" w:cs="Times New Roman" w:eastAsia="Times New Roman" w:hAnsi="Times New Roman"/>
          <w:sz w:val="28"/>
          <w:szCs w:val="28"/>
          <w:u w:val="single" w:color="auto"/>
          <w:color w:val="auto"/>
          <w:vertAlign w:val="superscript"/>
        </w:rPr>
        <w:t>(1)</w:t>
      </w:r>
    </w:p>
    <w:p>
      <w:pPr>
        <w:ind w:left="700" w:right="60" w:hanging="674"/>
        <w:spacing w:after="0" w:line="195" w:lineRule="auto"/>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 xml:space="preserve">Certification of the Chief Executive Officer required by Rule 13a-14(a) or Rule 15d-14(a) under the Securities Exchange Act of 1934, as adopted pursuant to Section 302 of the Sarbanes-Oxley Act of 2002. </w:t>
      </w:r>
      <w:r>
        <w:rPr>
          <w:rFonts w:ascii="Times New Roman" w:cs="Times New Roman" w:eastAsia="Times New Roman" w:hAnsi="Times New Roman"/>
          <w:sz w:val="28"/>
          <w:szCs w:val="28"/>
          <w:u w:val="single" w:color="auto"/>
          <w:color w:val="auto"/>
          <w:vertAlign w:val="superscript"/>
        </w:rPr>
        <w:t>(1)</w:t>
      </w:r>
    </w:p>
    <w:p>
      <w:pPr>
        <w:spacing w:after="0" w:line="1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Certification of the Chief Financial Officer required by Rule 13a-14(a) or Rule 15d-14(a) under the Securities Exchange Act of 1934, as adopted</w:t>
      </w:r>
    </w:p>
    <w:p>
      <w:pPr>
        <w:ind w:left="700"/>
        <w:spacing w:after="0" w:line="180" w:lineRule="auto"/>
        <w:rPr>
          <w:sz w:val="20"/>
          <w:szCs w:val="20"/>
          <w:color w:val="auto"/>
        </w:rPr>
      </w:pPr>
      <w:r>
        <w:rPr>
          <w:rFonts w:ascii="Times New Roman" w:cs="Times New Roman" w:eastAsia="Times New Roman" w:hAnsi="Times New Roman"/>
          <w:sz w:val="15"/>
          <w:szCs w:val="15"/>
          <w:u w:val="single" w:color="auto"/>
          <w:color w:val="auto"/>
        </w:rPr>
        <w:t>pursuant to Section 302 of the Sarbanes-Oxley Act of 2002.</w:t>
      </w:r>
      <w:r>
        <w:rPr>
          <w:rFonts w:ascii="Times New Roman" w:cs="Times New Roman" w:eastAsia="Times New Roman" w:hAnsi="Times New Roman"/>
          <w:sz w:val="23"/>
          <w:szCs w:val="23"/>
          <w:u w:val="single" w:color="auto"/>
          <w:color w:val="auto"/>
          <w:vertAlign w:val="superscript"/>
        </w:rPr>
        <w:t>(1)</w:t>
      </w:r>
    </w:p>
    <w:p>
      <w:pPr>
        <w:ind w:left="10060"/>
        <w:spacing w:after="0" w:line="182" w:lineRule="auto"/>
        <w:rPr>
          <w:sz w:val="20"/>
          <w:szCs w:val="20"/>
          <w:color w:val="auto"/>
        </w:rPr>
      </w:pPr>
      <w:r>
        <w:rPr>
          <w:rFonts w:ascii="Times New Roman" w:cs="Times New Roman" w:eastAsia="Times New Roman" w:hAnsi="Times New Roman"/>
          <w:sz w:val="13"/>
          <w:szCs w:val="13"/>
          <w:u w:val="single" w:color="auto"/>
          <w:color w:val="auto"/>
        </w:rPr>
        <w:t>(1)</w:t>
      </w:r>
    </w:p>
    <w:p>
      <w:pPr>
        <w:ind w:left="20"/>
        <w:spacing w:after="0" w:line="198" w:lineRule="auto"/>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auto"/>
        </w:rPr>
        <w:t>Certification of the Chief Executive Officer pursuant to Section 906 of the Sarbanes-Oxley Act of 2002 (18 U.S.C. Section 1350).</w:t>
      </w:r>
      <w:r>
        <w:rPr>
          <w:rFonts w:ascii="Times New Roman" w:cs="Times New Roman" w:eastAsia="Times New Roman" w:hAnsi="Times New Roman"/>
          <w:sz w:val="27"/>
          <w:szCs w:val="27"/>
          <w:u w:val="single" w:color="auto"/>
          <w:color w:val="auto"/>
          <w:vertAlign w:val="subscript"/>
        </w:rPr>
        <w:t>(1)</w:t>
      </w:r>
    </w:p>
    <w:p>
      <w:pPr>
        <w:ind w:left="20"/>
        <w:spacing w:after="0" w:line="235" w:lineRule="auto"/>
        <w:tabs>
          <w:tab w:leader="none" w:pos="6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auto"/>
        </w:rPr>
        <w:t>Certification of the Chief Financial Officer pursuant to Section 906 of the Sarbanes-Oxley Act of 2002 (18 U.S.C. Section 1350).</w:t>
      </w:r>
    </w:p>
    <w:p>
      <w:pPr>
        <w:spacing w:after="0" w:line="1" w:lineRule="exact"/>
        <w:rPr>
          <w:sz w:val="20"/>
          <w:szCs w:val="20"/>
          <w:color w:val="auto"/>
        </w:rPr>
      </w:pPr>
    </w:p>
    <w:p>
      <w:pPr>
        <w:ind w:left="700" w:hanging="67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Daktronics, Inc. Clawback Policy. </w:t>
      </w:r>
      <w:r>
        <w:rPr>
          <w:rFonts w:ascii="Times New Roman" w:cs="Times New Roman" w:eastAsia="Times New Roman" w:hAnsi="Times New Roman"/>
          <w:sz w:val="23"/>
          <w:szCs w:val="23"/>
          <w:u w:val="single" w:color="auto"/>
          <w:color w:val="auto"/>
          <w:vertAlign w:val="superscript"/>
        </w:rPr>
        <w:t>(1)</w:t>
      </w:r>
    </w:p>
    <w:p>
      <w:pPr>
        <w:spacing w:after="0" w:line="37" w:lineRule="exact"/>
        <w:rPr>
          <w:sz w:val="20"/>
          <w:szCs w:val="20"/>
          <w:color w:val="auto"/>
        </w:rPr>
      </w:pPr>
    </w:p>
    <w:p>
      <w:pPr>
        <w:ind w:left="700" w:right="20" w:hanging="674"/>
        <w:spacing w:after="0" w:line="228"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financial information from our Annual Report on Form 10-K for the fiscal year ended April 27, 2024, formatted in Extensible Business Reporting Language (iXBRL): (i) the Consolidated Balance Sheets, (ii) the Consolidated Statements of Operations, (iii) the Consolidated Statements of Comprehensive Income, (iv) the Consolidated Statements of Shareholders' Equity, (v) the Consolidated Statements of Cash Flows, and (vi) Notes to Consolidated Financial Statements. </w:t>
      </w:r>
      <w:r>
        <w:rPr>
          <w:rFonts w:ascii="Times New Roman" w:cs="Times New Roman" w:eastAsia="Times New Roman" w:hAnsi="Times New Roman"/>
          <w:sz w:val="28"/>
          <w:szCs w:val="28"/>
          <w:color w:val="auto"/>
          <w:vertAlign w:val="superscript"/>
        </w:rPr>
        <w:t>(1)</w:t>
      </w:r>
    </w:p>
    <w:p>
      <w:pPr>
        <w:spacing w:after="0" w:line="2" w:lineRule="exact"/>
        <w:rPr>
          <w:sz w:val="20"/>
          <w:szCs w:val="20"/>
          <w:color w:val="auto"/>
        </w:rPr>
      </w:pPr>
    </w:p>
    <w:p>
      <w:pPr>
        <w:ind w:left="700" w:hanging="67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43"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Filed herewith electronically.</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Paper Filing</w:t>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24" w:lineRule="exact"/>
        <w:rPr>
          <w:sz w:val="20"/>
          <w:szCs w:val="20"/>
          <w:color w:val="auto"/>
        </w:rPr>
      </w:pPr>
    </w:p>
    <w:p>
      <w:pPr>
        <w:jc w:val="both"/>
        <w:ind w:left="20"/>
        <w:spacing w:after="0" w:line="189" w:lineRule="auto"/>
        <w:rPr>
          <w:sz w:val="20"/>
          <w:szCs w:val="20"/>
          <w:color w:val="auto"/>
        </w:rPr>
      </w:pPr>
      <w:r>
        <w:rPr>
          <w:rFonts w:ascii="Times New Roman" w:cs="Times New Roman" w:eastAsia="Times New Roman" w:hAnsi="Times New Roman"/>
          <w:sz w:val="18"/>
          <w:szCs w:val="18"/>
          <w:color w:val="auto"/>
        </w:rPr>
        <w:t>ADFLOW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AJT Systems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All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Daktronics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DakStats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 Display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DataTime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GalaxyPro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Go Digital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Keyframe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Liveticker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Matside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OmniSport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ProAd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ProPixel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ProRail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ProStar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Sportsound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Statvision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Tuff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Uniview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Vanguard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Venus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Visiconn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V-Tour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and Web-Sync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are trademarks of Daktronics, Inc. All other trademarks referenced are the intellectual property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June 26, 2024.</w:t>
      </w: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Reece A. Kurtenbach</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Sheila M. Anderson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86"/>
        </w:trPr>
        <w:tc>
          <w:tcPr>
            <w:tcW w:w="19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By /s/ Shereta D. Williams</w:t>
            </w:r>
          </w:p>
        </w:tc>
        <w:tc>
          <w:tcPr>
            <w:tcW w:w="1900" w:type="dxa"/>
            <w:vAlign w:val="bottom"/>
            <w:gridSpan w:val="4"/>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Shereta D. Williams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By /s/ Lance D. Bultena</w:t>
            </w:r>
          </w:p>
        </w:tc>
        <w:tc>
          <w:tcPr>
            <w:tcW w:w="2080" w:type="dxa"/>
            <w:vAlign w:val="bottom"/>
            <w:gridSpan w:val="6"/>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Lance D. Bultena</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0"/>
        </w:trPr>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Dr. José-Marie Griffiths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2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By /s/ Reece A. Kurtenbach</w:t>
            </w:r>
          </w:p>
        </w:tc>
        <w:tc>
          <w:tcPr>
            <w:tcW w:w="1820" w:type="dxa"/>
            <w:vAlign w:val="bottom"/>
            <w:gridSpan w:val="2"/>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Reece A. Kurtenbach</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By /s/ Andrew D. Siegel</w:t>
            </w:r>
          </w:p>
        </w:tc>
        <w:tc>
          <w:tcPr>
            <w:tcW w:w="2060" w:type="dxa"/>
            <w:vAlign w:val="bottom"/>
            <w:gridSpan w:val="5"/>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Andrew D. Siegel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John P. Friel</w:t>
            </w:r>
          </w:p>
        </w:tc>
        <w:tc>
          <w:tcPr>
            <w:tcW w:w="2460" w:type="dxa"/>
            <w:vAlign w:val="bottom"/>
            <w:gridSpan w:val="8"/>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John P. Friel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By /s/ Kevin P. McDermott</w:t>
            </w:r>
          </w:p>
        </w:tc>
        <w:tc>
          <w:tcPr>
            <w:tcW w:w="1860" w:type="dxa"/>
            <w:vAlign w:val="bottom"/>
            <w:gridSpan w:val="3"/>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Kevin P. McDermott</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By /s/ Howard I. Atkins</w:t>
            </w:r>
          </w:p>
        </w:tc>
        <w:tc>
          <w:tcPr>
            <w:tcW w:w="2100" w:type="dxa"/>
            <w:vAlign w:val="bottom"/>
            <w:gridSpan w:val="7"/>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77"/>
        </w:trPr>
        <w:tc>
          <w:tcPr>
            <w:tcW w:w="3840" w:type="dxa"/>
            <w:vAlign w:val="bottom"/>
            <w:gridSpan w:val="9"/>
          </w:tcPr>
          <w:p>
            <w:pPr>
              <w:ind w:left="580"/>
              <w:spacing w:after="0"/>
              <w:rPr>
                <w:sz w:val="20"/>
                <w:szCs w:val="20"/>
                <w:color w:val="auto"/>
              </w:rPr>
            </w:pPr>
            <w:r>
              <w:rPr>
                <w:rFonts w:ascii="Times New Roman" w:cs="Times New Roman" w:eastAsia="Times New Roman" w:hAnsi="Times New Roman"/>
                <w:sz w:val="18"/>
                <w:szCs w:val="18"/>
                <w:color w:val="auto"/>
              </w:rPr>
              <w:t>Howard I. Atkins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18"/>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87</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u w:val="single" w:color="auto"/>
          <w:color w:val="auto"/>
        </w:rPr>
        <w:t>Daktronics, Inc.</w:t>
      </w:r>
    </w:p>
    <w:p>
      <w:pPr>
        <w:spacing w:after="0" w:line="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u w:val="single" w:color="auto"/>
          <w:color w:val="auto"/>
        </w:rPr>
        <w:t>Stock Trading Policy for All Employees and Directors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underlying represents general guidelines for all employees. For more specific information, please refer to “Insider Trading and the Buying and Selling of Daktronics, Inc. Stock and Derivatives”.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Insider trading refers to the buying or selling of a stock while having knowledge about material, nonpublic information about the company. Inside information includes, but is not limited to, upcoming financial results, significant projects, possible orders, or product development. Daktronics has determined that information published in news releases and through the Security and Exchange commission is no longer inside information on the third day after it has been made available to investors by the Company (but details not listed in the release may still be inside information).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Insider trading is illegal. People who trade stocks based on inside information, or who provide this information to others who buy or sell stock, may be prosecuted by the Securities and Exchange Commission (SEC).</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Employees, other than those subject to the trading windows described below, can trade stock, provided that they do not possess material nonpublic information.</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Daktronics Board of Directors has established trading windows for Officers, Directors, Senior Managers, Market Managers and those listed in Appendix A to trade in the stock of the company when not in possession of material nonpublic information. These trading windows are periods of time after the scheduled quarterly and year-end earnings news releases, during which these employees and Directors can trade stock, provided that they do not possess material nonpublic information. The trading window for Daktronics starts on the third trading day after the earnings announcement and runs for 25 trading days excluding weekend days and federal holidays. (For example, if the earnings release is on a Wednesday and assuming the markets are open each business day following the release, the first trading day would be allowed on Monday.) It is important to note that during this trading window, Officers, Directors, Senior Managers, Market Managers and those listed in Appendix A may not trade if they are in possession of material, non-public information, except under a trading plan approved by the Nominating Committee of the Board of Directors.</w:t>
      </w: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Reallocation of 401(k) assets which would include buying or selling Daktronics shares is subject to these policies. Regular buying of Daktronics stock through payroll deduction into the 401(k) or the Employee Stock Purchase Plan is not restricted to the trading window.</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Gifting or other transfers of stock (other than buying and selling) in the company, for employees who are restricted, should generally be limited to the trading window; however, advance permission may be sought for these types of transactions outside of the trading window from a company officer.</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Employee Incentive Stock Options can be exercised outside the trading window; however, in these cases advance permission should be obtained from a company officer.</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following are </w:t>
      </w:r>
      <w:r>
        <w:rPr>
          <w:rFonts w:ascii="Times New Roman" w:cs="Times New Roman" w:eastAsia="Times New Roman" w:hAnsi="Times New Roman"/>
          <w:sz w:val="20"/>
          <w:szCs w:val="20"/>
          <w:b w:val="1"/>
          <w:bCs w:val="1"/>
          <w:color w:val="auto"/>
        </w:rPr>
        <w:t>estimated</w:t>
      </w:r>
      <w:r>
        <w:rPr>
          <w:rFonts w:ascii="Times New Roman" w:cs="Times New Roman" w:eastAsia="Times New Roman" w:hAnsi="Times New Roman"/>
          <w:sz w:val="20"/>
          <w:szCs w:val="20"/>
          <w:color w:val="auto"/>
        </w:rPr>
        <w:t xml:space="preserve"> financial result news release dates and subsequent trading window dates; however, these are subject to change, and it is </w:t>
      </w:r>
      <w:r>
        <w:rPr>
          <w:rFonts w:ascii="Times New Roman" w:cs="Times New Roman" w:eastAsia="Times New Roman" w:hAnsi="Times New Roman"/>
          <w:sz w:val="20"/>
          <w:szCs w:val="20"/>
          <w:b w:val="1"/>
          <w:bCs w:val="1"/>
          <w:color w:val="auto"/>
        </w:rPr>
        <w:t>your responsibility</w:t>
      </w:r>
      <w:r>
        <w:rPr>
          <w:rFonts w:ascii="Times New Roman" w:cs="Times New Roman" w:eastAsia="Times New Roman" w:hAnsi="Times New Roman"/>
          <w:sz w:val="20"/>
          <w:szCs w:val="20"/>
          <w:color w:val="auto"/>
        </w:rPr>
        <w:t xml:space="preserve"> to ensure you are not trading with insider information. Information is no longer ‘inside’ information the third day it has been made available to investors.</w:t>
      </w:r>
    </w:p>
    <w:p>
      <w:pPr>
        <w:spacing w:after="0" w:line="206"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9"/>
          <w:szCs w:val="19"/>
          <w:color w:val="auto"/>
        </w:rPr>
        <w:t>We expect the financial news release to be the sixth Wednesday after the fiscal year-end and the fifth Wednesday after the first three quarter. Remember it is your responsibility to ensure you are not trading with insider information or within the trading window.</w:t>
      </w:r>
    </w:p>
    <w:p>
      <w:pPr>
        <w:sectPr>
          <w:pgSz w:w="11900" w:h="16838" w:orient="portrait"/>
          <w:cols w:equalWidth="0" w:num="1">
            <w:col w:w="11240"/>
          </w:cols>
          <w:pgMar w:left="320" w:top="12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Daktronics, Inc.</w:t>
      </w:r>
    </w:p>
    <w:p>
      <w:pPr>
        <w:spacing w:after="0" w:line="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 Buying and Selling of Daktronics, Inc. Stock and Derivatives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Purpose/Summary: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policy and procedure explain the prohibitions, based on federal securities law, against “insider trading.”</w:t>
      </w:r>
    </w:p>
    <w:p>
      <w:pPr>
        <w:spacing w:after="0" w:line="2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“Material Information” is information that a reasonable investor would likely consider important in deciding to purchase or sell a security and that could affect the price of the security. This includes information, that if disclosed, could be viewed by a reasonable investor as having significantly altered the total mix of information available. Information that could be considered material about Daktronics, includes, but is not limited to:</w:t>
      </w:r>
    </w:p>
    <w:p>
      <w:pPr>
        <w:spacing w:after="0" w:line="218"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concerning the company’s earnings, sales, dividends, and other material financial information.</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contract, including sales contracts as well as other types of contracts.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prospective merger, acquisition, or tender offer.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significant assets or a significant subsidiary.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substantial customer or supplier.</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Upcoming announcement of earnings or losses.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changes in the company’s capital structure.</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whether in the form of stock, cash or other consideration.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w:t>
      </w:r>
    </w:p>
    <w:p>
      <w:pPr>
        <w:spacing w:after="0" w:line="240" w:lineRule="exact"/>
        <w:rPr>
          <w:rFonts w:ascii="Times New Roman" w:cs="Times New Roman" w:eastAsia="Times New Roman" w:hAnsi="Times New Roman"/>
          <w:sz w:val="20"/>
          <w:szCs w:val="20"/>
          <w:color w:val="auto"/>
        </w:rPr>
      </w:pPr>
    </w:p>
    <w:p>
      <w:pPr>
        <w:jc w:val="both"/>
        <w:ind w:left="6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comment - If consideration is being given to purchasing or selling stock because of inside information possessed, it should be assumed that such information is material. It is important to note that in the event a trade becomes subject to investigation, the trade is viewed after-the-fact with the benefit of hindsight. Consequently, if there are any doubts, the conservative approach should be followed and trading restricted.)</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“Nonpublic” information is information that is not available to the general public. Available to the general public is generally satisfied after announcement through a press release by the company or other official and widely disseminated distribution, and after a certain period of time. Daktronics has determined that beginning on the third day after the announcement the information is no longer nonpublic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means the purchase or sale of stocks, bonds, options or other marketable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General Requirements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 employee may trade in the stock or any other securities of the company or any other company at any time when the employee, as a result of Daktronics employment, has “material nonpublic information.” (This restriction is not limited to trading in Daktronics stock and includes trading stock of other companies based on material nonpublic information.)</w:t>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addition, employees may not communicate material nonpublic information learned or developed through their employment to other persons (“tipping”) who may misuse the information and may not recommend that anyone purchase or sell any securities on the basis of such information. So long as material information is nonpublic, members of the employee’s immediate family and others who have received the information from the employee are not permitted to trade in the securities.</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After material nonpublic information learned or developed through Daktronics employment has been publicly disclosed through a press release or other official announcement, employees should not trade in securities of the company until the third trading day following the announcement to allow the market to absorb the information. The company has determined that information may be presumed to have been made available to the market after this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Additional Restrictions and Requirements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Trading in “puts” and “calls” (publicly traded options to sell or buy stock) and engaging in short sales are often perceived as involving insider trading. Therefore, Daktronics strongly discourages employees from such trading with respect to Daktronics securities.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to avoid the appearance of impropriety in transactions in Daktronics stock, company directors, officers, senior managers, market managers and other designated employees must comply with the following restrictions:</w:t>
      </w:r>
    </w:p>
    <w:p>
      <w:pPr>
        <w:spacing w:after="0" w:line="186"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Refrain entirely from trading in puts and calls in and engaging in short sales of Daktronics stock.</w:t>
      </w:r>
    </w:p>
    <w:p>
      <w:pPr>
        <w:spacing w:after="0" w:line="242" w:lineRule="exact"/>
        <w:rPr>
          <w:rFonts w:ascii="Times New Roman" w:cs="Times New Roman" w:eastAsia="Times New Roman" w:hAnsi="Times New Roman"/>
          <w:sz w:val="20"/>
          <w:szCs w:val="20"/>
          <w:color w:val="auto"/>
        </w:rPr>
      </w:pPr>
    </w:p>
    <w:p>
      <w:pPr>
        <w:ind w:left="660" w:right="20" w:hanging="328"/>
        <w:spacing w:after="0" w:line="295" w:lineRule="auto"/>
        <w:tabs>
          <w:tab w:leader="none" w:pos="6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allowed under an approved trading plan, limit trading in Daktronics stock to only during the period beginning on the third trading day following the date of release of a quarterly or annual statement of sales and earnings and continuing for 25 trading days.</w:t>
      </w:r>
    </w:p>
    <w:p>
      <w:pPr>
        <w:spacing w:after="0" w:line="151" w:lineRule="exact"/>
        <w:rPr>
          <w:rFonts w:ascii="Times New Roman" w:cs="Times New Roman" w:eastAsia="Times New Roman" w:hAnsi="Times New Roman"/>
          <w:sz w:val="19"/>
          <w:szCs w:val="19"/>
          <w:color w:val="auto"/>
        </w:rPr>
      </w:pPr>
    </w:p>
    <w:p>
      <w:pPr>
        <w:ind w:left="660" w:hanging="328"/>
        <w:spacing w:after="0" w:line="269" w:lineRule="auto"/>
        <w:tabs>
          <w:tab w:leader="none" w:pos="64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officers, senior managers and directors, are not permitted to trade in Daktronics stock unless they have the approval for a specific trade from the Chairman, CEO, CFO or Secretary of the Company.</w:t>
      </w:r>
    </w:p>
    <w:p>
      <w:pPr>
        <w:spacing w:after="0" w:line="172" w:lineRule="exact"/>
        <w:rPr>
          <w:rFonts w:ascii="Times New Roman" w:cs="Times New Roman" w:eastAsia="Times New Roman" w:hAnsi="Times New Roman"/>
          <w:sz w:val="20"/>
          <w:szCs w:val="20"/>
          <w:color w:val="auto"/>
        </w:rPr>
      </w:pPr>
    </w:p>
    <w:p>
      <w:pPr>
        <w:ind w:left="660" w:right="6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upon requesting approval, an officer, director or senior manager is advised that Daktronics stock may be traded, the stock may be bought or sold within 2 trading days thereafter or longer as specifically approved provided that the Company and the individual have instituted a procedure whereby the trade status is reviewed and reapproved on a daily basis until executed. If for any reason the trade is not completed within 2 trading days and alternative procedures have not been instituted, clearance must be obtained again before the stock may be traded.</w:t>
      </w:r>
    </w:p>
    <w:p>
      <w:pPr>
        <w:spacing w:after="0" w:line="212" w:lineRule="exact"/>
        <w:rPr>
          <w:rFonts w:ascii="Times New Roman" w:cs="Times New Roman" w:eastAsia="Times New Roman" w:hAnsi="Times New Roman"/>
          <w:sz w:val="20"/>
          <w:szCs w:val="20"/>
          <w:color w:val="auto"/>
        </w:rPr>
      </w:pPr>
    </w:p>
    <w:p>
      <w:pPr>
        <w:jc w:val="both"/>
        <w:ind w:left="66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upon requesting approval or otherwise, an officer, director or senior manager is advised that Daktronics stock may not be traded, he/she may not buy or sell any Daktronics stock under any circumstance, nor may he/she inform anyone of the restriction. The trading restriction will apply until such restriction is lifted.</w:t>
      </w:r>
    </w:p>
    <w:p>
      <w:pPr>
        <w:spacing w:after="0" w:line="207" w:lineRule="exact"/>
        <w:rPr>
          <w:rFonts w:ascii="Times New Roman" w:cs="Times New Roman" w:eastAsia="Times New Roman" w:hAnsi="Times New Roman"/>
          <w:sz w:val="20"/>
          <w:szCs w:val="20"/>
          <w:color w:val="auto"/>
        </w:rPr>
      </w:pPr>
    </w:p>
    <w:p>
      <w:pPr>
        <w:ind w:left="660" w:right="20" w:hanging="328"/>
        <w:spacing w:after="0" w:line="242" w:lineRule="auto"/>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trading plans by any person in Appendix A or member of the Board of Directors that are intended to be governed under SEC Rule 10b5-1 must be submitted to the CEO, CFO or Corporate Secretary for review and approval by the Nominating and Corporate Governance Committee prior to entering the Plan. The Nominating and Corporate Governance Committee shall be responsible for ensuring that the proposed plan is consistent with any applicable rules and regulations and shall approve the steps that Company shall take with regard to disclosure issues that may arise. The Committee shall also consult with the Audit committee as necessary and inform the Board of Directors of all Plans which have been approved in a timely matter.</w:t>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line="249" w:lineRule="auto"/>
        <w:tabs>
          <w:tab w:leader="none" w:pos="649"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should recognize that certain additional restrictions may be required with respect to those employees whose responsibilities or functions require or involve routine access to confidential and material, nonpublic information, or who are asked to work with sensitive projects or transactions. As such, the company may implement any additional measures or procedures that may be required at any time to fully implement the requirements and intent of these policies.</w:t>
      </w:r>
    </w:p>
    <w:p>
      <w:pPr>
        <w:spacing w:after="0" w:line="189"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Policies for Reporting Persons under Section 16 of the Securities Exchange of 1934 (the “Act”)</w:t>
      </w:r>
    </w:p>
    <w:p>
      <w:pPr>
        <w:spacing w:after="0" w:line="247"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for Short-Swing Profits</w:t>
      </w:r>
    </w:p>
    <w:p>
      <w:pPr>
        <w:spacing w:after="0" w:line="21" w:lineRule="exact"/>
        <w:rPr>
          <w:rFonts w:ascii="Times New Roman" w:cs="Times New Roman" w:eastAsia="Times New Roman" w:hAnsi="Times New Roman"/>
          <w:sz w:val="20"/>
          <w:szCs w:val="20"/>
          <w:color w:val="auto"/>
        </w:rPr>
      </w:pPr>
    </w:p>
    <w:p>
      <w:pPr>
        <w:jc w:val="both"/>
        <w:ind w:left="66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rules require a “reporting person”, as defined below, to pay the issuer (the company) the “short-swing profits” realized in either a purchase and sale, or a sale and purchase (or any number of these transactions), which take place within a period of less than six months. The possession of inside information is not a precondition to recovery of profits and good faith is not a defense. In addition, the recoverable profit is not based on economic realities and cases have been upheld where the reporting person actually lost money but was held liable for “profits”. Any recovery for short-swing profits belong to the company. Certain exceptions are made with respect to certain types of transactions. These exceptions include, but are not limited to:</w:t>
      </w:r>
    </w:p>
    <w:p>
      <w:pPr>
        <w:spacing w:after="0" w:line="204" w:lineRule="exact"/>
        <w:rPr>
          <w:rFonts w:ascii="Times New Roman" w:cs="Times New Roman" w:eastAsia="Times New Roman" w:hAnsi="Times New Roman"/>
          <w:sz w:val="20"/>
          <w:szCs w:val="20"/>
          <w:color w:val="auto"/>
        </w:rPr>
      </w:pPr>
    </w:p>
    <w:p>
      <w:pPr>
        <w:ind w:left="1300" w:hanging="320"/>
        <w:spacing w:after="0" w:line="269" w:lineRule="auto"/>
        <w:tabs>
          <w:tab w:leader="none" w:pos="129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discretionary transactions in the company’s 401(k) and profit-sharing plan, provided that the election related to such transactions was made at least six months following the date of the most recent prior such election.</w:t>
      </w:r>
    </w:p>
    <w:p>
      <w:pPr>
        <w:spacing w:after="0" w:line="17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options granted by the company under an authorized plan.</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b. Reports to be Filed</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Reporting persons are required to file three kinds of SEC stock ownership forms:</w:t>
      </w:r>
    </w:p>
    <w:p>
      <w:pPr>
        <w:spacing w:after="0" w:line="221" w:lineRule="exact"/>
        <w:rPr>
          <w:sz w:val="20"/>
          <w:szCs w:val="20"/>
          <w:color w:val="auto"/>
        </w:rPr>
      </w:pPr>
    </w:p>
    <w:p>
      <w:pPr>
        <w:ind w:left="1300" w:right="160" w:hanging="320"/>
        <w:spacing w:after="0" w:line="269" w:lineRule="auto"/>
        <w:tabs>
          <w:tab w:leader="none" w:pos="12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Form 3: Initial Statement of Beneficial Ownership of Securities. Form 3 is filed within 10 days after the event by which the person becomes a reporting person,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officer, director, ten percent holder.</w:t>
      </w:r>
    </w:p>
    <w:p>
      <w:pPr>
        <w:spacing w:after="0" w:line="168" w:lineRule="exact"/>
        <w:rPr>
          <w:rFonts w:ascii="Times New Roman" w:cs="Times New Roman" w:eastAsia="Times New Roman" w:hAnsi="Times New Roman"/>
          <w:sz w:val="20"/>
          <w:szCs w:val="20"/>
          <w:color w:val="auto"/>
        </w:rPr>
      </w:pPr>
    </w:p>
    <w:p>
      <w:pPr>
        <w:ind w:left="1300" w:right="20" w:hanging="320"/>
        <w:spacing w:after="0" w:line="249" w:lineRule="auto"/>
        <w:tabs>
          <w:tab w:leader="none" w:pos="129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Form 4: Statement of Changes of Beneficial Ownership of Securities. </w:t>
      </w:r>
      <w:r>
        <w:rPr>
          <w:rFonts w:ascii="Times New Roman" w:cs="Times New Roman" w:eastAsia="Times New Roman" w:hAnsi="Times New Roman"/>
          <w:sz w:val="20"/>
          <w:szCs w:val="20"/>
          <w:b w:val="1"/>
          <w:bCs w:val="1"/>
          <w:color w:val="auto"/>
        </w:rPr>
        <w:t>Form 4</w:t>
      </w:r>
      <w:r>
        <w:rPr>
          <w:rFonts w:ascii="Times New Roman" w:cs="Times New Roman" w:eastAsia="Times New Roman" w:hAnsi="Times New Roman"/>
          <w:sz w:val="20"/>
          <w:szCs w:val="20"/>
          <w:color w:val="auto"/>
        </w:rPr>
        <w:t xml:space="preserve"> is filed before the end of the second business day following the day on which a transaction resulting in a change in beneficial ownership has been executed,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gift, option grant, buy, sell</w:t>
      </w:r>
    </w:p>
    <w:p>
      <w:pPr>
        <w:spacing w:after="0" w:line="192" w:lineRule="exact"/>
        <w:rPr>
          <w:rFonts w:ascii="Times New Roman" w:cs="Times New Roman" w:eastAsia="Times New Roman" w:hAnsi="Times New Roman"/>
          <w:sz w:val="20"/>
          <w:szCs w:val="20"/>
          <w:color w:val="auto"/>
        </w:rPr>
      </w:pPr>
    </w:p>
    <w:p>
      <w:pPr>
        <w:jc w:val="both"/>
        <w:ind w:left="1300" w:right="20" w:hanging="320"/>
        <w:spacing w:after="0" w:line="247" w:lineRule="auto"/>
        <w:tabs>
          <w:tab w:leader="none" w:pos="129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Form 5: Annual Statement of Beneficial Ownership of Securities. Form 5 is filed annually on or before the 45th day after the end of the issuer's fiscal year. It includes transactions that were not previously reported because they were exempt from Form 4,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401(k) purchases, employee stock purchase plan purchases.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u w:val="single" w:color="auto"/>
          <w:color w:val="auto"/>
        </w:rPr>
        <w:t>c. Reporting Person defined</w:t>
      </w:r>
    </w:p>
    <w:p>
      <w:pPr>
        <w:spacing w:after="0" w:line="8"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0"/>
          <w:szCs w:val="20"/>
          <w:color w:val="auto"/>
        </w:rPr>
        <w:t>Reporting Persons are defined under the Act as corporate officers, directors and principal shareholders. The definition extends to members of the insider’s immediate family sharing the same residence as the officer, director or principal shareholder.</w:t>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Company</w:t>
            </w:r>
          </w:p>
        </w:tc>
        <w:tc>
          <w:tcPr>
            <w:tcW w:w="6220" w:type="dxa"/>
            <w:vAlign w:val="bottom"/>
          </w:tcPr>
          <w:p>
            <w:pPr>
              <w:spacing w:after="0"/>
              <w:rPr>
                <w:sz w:val="20"/>
                <w:szCs w:val="20"/>
                <w:color w:val="auto"/>
              </w:rPr>
            </w:pPr>
          </w:p>
        </w:tc>
      </w:tr>
      <w:tr>
        <w:trPr>
          <w:trHeight w:val="729"/>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2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Canada Inc.</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GmbH</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UK Limited</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(Shanghai) Co., Ltd.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France</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Australia Pty Ltd.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Installation, Inc.</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Japan, Inc.</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HK Limited</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(International) Limited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Macau</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Singapore Pte. Ltd.</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Spain S.L.</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Belgium</w:t>
            </w:r>
          </w:p>
        </w:tc>
        <w:tc>
          <w:tcPr>
            <w:tcW w:w="62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Ireland Holdings Limited</w:t>
            </w:r>
          </w:p>
        </w:tc>
        <w:tc>
          <w:tcPr>
            <w:tcW w:w="62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140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333-54006 and 333-221901 on Form S-3 and Registration Statement Nos. 333-100842, 333-109962, 333-146768, 333-169568, 333-206750, 333-221862, 333-227580, 333-248591 and 333-268779 on Form S-8 of our reports dated July 12, 2023, relating to the financial statements of Daktronics, Inc. and subsidiaries and the effectiveness of Daktronics, Inc. and subsidiaries’ internal control over financial reporting appearing in this Annual Report on Form 10-K for the year ended April 29,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2023</w:t>
      </w:r>
    </w:p>
    <w:p>
      <w:pPr>
        <w:sectPr>
          <w:pgSz w:w="11900" w:h="16838" w:orient="portrait"/>
          <w:cols w:equalWidth="0" w:num="1">
            <w:col w:w="11240"/>
          </w:cols>
          <w:pgMar w:left="320" w:top="140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each of Reece A. Kurtenbach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27, 2024, and any or all amendments to said Annual Report, and to file the same, with</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ratifying and confirming all that each such attorney-in-fact and agent, or his substitute, may lawfully do or cause to be done by virtue 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following persons on the dates indicated below their names.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27"/>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Shereta Williams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0"/>
        </w:trPr>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Shereta Williams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7"/>
        </w:trPr>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By /s/ Lance D. Bultena</w:t>
            </w:r>
          </w:p>
        </w:tc>
        <w:tc>
          <w:tcPr>
            <w:tcW w:w="1780" w:type="dxa"/>
            <w:vAlign w:val="bottom"/>
            <w:gridSpan w:val="5"/>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Lance D. Bultena</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0"/>
        </w:trPr>
        <w:tc>
          <w:tcPr>
            <w:tcW w:w="13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Dr. José-Marie Griffiths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By /s/ Reece A. Kurtenbach</w:t>
            </w:r>
          </w:p>
        </w:tc>
        <w:tc>
          <w:tcPr>
            <w:tcW w:w="1460" w:type="dxa"/>
            <w:vAlign w:val="bottom"/>
            <w:gridSpan w:val="2"/>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Reece A. Kurtenbach</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By /s/ Andrew D. Siegel</w:t>
            </w:r>
          </w:p>
        </w:tc>
        <w:tc>
          <w:tcPr>
            <w:tcW w:w="1720" w:type="dxa"/>
            <w:vAlign w:val="bottom"/>
            <w:gridSpan w:val="4"/>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Andrew D. Siegel</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John P. Friel</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0"/>
        </w:trPr>
        <w:tc>
          <w:tcPr>
            <w:tcW w:w="1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John P. Friel</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Kevin P. McDermott</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26, 2024</w:t>
            </w: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Kevin P. McDermott</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99"/>
        </w:trPr>
        <w:tc>
          <w:tcPr>
            <w:tcW w:w="3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Howard I. Atkins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July 12, 2023</w:t>
            </w:r>
          </w:p>
        </w:tc>
      </w:tr>
      <w:tr>
        <w:trPr>
          <w:trHeight w:val="20"/>
        </w:trPr>
        <w:tc>
          <w:tcPr>
            <w:tcW w:w="1720" w:type="dxa"/>
            <w:vAlign w:val="bottom"/>
            <w:gridSpan w:val="3"/>
            <w:shd w:val="clear" w:color="auto" w:fill="000000"/>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8"/>
                <w:szCs w:val="18"/>
                <w:color w:val="auto"/>
              </w:rPr>
              <w:t>Howard I. Atkins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980"/>
          </w:cols>
          <w:pgMar w:left="460" w:top="1400" w:right="4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18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27, 2024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110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 certify that:</w:t>
      </w:r>
    </w:p>
    <w:p>
      <w:pPr>
        <w:spacing w:after="0" w:line="18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27, 2024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110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27, 2024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110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27, 2024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110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DAKTRONICS,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INCENTIVE COMPENSATION CLAWBACK POLICY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Board of Directors (the “Board”) of Daktronics, Inc. (the “Company”) adopted this Clawback Policy (the “Policy”) providing for the recoupment of certain executive compensation in the event of an accounting restatement resulting from the Company’s material noncompliance with financial reporting requirements under the federal securities laws. This Policy is designed to comply with Section 10D of and Rule 10D-1 under the Securities Exchange Act of 1934 (the “Exchange Act”) and Nasdaq Listing Rule 5608.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2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This Policy shall be administered by the Board or, if so designated by the Board, the Compensation Committee, in which case references herein to the Board shall be deemed to be references to the Compensation Committee. Any determinations made by the Board shall be final and binding on all affected individuals.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Covered Executives</w:t>
      </w:r>
    </w:p>
    <w:p>
      <w:pPr>
        <w:spacing w:after="0" w:line="2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This Policy applies to the Company's current and former executive officers, as determined by the Board in accordance with Section 10D of the Exchange Act and the listing standards of the Nasdaq Global Select Market and such other senior executives who may from time to time be deemed subject to the Policy by the Board (the “Covered Executives”).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Recoupment; Accounting Restatement</w:t>
      </w:r>
    </w:p>
    <w:p>
      <w:pPr>
        <w:spacing w:after="0" w:line="260"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(defined below) received by any Covered Executive during the three completed fiscal years immediately preceding the date on which the Company is required to prepare an accounting restatement.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Incentive Compensation</w:t>
      </w:r>
    </w:p>
    <w:p>
      <w:pPr>
        <w:spacing w:after="0" w:line="24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For purposes of this Policy, the term “Incentive Compensation” means “Inventive-Based Compensation” as defined in accordance with section 10D of the Exchange Act and the listing standards of the Nasdaq Global Select Market for Covered Executives if such compensation is granted, earned, or vested based wholly or in part on the attainment of a financial reporting measure, including “variable compensation” or “Margin Based Compensation” as referred to within the Company, and the term “financial reporting measures” has the same meaning as defined in accordance with Section 10D of the Exchange Act and the listing standards of the Nasdaq Global Select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Excess Incentive Compensation: Amount Subject to Recovery</w:t>
      </w:r>
    </w:p>
    <w:p>
      <w:pPr>
        <w:sectPr>
          <w:pgSz w:w="11900" w:h="16838" w:orient="portrait"/>
          <w:cols w:equalWidth="0" w:num="1">
            <w:col w:w="11240"/>
          </w:cols>
          <w:pgMar w:left="320" w:top="11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spacing w:after="0" w:line="2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Method of Recoupment</w:t>
      </w:r>
    </w:p>
    <w:p>
      <w:pPr>
        <w:spacing w:after="0" w:line="247"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The Board will determine, in its sole discretion, the method for recouping excess Incentive Compensation hereunder which may include, without limitation:</w:t>
      </w:r>
    </w:p>
    <w:p>
      <w:pPr>
        <w:spacing w:after="0" w:line="173"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reimbursement of cash Incentive Compensation previously paid;</w:t>
      </w:r>
    </w:p>
    <w:p>
      <w:pPr>
        <w:spacing w:after="0" w:line="256" w:lineRule="exact"/>
        <w:rPr>
          <w:rFonts w:ascii="Times New Roman" w:cs="Times New Roman" w:eastAsia="Times New Roman" w:hAnsi="Times New Roman"/>
          <w:sz w:val="20"/>
          <w:szCs w:val="20"/>
          <w:color w:val="auto"/>
        </w:rPr>
      </w:pPr>
    </w:p>
    <w:p>
      <w:pPr>
        <w:ind w:left="660" w:right="180" w:hanging="4"/>
        <w:spacing w:after="0" w:line="283" w:lineRule="auto"/>
        <w:tabs>
          <w:tab w:leader="none" w:pos="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recovery of any gain realized on the vesting, exercise, settlement, sale, transfer, or other disposition of any equity-based awards;</w:t>
      </w:r>
    </w:p>
    <w:p>
      <w:pPr>
        <w:spacing w:after="0" w:line="173"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offsetting the recouped amount from any compensation otherwise owed by the Company to the Covered Executive;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 cancelling outstanding vested or unvested equity awards; and/or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 taking any other remedial and recovery action permitted by law, as determined by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shall not indemnify any Covered Executives against the loss of any incorrectly awarded Incentive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Interpretation</w:t>
      </w:r>
    </w:p>
    <w:p>
      <w:pPr>
        <w:spacing w:after="0" w:line="2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Rule 10D-1 under the Exchange Act, and any applicable rules or standards adopted by the Securities and Exchange Commission or any national securities exchange on which the Company's securities are listed.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Effective Date</w:t>
      </w:r>
    </w:p>
    <w:p>
      <w:pPr>
        <w:spacing w:after="0" w:line="26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This Policy shall be effective as of the date it is adopted by the Board (the “Effective Date”) and shall apply to Incentive Compensation that is approved, awarded, or granted to Covered Executives on or after that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2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The Board may amend this Policy from time to time in its discretion and shall amend this Policy as it deems necessary to reflect final regulations adopted by the Securities and Exchange Commission under Section 10D of the Exchange Act or Rule 10D-1 under the Exchange Act and to comply with any rules or</w:t>
      </w:r>
    </w:p>
    <w:p>
      <w:pPr>
        <w:sectPr>
          <w:pgSz w:w="11900" w:h="16838" w:orient="portrait"/>
          <w:cols w:equalWidth="0" w:num="1">
            <w:col w:w="11240"/>
          </w:cols>
          <w:pgMar w:left="320" w:top="11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standards adopted by a national securities exchange on which the Company's securities are listed. The Board may terminate this Policy at any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26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Impracticability</w:t>
      </w:r>
    </w:p>
    <w:p>
      <w:pPr>
        <w:spacing w:after="0" w:line="24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The Board shall recover any excess Incentive Compensation in accordance with this Policy unless such recovery would be impracticable, as determined by the Board in accordance with Rule 10D-1 under the Exchange Act and the listing standards of the national securities exchange on which the Company's securities are listed.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Successors</w:t>
      </w:r>
    </w:p>
    <w:p>
      <w:pPr>
        <w:spacing w:after="0" w:line="26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Revision History: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Adopted by the Board of Directors on 11 September 2023.</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Roman"/>
      <w:start w:val="17"/>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19"/>
    </w:lvl>
  </w:abstractNum>
  <w:abstractNum w:abstractNumId="19">
    <w:nsid w:val="54E49EB4"/>
    <w:multiLevelType w:val="hybridMultilevel"/>
    <w:lvl w:ilvl="0">
      <w:lvlJc w:val="left"/>
      <w:lvlText w:val="%1"/>
      <w:numFmt w:val="decimal"/>
      <w:start w:val="24"/>
    </w:lvl>
  </w:abstractNum>
  <w:abstractNum w:abstractNumId="20">
    <w:nsid w:val="71F32454"/>
    <w:multiLevelType w:val="hybridMultilevel"/>
    <w:lvl w:ilvl="0">
      <w:lvlJc w:val="left"/>
      <w:lvlText w:val="%1"/>
      <w:numFmt w:val="decimal"/>
      <w:start w:val="97"/>
    </w:lvl>
  </w:abstractNum>
  <w:abstractNum w:abstractNumId="21">
    <w:nsid w:val="2CA88611"/>
    <w:multiLevelType w:val="hybridMultilevel"/>
    <w:lvl w:ilvl="0">
      <w:lvlJc w:val="left"/>
      <w:lvlText w:val="%1"/>
      <w:numFmt w:val="decimal"/>
      <w:start w:val="101"/>
    </w:lvl>
  </w:abstractNum>
  <w:abstractNum w:abstractNumId="22">
    <w:nsid w:val="836C40E"/>
    <w:multiLevelType w:val="hybridMultilevel"/>
    <w:lvl w:ilvl="0">
      <w:lvlJc w:val="left"/>
      <w:lvlText w:val="%1"/>
      <w:numFmt w:val="decimal"/>
      <w:start w:val="104"/>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decimal"/>
      <w:start w:val="1"/>
    </w:lvl>
    <w:lvl w:ilvl="1">
      <w:lvlJc w:val="left"/>
      <w:lvlText w:val="%2."/>
      <w:numFmt w:val="lowerLetter"/>
      <w:start w:val="5"/>
    </w:lvl>
  </w:abstractNum>
  <w:abstractNum w:abstractNumId="26">
    <w:nsid w:val="1E7FF521"/>
    <w:multiLevelType w:val="hybridMultilevel"/>
    <w:lvl w:ilvl="0">
      <w:lvlJc w:val="left"/>
      <w:lvlText w:val="%1."/>
      <w:numFmt w:val="decimal"/>
      <w:start w:val="4"/>
    </w:lvl>
    <w:lvl w:ilvl="1">
      <w:lvlJc w:val="left"/>
      <w:lvlText w:val="%2"/>
      <w:numFmt w:val="lowerLetter"/>
      <w:start w:val="1"/>
    </w:lvl>
  </w:abstractNum>
  <w:abstractNum w:abstractNumId="27">
    <w:nsid w:val="7C3DBD3D"/>
    <w:multiLevelType w:val="hybridMultilevel"/>
    <w:lvl w:ilvl="0">
      <w:lvlJc w:val="left"/>
      <w:lvlText w:val="a"/>
      <w:numFmt w:val="bullet"/>
      <w:start w:val="1"/>
    </w:lvl>
    <w:lvl w:ilvl="1">
      <w:lvlJc w:val="left"/>
      <w:lvlText w:val="%2."/>
      <w:numFmt w:val="lowerRoman"/>
      <w:start w:val="1"/>
    </w:lvl>
  </w:abstractNum>
  <w:abstractNum w:abstractNumId="28">
    <w:nsid w:val="737B8DDC"/>
    <w:multiLevelType w:val="hybridMultilevel"/>
    <w:lvl w:ilvl="0">
      <w:lvlJc w:val="left"/>
      <w:lvlText w:val="%1."/>
      <w:numFmt w:val="lowerRoman"/>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17" Type="http://schemas.openxmlformats.org/officeDocument/2006/relationships/image" Target="media/image100.png"/><Relationship Id="rId119" Type="http://schemas.openxmlformats.org/officeDocument/2006/relationships/image" Target="media/image101.png"/><Relationship Id="rId138"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41" Type="http://schemas.openxmlformats.org/officeDocument/2006/relationships/hyperlink" Target="https://www.sec.gov/ix?doc=/Archives/edgar/data/915779/000091577922000007/dakt-20220430.htm" TargetMode="External"/><Relationship Id="rId108" Type="http://schemas.openxmlformats.org/officeDocument/2006/relationships/hyperlink" Target="http://www.sec.gov/Archives/edgar/data/915779/000091577918000119/exhibit31.htm" TargetMode="External"/><Relationship Id="rId109" Type="http://schemas.openxmlformats.org/officeDocument/2006/relationships/hyperlink" Target="https://www.sec.gov/Archives/edgar/data/915779/000091577923000007/exhibit31.htm" TargetMode="External"/><Relationship Id="rId110" Type="http://schemas.openxmlformats.org/officeDocument/2006/relationships/hyperlink" Target="http://www.sec.gov/Archives/edgar/data/915779/000091577918000089/dakt_20181116x8-kxex41.htm" TargetMode="External"/><Relationship Id="rId111" Type="http://schemas.openxmlformats.org/officeDocument/2006/relationships/hyperlink" Target="https://www.sec.gov/Archives/edgar/data/915779/000143774921027158/ex_309612.htm" TargetMode="External"/><Relationship Id="rId112" Type="http://schemas.openxmlformats.org/officeDocument/2006/relationships/hyperlink" Target="http://www.sec.gov/Archives/edgar/data/915779/000091577907000084/exhibit10-5.htm" TargetMode="External"/><Relationship Id="rId113" Type="http://schemas.openxmlformats.org/officeDocument/2006/relationships/hyperlink" Target="http://www.sec.gov/Archives/edgar/data/915779/000091577915000046/dakt-20150501_defx14a.htm#s4b4ce7db85924a1dba35b799a722a4cd" TargetMode="External"/><Relationship Id="rId114" Type="http://schemas.openxmlformats.org/officeDocument/2006/relationships/hyperlink" Target="http://www.sec.gov/Archives/edgar/data/915779/000091577920000033/dakt-20200502_defx14a.htm#s5535584329af4387ba038501fc36f575" TargetMode="External"/><Relationship Id="rId115" Type="http://schemas.openxmlformats.org/officeDocument/2006/relationships/hyperlink" Target="http://www.sec.gov/Archives/edgar/data/0000915779/000091577920000054/daktex1028-ksom2020.htm" TargetMode="External"/><Relationship Id="rId116" Type="http://schemas.openxmlformats.org/officeDocument/2006/relationships/hyperlink" Target="https://www.sec.gov/Archives/edgar/data/915779/000091577920000054/daktex1038-ksom2020.htm" TargetMode="External"/><Relationship Id="rId118" Type="http://schemas.openxmlformats.org/officeDocument/2006/relationships/hyperlink" Target="http://www.sec.gov/Archives/edgar/data/0000915779/000091577920000054/daktex1048-ksom2020.htm" TargetMode="External"/><Relationship Id="rId120" Type="http://schemas.openxmlformats.org/officeDocument/2006/relationships/hyperlink" Target="http://www.sec.gov/Archives/edgar/data/0000915779/000091577920000054/daktex1058-ksom2020.htm" TargetMode="External"/><Relationship Id="rId121" Type="http://schemas.openxmlformats.org/officeDocument/2006/relationships/hyperlink" Target="https://www.sec.gov/Archives/edgar/data/915779/000091577923000046/exhibit411_0429203.htm" TargetMode="External"/><Relationship Id="rId122" Type="http://schemas.openxmlformats.org/officeDocument/2006/relationships/hyperlink" Target="http://www.sec.gov/Archives/edgar/data/915779/000091577916000233/dakt_20161115xex101.htm" TargetMode="External"/><Relationship Id="rId123" Type="http://schemas.openxmlformats.org/officeDocument/2006/relationships/hyperlink" Target="http://www.sec.gov/Archives/edgar/data/915779/000091577916000233/dakt_20161115xex102.htm" TargetMode="External"/><Relationship Id="rId124" Type="http://schemas.openxmlformats.org/officeDocument/2006/relationships/hyperlink" Target="http://www.sec.gov/Archives/edgar/data/915779/000091577919000079/dakt_20191115xex101.htm" TargetMode="External"/><Relationship Id="rId125" Type="http://schemas.openxmlformats.org/officeDocument/2006/relationships/hyperlink" Target="http://www.sec.gov/Archives/edgar/data/0000915779/000091577920000052/dakt20200801q1ex104.htm" TargetMode="External"/><Relationship Id="rId126" Type="http://schemas.openxmlformats.org/officeDocument/2006/relationships/hyperlink" Target="https://www.sec.gov/Archives/edgar/data/915779/000143774921014600/ex_246991.htm" TargetMode="External"/><Relationship Id="rId127" Type="http://schemas.openxmlformats.org/officeDocument/2006/relationships/hyperlink" Target="https://www.sec.gov/Archives/edgar/data/915779/000143774922010278/ex_367356.htm" TargetMode="External"/><Relationship Id="rId128" Type="http://schemas.openxmlformats.org/officeDocument/2006/relationships/hyperlink" Target="https://www.sec.gov/Archives/edgar/data/915779/000091577922000023/exhibit101_08152022credita.htm" TargetMode="External"/><Relationship Id="rId129" Type="http://schemas.openxmlformats.org/officeDocument/2006/relationships/hyperlink" Target="https://www.sec.gov/Archives/edgar/data/915779/000091577922000092/a101amendmenttocreditagree.htm" TargetMode="External"/><Relationship Id="rId130" Type="http://schemas.openxmlformats.org/officeDocument/2006/relationships/hyperlink" Target="https://www.sec.gov/Archives/edgar/data/915779/000091577922000115/a101sixthamendmenttocredit.htm" TargetMode="External"/><Relationship Id="rId131" Type="http://schemas.openxmlformats.org/officeDocument/2006/relationships/hyperlink" Target="https://www.sec.gov/Archives/edgar/data/915779/000091577923000003/exhibit101_seventhamendment.htm" TargetMode="External"/><Relationship Id="rId132" Type="http://schemas.openxmlformats.org/officeDocument/2006/relationships/hyperlink" Target="https://www.sec.gov/Archives/edgar/data/915779/000091577920000052/dakt20200801q1ex105.htm" TargetMode="External"/><Relationship Id="rId133" Type="http://schemas.openxmlformats.org/officeDocument/2006/relationships/hyperlink" Target="https://www.sec.gov/Archives/edgar/data/915779/000091577922000010/exhibit101_071822.htm" TargetMode="External"/><Relationship Id="rId134" Type="http://schemas.openxmlformats.org/officeDocument/2006/relationships/hyperlink" Target="https://www.sec.gov/Archives/edgar/data/915779/000091577923000022/seniorsecondliensecuredcon.htm" TargetMode="External"/><Relationship Id="rId135" Type="http://schemas.openxmlformats.org/officeDocument/2006/relationships/hyperlink" Target="https://www.sec.gov/Archives/edgar/data/915779/000091577923000029/exhibit101toformexecuted.htm" TargetMode="External"/><Relationship Id="rId136" Type="http://schemas.openxmlformats.org/officeDocument/2006/relationships/hyperlink" Target="https://www.sec.gov/Archives/edgar/data/915779/000091577923000029/exhibit102toformexecuted.htm" TargetMode="External"/><Relationship Id="rId137" Type="http://schemas.openxmlformats.org/officeDocument/2006/relationships/hyperlink" Target="https://www.sec.gov/Archives/edgar/data/915779/000091577923000029/exhibit103toform_execute.htm" TargetMode="External"/><Relationship Id="rId139" Type="http://schemas.openxmlformats.org/officeDocument/2006/relationships/hyperlink" Target="https://www.sec.gov/Archives/edgar/data/915779/000091577923000029/exhibit104toform_execute.htm" TargetMode="External"/><Relationship Id="rId140" Type="http://schemas.openxmlformats.org/officeDocument/2006/relationships/hyperlink" Target="https://www.sec.gov/Archives/edgar/data/915779/000091577923000029/exhibit105toform_execute.htm" TargetMode="External"/><Relationship Id="rId141" Type="http://schemas.openxmlformats.org/officeDocument/2006/relationships/hyperlink" Target="https://www.sec.gov/Archives/edgar/data/915779/000091577923000029/exhibit106toform_execute.htm" TargetMode="External"/><Relationship Id="rId142" Type="http://schemas.openxmlformats.org/officeDocument/2006/relationships/hyperlink" Target="https://www.sec.gov/Archives/edgar/data/915779/000091577923000029/exhibit107toform_execu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2024-06-26T14:03:31Z</dcterms:created>
  <dcterms:modified xsi:type="dcterms:W3CDTF">2024-06-26T14:03:31Z</dcterms:modified>
</cp:coreProperties>
</file>