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20"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1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1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1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3994150</wp:posOffset>
            </wp:positionH>
            <wp:positionV relativeFrom="paragraph">
              <wp:posOffset>-631190</wp:posOffset>
            </wp:positionV>
            <wp:extent cx="58420" cy="644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750570</wp:posOffset>
            </wp:positionV>
            <wp:extent cx="7045960" cy="62909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6290945"/>
                    </a:xfrm>
                    <a:prstGeom prst="rect">
                      <a:avLst/>
                    </a:prstGeom>
                    <a:noFill/>
                  </pic:spPr>
                </pic:pic>
              </a:graphicData>
            </a:graphic>
          </wp:anchor>
        </w:drawing>
      </w:r>
    </w:p>
    <w:p>
      <w:pPr>
        <w:spacing w:after="0" w:line="1256" w:lineRule="exact"/>
        <w:rPr>
          <w:sz w:val="24"/>
          <w:szCs w:val="24"/>
          <w:color w:val="auto"/>
        </w:rPr>
      </w:pPr>
    </w:p>
    <w:p>
      <w:pPr>
        <w:sectPr>
          <w:pgSz w:w="11900" w:h="16838" w:orient="portrait"/>
          <w:cols w:equalWidth="0" w:num="2">
            <w:col w:w="2300" w:space="260"/>
            <w:col w:w="8520"/>
          </w:cols>
          <w:pgMar w:left="460" w:top="216"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Kurtenbach Matthew John</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201 DAKTRONICS DRIVE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jc w:val="center"/>
        <w:ind w:right="146"/>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DAKTRONICS INC /SD/</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DAKT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9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03/05/2026</w:t>
      </w:r>
    </w:p>
    <w:p>
      <w:pPr>
        <w:spacing w:after="0" w:line="20" w:lineRule="exact"/>
        <w:rPr>
          <w:sz w:val="24"/>
          <w:szCs w:val="24"/>
          <w:color w:val="auto"/>
        </w:rPr>
      </w:pPr>
      <w:r>
        <w:rPr>
          <w:sz w:val="24"/>
          <w:szCs w:val="24"/>
          <w:color w:val="auto"/>
        </w:rPr>
        <w:br w:type="column"/>
      </w:r>
    </w:p>
    <w:p>
      <w:pPr>
        <w:ind w:left="-6" w:right="620" w:firstLine="6"/>
        <w:spacing w:after="0" w:line="260" w:lineRule="auto"/>
        <w:tabs>
          <w:tab w:leader="none" w:pos="13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34"/>
        <w:spacing w:after="0"/>
        <w:tabs>
          <w:tab w:leader="none" w:pos="209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6"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6" w:lineRule="exact"/>
        <w:rPr>
          <w:sz w:val="24"/>
          <w:szCs w:val="24"/>
          <w:color w:val="auto"/>
        </w:rPr>
      </w:pPr>
    </w:p>
    <w:p>
      <w:pPr>
        <w:ind w:left="534"/>
        <w:spacing w:after="0"/>
        <w:tabs>
          <w:tab w:leader="none" w:pos="209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4" w:lineRule="exact"/>
        <w:rPr>
          <w:sz w:val="24"/>
          <w:szCs w:val="24"/>
          <w:color w:val="auto"/>
        </w:rPr>
      </w:pPr>
    </w:p>
    <w:p>
      <w:pPr>
        <w:ind w:left="854"/>
        <w:spacing w:after="0"/>
        <w:rPr>
          <w:sz w:val="20"/>
          <w:szCs w:val="20"/>
          <w:color w:val="auto"/>
        </w:rPr>
      </w:pPr>
      <w:r>
        <w:rPr>
          <w:rFonts w:ascii="Times New Roman" w:cs="Times New Roman" w:eastAsia="Times New Roman" w:hAnsi="Times New Roman"/>
          <w:sz w:val="17"/>
          <w:szCs w:val="17"/>
          <w:color w:val="0000FF"/>
        </w:rPr>
        <w:t>VP of Manufacturing</w:t>
      </w:r>
    </w:p>
    <w:p>
      <w:pPr>
        <w:spacing w:after="0" w:line="318" w:lineRule="exact"/>
        <w:rPr>
          <w:sz w:val="24"/>
          <w:szCs w:val="24"/>
          <w:color w:val="auto"/>
        </w:rPr>
      </w:pPr>
    </w:p>
    <w:p>
      <w:pPr>
        <w:sectPr>
          <w:pgSz w:w="11900" w:h="16838" w:orient="portrait"/>
          <w:cols w:equalWidth="0" w:num="3">
            <w:col w:w="3180" w:space="720"/>
            <w:col w:w="3106" w:space="720"/>
            <w:col w:w="3354"/>
          </w:cols>
          <w:pgMar w:left="460" w:top="216" w:right="359" w:bottom="0" w:gutter="0" w:footer="0" w:header="0"/>
          <w:type w:val="continuous"/>
        </w:sectPr>
      </w:pPr>
    </w:p>
    <w:tbl>
      <w:tblPr>
        <w:tblLayout w:type="fixed"/>
        <w:tblInd w:w="0" w:type="dxa"/>
        <w:tblCellMar>
          <w:top w:w="0" w:type="dxa"/>
          <w:left w:w="0" w:type="dxa"/>
          <w:bottom w:w="0" w:type="dxa"/>
          <w:right w:w="0" w:type="dxa"/>
        </w:tblCellMar>
      </w:tblP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140" w:type="dxa"/>
            <w:vAlign w:val="bottom"/>
            <w:tcBorders>
              <w:bottom w:val="single" w:sz="8" w:color="9A9A9A"/>
            </w:tcBorders>
          </w:tcPr>
          <w:p>
            <w:pPr>
              <w:spacing w:after="0"/>
              <w:rPr>
                <w:sz w:val="3"/>
                <w:szCs w:val="3"/>
                <w:color w:val="auto"/>
              </w:rPr>
            </w:pPr>
          </w:p>
        </w:tc>
        <w:tc>
          <w:tcPr>
            <w:tcW w:w="780" w:type="dxa"/>
            <w:vAlign w:val="bottom"/>
            <w:tcBorders>
              <w:bottom w:val="single" w:sz="8" w:color="9A9A9A"/>
            </w:tcBorders>
          </w:tcPr>
          <w:p>
            <w:pPr>
              <w:spacing w:after="0"/>
              <w:rPr>
                <w:sz w:val="3"/>
                <w:szCs w:val="3"/>
                <w:color w:val="auto"/>
              </w:rPr>
            </w:pPr>
          </w:p>
        </w:tc>
        <w:tc>
          <w:tcPr>
            <w:tcW w:w="1720" w:type="dxa"/>
            <w:vAlign w:val="bottom"/>
            <w:tcBorders>
              <w:bottom w:val="single" w:sz="8" w:color="9A9A9A"/>
            </w:tcBorders>
          </w:tcPr>
          <w:p>
            <w:pPr>
              <w:spacing w:after="0"/>
              <w:rPr>
                <w:sz w:val="3"/>
                <w:szCs w:val="3"/>
                <w:color w:val="auto"/>
              </w:rPr>
            </w:pPr>
          </w:p>
        </w:tc>
        <w:tc>
          <w:tcPr>
            <w:tcW w:w="3620" w:type="dxa"/>
            <w:vAlign w:val="bottom"/>
            <w:gridSpan w:val="5"/>
            <w:vMerge w:val="restart"/>
          </w:tcPr>
          <w:p>
            <w:pPr>
              <w:jc w:val="right"/>
              <w:ind w:right="89"/>
              <w:spacing w:after="0"/>
              <w:rPr>
                <w:sz w:val="20"/>
                <w:szCs w:val="20"/>
                <w:color w:val="auto"/>
              </w:rPr>
            </w:pPr>
            <w:r>
              <w:rPr>
                <w:rFonts w:ascii="Arial" w:cs="Arial" w:eastAsia="Arial" w:hAnsi="Arial"/>
                <w:sz w:val="13"/>
                <w:szCs w:val="13"/>
                <w:color w:val="auto"/>
              </w:rPr>
              <w:t>4. If Amendment, Date of Original Filed (Month/Day/Year)</w:t>
            </w:r>
          </w:p>
        </w:tc>
        <w:tc>
          <w:tcPr>
            <w:tcW w:w="3620" w:type="dxa"/>
            <w:vAlign w:val="bottom"/>
            <w:gridSpan w:val="5"/>
            <w:vMerge w:val="restart"/>
          </w:tcPr>
          <w:p>
            <w:pPr>
              <w:ind w:left="3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780" w:type="dxa"/>
            <w:vAlign w:val="bottom"/>
          </w:tcPr>
          <w:p>
            <w:pPr>
              <w:spacing w:after="0"/>
              <w:rPr>
                <w:sz w:val="7"/>
                <w:szCs w:val="7"/>
                <w:color w:val="auto"/>
              </w:rPr>
            </w:pPr>
          </w:p>
        </w:tc>
        <w:tc>
          <w:tcPr>
            <w:tcW w:w="1720" w:type="dxa"/>
            <w:vAlign w:val="bottom"/>
          </w:tcPr>
          <w:p>
            <w:pPr>
              <w:spacing w:after="0"/>
              <w:rPr>
                <w:sz w:val="7"/>
                <w:szCs w:val="7"/>
                <w:color w:val="auto"/>
              </w:rPr>
            </w:pPr>
          </w:p>
        </w:tc>
        <w:tc>
          <w:tcPr>
            <w:tcW w:w="3620" w:type="dxa"/>
            <w:vAlign w:val="bottom"/>
            <w:gridSpan w:val="5"/>
            <w:vMerge w:val="continue"/>
          </w:tcPr>
          <w:p>
            <w:pPr>
              <w:spacing w:after="0"/>
              <w:rPr>
                <w:sz w:val="7"/>
                <w:szCs w:val="7"/>
                <w:color w:val="auto"/>
              </w:rPr>
            </w:pPr>
          </w:p>
        </w:tc>
        <w:tc>
          <w:tcPr>
            <w:tcW w:w="3620" w:type="dxa"/>
            <w:vAlign w:val="bottom"/>
            <w:gridSpan w:val="5"/>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2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ind w:left="360"/>
              <w:spacing w:after="0"/>
              <w:rPr>
                <w:sz w:val="20"/>
                <w:szCs w:val="20"/>
                <w:color w:val="auto"/>
              </w:rPr>
            </w:pPr>
            <w:r>
              <w:rPr>
                <w:rFonts w:ascii="Arial" w:cs="Arial" w:eastAsia="Arial" w:hAnsi="Arial"/>
                <w:sz w:val="13"/>
                <w:szCs w:val="13"/>
                <w:color w:val="auto"/>
              </w:rPr>
              <w:t>Line)</w:t>
            </w:r>
          </w:p>
        </w:tc>
        <w:tc>
          <w:tcPr>
            <w:tcW w:w="1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BROOKINGS</w:t>
            </w:r>
          </w:p>
        </w:tc>
        <w:tc>
          <w:tcPr>
            <w:tcW w:w="78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SD</w:t>
            </w:r>
          </w:p>
        </w:tc>
        <w:tc>
          <w:tcPr>
            <w:tcW w:w="1720" w:type="dxa"/>
            <w:vAlign w:val="bottom"/>
          </w:tcPr>
          <w:p>
            <w:pPr>
              <w:ind w:left="540"/>
              <w:spacing w:after="0"/>
              <w:rPr>
                <w:sz w:val="20"/>
                <w:szCs w:val="20"/>
                <w:color w:val="auto"/>
              </w:rPr>
            </w:pPr>
            <w:r>
              <w:rPr>
                <w:rFonts w:ascii="Times New Roman" w:cs="Times New Roman" w:eastAsia="Times New Roman" w:hAnsi="Times New Roman"/>
                <w:sz w:val="17"/>
                <w:szCs w:val="17"/>
                <w:color w:val="0000FF"/>
              </w:rPr>
              <w:t>57006</w:t>
            </w:r>
          </w:p>
        </w:tc>
        <w:tc>
          <w:tcPr>
            <w:tcW w:w="4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940" w:type="dxa"/>
            <w:vAlign w:val="bottom"/>
            <w:gridSpan w:val="4"/>
          </w:tcPr>
          <w:p>
            <w:pPr>
              <w:ind w:left="2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720" w:type="dxa"/>
            <w:vAlign w:val="bottom"/>
            <w:tcBorders>
              <w:bottom w:val="single" w:sz="8" w:color="9A9A9A"/>
            </w:tcBorders>
          </w:tcPr>
          <w:p>
            <w:pPr>
              <w:spacing w:after="0"/>
              <w:rPr>
                <w:sz w:val="13"/>
                <w:szCs w:val="13"/>
                <w:color w:val="auto"/>
              </w:rPr>
            </w:pPr>
          </w:p>
        </w:tc>
        <w:tc>
          <w:tcPr>
            <w:tcW w:w="4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940" w:type="dxa"/>
            <w:vAlign w:val="bottom"/>
            <w:gridSpan w:val="4"/>
          </w:tcPr>
          <w:p>
            <w:pPr>
              <w:ind w:left="220"/>
              <w:spacing w:after="0" w:line="138"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780" w:type="dxa"/>
            <w:vAlign w:val="bottom"/>
            <w:vMerge w:val="restart"/>
          </w:tcPr>
          <w:p>
            <w:pPr>
              <w:ind w:left="100"/>
              <w:spacing w:after="0"/>
              <w:rPr>
                <w:sz w:val="20"/>
                <w:szCs w:val="20"/>
                <w:color w:val="auto"/>
              </w:rPr>
            </w:pPr>
            <w:r>
              <w:rPr>
                <w:rFonts w:ascii="Arial" w:cs="Arial" w:eastAsia="Arial" w:hAnsi="Arial"/>
                <w:sz w:val="13"/>
                <w:szCs w:val="13"/>
                <w:color w:val="auto"/>
              </w:rPr>
              <w:t>(State)</w:t>
            </w:r>
          </w:p>
        </w:tc>
        <w:tc>
          <w:tcPr>
            <w:tcW w:w="2200" w:type="dxa"/>
            <w:vAlign w:val="bottom"/>
            <w:gridSpan w:val="2"/>
            <w:vMerge w:val="restart"/>
          </w:tcPr>
          <w:p>
            <w:pPr>
              <w:ind w:left="540"/>
              <w:spacing w:after="0"/>
              <w:rPr>
                <w:sz w:val="20"/>
                <w:szCs w:val="20"/>
                <w:color w:val="auto"/>
              </w:rPr>
            </w:pPr>
            <w:r>
              <w:rPr>
                <w:rFonts w:ascii="Arial" w:cs="Arial" w:eastAsia="Arial" w:hAnsi="Arial"/>
                <w:sz w:val="13"/>
                <w:szCs w:val="13"/>
                <w:color w:val="auto"/>
              </w:rPr>
              <w:t>(Zip)</w:t>
            </w:r>
          </w:p>
        </w:tc>
        <w:tc>
          <w:tcPr>
            <w:tcW w:w="10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120" w:type="dxa"/>
            <w:vAlign w:val="bottom"/>
          </w:tcPr>
          <w:p>
            <w:pPr>
              <w:ind w:left="22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vMerge w:val="continue"/>
          </w:tcPr>
          <w:p>
            <w:pPr>
              <w:spacing w:after="0"/>
              <w:rPr>
                <w:sz w:val="11"/>
                <w:szCs w:val="11"/>
                <w:color w:val="auto"/>
              </w:rPr>
            </w:pPr>
          </w:p>
        </w:tc>
        <w:tc>
          <w:tcPr>
            <w:tcW w:w="780" w:type="dxa"/>
            <w:vAlign w:val="bottom"/>
            <w:vMerge w:val="continue"/>
          </w:tcPr>
          <w:p>
            <w:pPr>
              <w:spacing w:after="0"/>
              <w:rPr>
                <w:sz w:val="11"/>
                <w:szCs w:val="11"/>
                <w:color w:val="auto"/>
              </w:rPr>
            </w:pPr>
          </w:p>
        </w:tc>
        <w:tc>
          <w:tcPr>
            <w:tcW w:w="2200" w:type="dxa"/>
            <w:vAlign w:val="bottom"/>
            <w:gridSpan w:val="2"/>
            <w:vMerge w:val="continue"/>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14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1720" w:type="dxa"/>
            <w:vAlign w:val="bottom"/>
            <w:tcBorders>
              <w:bottom w:val="single" w:sz="8" w:color="2C2C2C"/>
            </w:tcBorders>
          </w:tcPr>
          <w:p>
            <w:pPr>
              <w:spacing w:after="0"/>
              <w:rPr>
                <w:sz w:val="10"/>
                <w:szCs w:val="10"/>
                <w:color w:val="auto"/>
              </w:rPr>
            </w:pPr>
          </w:p>
        </w:tc>
        <w:tc>
          <w:tcPr>
            <w:tcW w:w="5420" w:type="dxa"/>
            <w:vAlign w:val="bottom"/>
            <w:tcBorders>
              <w:bottom w:val="single" w:sz="8" w:color="2C2C2C"/>
            </w:tcBorders>
            <w:gridSpan w:val="7"/>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86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114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7140" w:type="dxa"/>
            <w:vAlign w:val="bottom"/>
            <w:tcBorders>
              <w:top w:val="single" w:sz="8" w:color="2C2C2C"/>
            </w:tcBorders>
            <w:gridSpan w:val="8"/>
          </w:tcPr>
          <w:p>
            <w:pPr>
              <w:ind w:left="2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8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000" w:type="dxa"/>
            <w:vAlign w:val="bottom"/>
            <w:tcBorders>
              <w:bottom w:val="single" w:sz="8" w:color="2C2C2C"/>
            </w:tcBorders>
            <w:gridSpan w:val="3"/>
          </w:tcPr>
          <w:p>
            <w:pPr>
              <w:spacing w:after="0"/>
              <w:rPr>
                <w:sz w:val="3"/>
                <w:szCs w:val="3"/>
                <w:color w:val="auto"/>
              </w:rPr>
            </w:pPr>
          </w:p>
        </w:tc>
        <w:tc>
          <w:tcPr>
            <w:tcW w:w="2200" w:type="dxa"/>
            <w:vAlign w:val="bottom"/>
            <w:tcBorders>
              <w:bottom w:val="single" w:sz="8" w:color="2C2C2C"/>
            </w:tcBorders>
            <w:gridSpan w:val="2"/>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940" w:type="dxa"/>
            <w:vAlign w:val="bottom"/>
            <w:tcBorders>
              <w:bottom w:val="single" w:sz="8" w:color="2C2C2C"/>
            </w:tcBorders>
            <w:gridSpan w:val="3"/>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0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2200" w:type="dxa"/>
            <w:vAlign w:val="bottom"/>
            <w:gridSpan w:val="2"/>
          </w:tcPr>
          <w:p>
            <w:pPr>
              <w:ind w:left="116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80" w:type="dxa"/>
            <w:vAlign w:val="bottom"/>
            <w:gridSpan w:val="2"/>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0" w:type="dxa"/>
            <w:vAlign w:val="bottom"/>
            <w:gridSpan w:val="2"/>
          </w:tcPr>
          <w:p>
            <w:pPr>
              <w:ind w:left="1160"/>
              <w:spacing w:after="0" w:line="129"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Form: Direct</w:t>
            </w:r>
          </w:p>
        </w:tc>
        <w:tc>
          <w:tcPr>
            <w:tcW w:w="8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0" w:type="dxa"/>
            <w:vAlign w:val="bottom"/>
            <w:gridSpan w:val="2"/>
          </w:tcPr>
          <w:p>
            <w:pPr>
              <w:ind w:left="1160"/>
              <w:spacing w:after="0" w:line="130"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5)</w:t>
            </w: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8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8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80" w:type="dxa"/>
            <w:vAlign w:val="bottom"/>
          </w:tcPr>
          <w:p>
            <w:pPr>
              <w:spacing w:after="0"/>
              <w:rPr>
                <w:sz w:val="6"/>
                <w:szCs w:val="6"/>
                <w:color w:val="auto"/>
              </w:rPr>
            </w:pPr>
          </w:p>
        </w:tc>
        <w:tc>
          <w:tcPr>
            <w:tcW w:w="1720" w:type="dxa"/>
            <w:vAlign w:val="bottom"/>
          </w:tcPr>
          <w:p>
            <w:pPr>
              <w:spacing w:after="0"/>
              <w:rPr>
                <w:sz w:val="6"/>
                <w:szCs w:val="6"/>
                <w:color w:val="auto"/>
              </w:rPr>
            </w:pPr>
          </w:p>
        </w:tc>
        <w:tc>
          <w:tcPr>
            <w:tcW w:w="4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80" w:type="dxa"/>
            <w:vAlign w:val="bottom"/>
            <w:gridSpan w:val="2"/>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72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(A) or</w:t>
            </w:r>
          </w:p>
        </w:tc>
        <w:tc>
          <w:tcPr>
            <w:tcW w:w="6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7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54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68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80" w:type="dxa"/>
            <w:vAlign w:val="bottom"/>
          </w:tcPr>
          <w:p>
            <w:pPr>
              <w:spacing w:after="0"/>
              <w:rPr>
                <w:sz w:val="5"/>
                <w:szCs w:val="5"/>
                <w:color w:val="auto"/>
              </w:rPr>
            </w:pPr>
          </w:p>
        </w:tc>
        <w:tc>
          <w:tcPr>
            <w:tcW w:w="1720" w:type="dxa"/>
            <w:vAlign w:val="bottom"/>
          </w:tcPr>
          <w:p>
            <w:pPr>
              <w:spacing w:after="0"/>
              <w:rPr>
                <w:sz w:val="5"/>
                <w:szCs w:val="5"/>
                <w:color w:val="auto"/>
              </w:rPr>
            </w:pPr>
          </w:p>
        </w:tc>
        <w:tc>
          <w:tcPr>
            <w:tcW w:w="4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200" w:type="dxa"/>
            <w:vAlign w:val="bottom"/>
            <w:tcBorders>
              <w:bottom w:val="single" w:sz="8" w:color="2C2C2C"/>
            </w:tcBorders>
            <w:gridSpan w:val="2"/>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2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80" w:type="dxa"/>
            <w:vAlign w:val="bottom"/>
          </w:tcPr>
          <w:p>
            <w:pPr>
              <w:spacing w:after="0"/>
              <w:rPr>
                <w:sz w:val="22"/>
                <w:szCs w:val="22"/>
                <w:color w:val="auto"/>
              </w:rPr>
            </w:pPr>
          </w:p>
        </w:tc>
        <w:tc>
          <w:tcPr>
            <w:tcW w:w="2200" w:type="dxa"/>
            <w:vAlign w:val="bottom"/>
            <w:gridSpan w:val="2"/>
          </w:tcPr>
          <w:p>
            <w:pPr>
              <w:jc w:val="right"/>
              <w:ind w:right="95"/>
              <w:spacing w:after="0"/>
              <w:rPr>
                <w:sz w:val="20"/>
                <w:szCs w:val="20"/>
                <w:color w:val="auto"/>
              </w:rPr>
            </w:pPr>
            <w:r>
              <w:rPr>
                <w:rFonts w:ascii="Times New Roman" w:cs="Times New Roman" w:eastAsia="Times New Roman" w:hAnsi="Times New Roman"/>
                <w:sz w:val="17"/>
                <w:szCs w:val="17"/>
                <w:color w:val="0000FF"/>
              </w:rPr>
              <w:t>03/05/2026</w:t>
            </w:r>
          </w:p>
        </w:tc>
        <w:tc>
          <w:tcPr>
            <w:tcW w:w="1080" w:type="dxa"/>
            <w:vAlign w:val="bottom"/>
          </w:tcPr>
          <w:p>
            <w:pPr>
              <w:spacing w:after="0"/>
              <w:rPr>
                <w:sz w:val="22"/>
                <w:szCs w:val="22"/>
                <w:color w:val="auto"/>
              </w:rPr>
            </w:pPr>
          </w:p>
        </w:tc>
        <w:tc>
          <w:tcPr>
            <w:tcW w:w="80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M</w:t>
            </w:r>
          </w:p>
        </w:tc>
        <w:tc>
          <w:tcPr>
            <w:tcW w:w="72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4,606</w:t>
            </w:r>
          </w:p>
        </w:tc>
        <w:tc>
          <w:tcPr>
            <w:tcW w:w="540" w:type="dxa"/>
            <w:vAlign w:val="bottom"/>
          </w:tcPr>
          <w:p>
            <w:pPr>
              <w:jc w:val="right"/>
              <w:ind w:right="89"/>
              <w:spacing w:after="0"/>
              <w:rPr>
                <w:sz w:val="20"/>
                <w:szCs w:val="20"/>
                <w:color w:val="auto"/>
              </w:rPr>
            </w:pPr>
            <w:r>
              <w:rPr>
                <w:rFonts w:ascii="Times New Roman" w:cs="Times New Roman" w:eastAsia="Times New Roman" w:hAnsi="Times New Roman"/>
                <w:sz w:val="17"/>
                <w:szCs w:val="17"/>
                <w:color w:val="0000FF"/>
              </w:rPr>
              <w:t>A</w:t>
            </w:r>
          </w:p>
        </w:tc>
        <w:tc>
          <w:tcPr>
            <w:tcW w:w="680" w:type="dxa"/>
            <w:vAlign w:val="bottom"/>
          </w:tcPr>
          <w:p>
            <w:pPr>
              <w:jc w:val="center"/>
              <w:ind w:right="149"/>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12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6"/>
              </w:rPr>
              <w:t>339,870.7</w:t>
            </w:r>
          </w:p>
        </w:tc>
        <w:tc>
          <w:tcPr>
            <w:tcW w:w="94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20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2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80" w:type="dxa"/>
            <w:vAlign w:val="bottom"/>
          </w:tcPr>
          <w:p>
            <w:pPr>
              <w:spacing w:after="0"/>
              <w:rPr>
                <w:sz w:val="22"/>
                <w:szCs w:val="22"/>
                <w:color w:val="auto"/>
              </w:rPr>
            </w:pPr>
          </w:p>
        </w:tc>
        <w:tc>
          <w:tcPr>
            <w:tcW w:w="2200" w:type="dxa"/>
            <w:vAlign w:val="bottom"/>
            <w:gridSpan w:val="2"/>
          </w:tcPr>
          <w:p>
            <w:pPr>
              <w:jc w:val="right"/>
              <w:ind w:right="95"/>
              <w:spacing w:after="0"/>
              <w:rPr>
                <w:sz w:val="20"/>
                <w:szCs w:val="20"/>
                <w:color w:val="auto"/>
              </w:rPr>
            </w:pPr>
            <w:r>
              <w:rPr>
                <w:rFonts w:ascii="Times New Roman" w:cs="Times New Roman" w:eastAsia="Times New Roman" w:hAnsi="Times New Roman"/>
                <w:sz w:val="17"/>
                <w:szCs w:val="17"/>
                <w:color w:val="0000FF"/>
              </w:rPr>
              <w:t>03/05/2026</w:t>
            </w:r>
          </w:p>
        </w:tc>
        <w:tc>
          <w:tcPr>
            <w:tcW w:w="1080" w:type="dxa"/>
            <w:vAlign w:val="bottom"/>
          </w:tcPr>
          <w:p>
            <w:pPr>
              <w:spacing w:after="0"/>
              <w:rPr>
                <w:sz w:val="22"/>
                <w:szCs w:val="22"/>
                <w:color w:val="auto"/>
              </w:rPr>
            </w:pPr>
          </w:p>
        </w:tc>
        <w:tc>
          <w:tcPr>
            <w:tcW w:w="800" w:type="dxa"/>
            <w:vAlign w:val="bottom"/>
          </w:tcPr>
          <w:p>
            <w:pPr>
              <w:ind w:left="200"/>
              <w:spacing w:after="0"/>
              <w:rPr>
                <w:sz w:val="20"/>
                <w:szCs w:val="20"/>
                <w:color w:val="auto"/>
              </w:rPr>
            </w:pPr>
            <w:r>
              <w:rPr>
                <w:rFonts w:ascii="Times New Roman" w:cs="Times New Roman" w:eastAsia="Times New Roman" w:hAnsi="Times New Roman"/>
                <w:sz w:val="13"/>
                <w:szCs w:val="13"/>
                <w:color w:val="0000FF"/>
              </w:rPr>
              <w:t>F</w:t>
            </w:r>
          </w:p>
        </w:tc>
        <w:tc>
          <w:tcPr>
            <w:tcW w:w="72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1,365</w:t>
            </w:r>
          </w:p>
        </w:tc>
        <w:tc>
          <w:tcPr>
            <w:tcW w:w="540" w:type="dxa"/>
            <w:vAlign w:val="bottom"/>
          </w:tcPr>
          <w:p>
            <w:pPr>
              <w:jc w:val="right"/>
              <w:ind w:right="89"/>
              <w:spacing w:after="0"/>
              <w:rPr>
                <w:sz w:val="20"/>
                <w:szCs w:val="20"/>
                <w:color w:val="auto"/>
              </w:rPr>
            </w:pPr>
            <w:r>
              <w:rPr>
                <w:rFonts w:ascii="Times New Roman" w:cs="Times New Roman" w:eastAsia="Times New Roman" w:hAnsi="Times New Roman"/>
                <w:sz w:val="17"/>
                <w:szCs w:val="17"/>
                <w:color w:val="0000FF"/>
              </w:rPr>
              <w:t>D</w:t>
            </w:r>
          </w:p>
        </w:tc>
        <w:tc>
          <w:tcPr>
            <w:tcW w:w="680" w:type="dxa"/>
            <w:vAlign w:val="bottom"/>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22.99</w:t>
            </w:r>
          </w:p>
        </w:tc>
        <w:tc>
          <w:tcPr>
            <w:tcW w:w="112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6"/>
              </w:rPr>
              <w:t>338,505.7</w:t>
            </w:r>
          </w:p>
        </w:tc>
        <w:tc>
          <w:tcPr>
            <w:tcW w:w="94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7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2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8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jc w:val="center"/>
              <w:spacing w:after="0" w:line="312" w:lineRule="exact"/>
              <w:rPr>
                <w:sz w:val="20"/>
                <w:szCs w:val="20"/>
                <w:color w:val="auto"/>
              </w:rPr>
            </w:pPr>
            <w:r>
              <w:rPr>
                <w:rFonts w:ascii="Times New Roman" w:cs="Times New Roman" w:eastAsia="Times New Roman" w:hAnsi="Times New Roman"/>
                <w:sz w:val="33"/>
                <w:szCs w:val="33"/>
                <w:color w:val="0000FF"/>
                <w:w w:val="82"/>
                <w:vertAlign w:val="subscript"/>
              </w:rPr>
              <w:t>5,000</w:t>
            </w:r>
            <w:r>
              <w:rPr>
                <w:rFonts w:ascii="Times New Roman" w:cs="Times New Roman" w:eastAsia="Times New Roman" w:hAnsi="Times New Roman"/>
                <w:sz w:val="11"/>
                <w:szCs w:val="11"/>
                <w:color w:val="008000"/>
                <w:w w:val="82"/>
              </w:rPr>
              <w:t>(1)(2)</w:t>
            </w:r>
          </w:p>
        </w:tc>
        <w:tc>
          <w:tcPr>
            <w:tcW w:w="9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8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w w:val="99"/>
              </w:rPr>
              <w:t>By Trust</w:t>
            </w:r>
            <w:r>
              <w:rPr>
                <w:rFonts w:ascii="Times New Roman" w:cs="Times New Roman" w:eastAsia="Times New Roman" w:hAnsi="Times New Roman"/>
                <w:sz w:val="21"/>
                <w:szCs w:val="21"/>
                <w:color w:val="008000"/>
                <w:w w:val="99"/>
                <w:vertAlign w:val="superscript"/>
              </w:rPr>
              <w:t>(1)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As</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custodian</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for</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2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20" w:type="dxa"/>
            <w:vAlign w:val="bottom"/>
          </w:tcPr>
          <w:p>
            <w:pPr>
              <w:jc w:val="center"/>
              <w:spacing w:after="0" w:line="208" w:lineRule="exact"/>
              <w:rPr>
                <w:sz w:val="20"/>
                <w:szCs w:val="20"/>
                <w:color w:val="auto"/>
              </w:rPr>
            </w:pPr>
            <w:r>
              <w:rPr>
                <w:rFonts w:ascii="Times New Roman" w:cs="Times New Roman" w:eastAsia="Times New Roman" w:hAnsi="Times New Roman"/>
                <w:sz w:val="17"/>
                <w:szCs w:val="17"/>
                <w:color w:val="0000FF"/>
                <w:w w:val="88"/>
              </w:rPr>
              <w:t>21,000</w:t>
            </w:r>
            <w:r>
              <w:rPr>
                <w:rFonts w:ascii="Times New Roman" w:cs="Times New Roman" w:eastAsia="Times New Roman" w:hAnsi="Times New Roman"/>
                <w:sz w:val="21"/>
                <w:szCs w:val="21"/>
                <w:color w:val="008000"/>
                <w:w w:val="88"/>
                <w:vertAlign w:val="superscript"/>
              </w:rPr>
              <w:t>(1)(3)</w:t>
            </w:r>
          </w:p>
        </w:tc>
        <w:tc>
          <w:tcPr>
            <w:tcW w:w="94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8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UTMA</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Accounts</w:t>
            </w:r>
          </w:p>
        </w:tc>
        <w:tc>
          <w:tcPr>
            <w:tcW w:w="0" w:type="dxa"/>
            <w:vAlign w:val="bottom"/>
          </w:tcPr>
          <w:p>
            <w:pPr>
              <w:spacing w:after="0"/>
              <w:rPr>
                <w:sz w:val="1"/>
                <w:szCs w:val="1"/>
                <w:color w:val="auto"/>
              </w:rPr>
            </w:pPr>
          </w:p>
        </w:tc>
      </w:tr>
    </w:tbl>
    <w:p>
      <w:pPr>
        <w:ind w:left="10180"/>
        <w:spacing w:after="0"/>
        <w:rPr>
          <w:sz w:val="20"/>
          <w:szCs w:val="20"/>
          <w:color w:val="auto"/>
        </w:rPr>
      </w:pPr>
      <w:r>
        <w:rPr>
          <w:rFonts w:ascii="Times New Roman" w:cs="Times New Roman" w:eastAsia="Times New Roman" w:hAnsi="Times New Roman"/>
          <w:sz w:val="17"/>
          <w:szCs w:val="17"/>
          <w:color w:val="0000FF"/>
        </w:rPr>
        <w:t>for</w:t>
      </w:r>
    </w:p>
    <w:p>
      <w:pPr>
        <w:ind w:left="10180"/>
        <w:spacing w:after="0" w:line="184" w:lineRule="auto"/>
        <w:rPr>
          <w:sz w:val="20"/>
          <w:szCs w:val="20"/>
          <w:color w:val="auto"/>
        </w:rPr>
      </w:pPr>
      <w:r>
        <w:rPr>
          <w:rFonts w:ascii="Times New Roman" w:cs="Times New Roman" w:eastAsia="Times New Roman" w:hAnsi="Times New Roman"/>
          <w:sz w:val="25"/>
          <w:szCs w:val="25"/>
          <w:color w:val="0000FF"/>
          <w:vertAlign w:val="subscript"/>
        </w:rPr>
        <w:t>minors</w:t>
      </w:r>
      <w:r>
        <w:rPr>
          <w:rFonts w:ascii="Times New Roman" w:cs="Times New Roman" w:eastAsia="Times New Roman" w:hAnsi="Times New Roman"/>
          <w:sz w:val="9"/>
          <w:szCs w:val="9"/>
          <w:color w:val="008000"/>
        </w:rPr>
        <w:t>(1)(3)</w:t>
      </w:r>
    </w:p>
    <w:p>
      <w:pPr>
        <w:spacing w:after="0" w:line="145"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6"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5"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2"/>
                <w:szCs w:val="12"/>
                <w:color w:val="auto"/>
              </w:rPr>
            </w:pP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(4)</w:t>
            </w:r>
          </w:p>
        </w:tc>
        <w:tc>
          <w:tcPr>
            <w:tcW w:w="720" w:type="dxa"/>
            <w:vAlign w:val="bottom"/>
            <w:vMerge w:val="restart"/>
          </w:tcPr>
          <w:p>
            <w:pPr>
              <w:jc w:val="right"/>
              <w:ind w:right="243"/>
              <w:spacing w:after="0"/>
              <w:rPr>
                <w:sz w:val="20"/>
                <w:szCs w:val="20"/>
                <w:color w:val="auto"/>
              </w:rPr>
            </w:pPr>
            <w:r>
              <w:rPr>
                <w:rFonts w:ascii="Times New Roman" w:cs="Times New Roman" w:eastAsia="Times New Roman" w:hAnsi="Times New Roman"/>
                <w:sz w:val="11"/>
                <w:szCs w:val="11"/>
                <w:color w:val="008000"/>
              </w:rPr>
              <w:t>(4)</w:t>
            </w: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4,606</w:t>
            </w: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ind w:left="320"/>
              <w:spacing w:after="0" w:line="130"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1080" w:type="dxa"/>
            <w:vAlign w:val="bottom"/>
          </w:tcPr>
          <w:p>
            <w:pPr>
              <w:jc w:val="right"/>
              <w:ind w:right="180"/>
              <w:spacing w:after="0" w:line="130" w:lineRule="exact"/>
              <w:rPr>
                <w:sz w:val="20"/>
                <w:szCs w:val="20"/>
                <w:color w:val="auto"/>
              </w:rPr>
            </w:pPr>
            <w:r>
              <w:rPr>
                <w:rFonts w:ascii="Times New Roman" w:cs="Times New Roman" w:eastAsia="Times New Roman" w:hAnsi="Times New Roman"/>
                <w:sz w:val="13"/>
                <w:szCs w:val="13"/>
                <w:color w:val="0000FF"/>
              </w:rPr>
              <w:t>03/05/2026</w:t>
            </w:r>
          </w:p>
        </w:tc>
        <w:tc>
          <w:tcPr>
            <w:tcW w:w="1100" w:type="dxa"/>
            <w:vAlign w:val="bottom"/>
          </w:tcPr>
          <w:p>
            <w:pPr>
              <w:spacing w:after="0"/>
              <w:rPr>
                <w:sz w:val="11"/>
                <w:szCs w:val="11"/>
                <w:color w:val="auto"/>
              </w:rPr>
            </w:pPr>
          </w:p>
        </w:tc>
        <w:tc>
          <w:tcPr>
            <w:tcW w:w="800" w:type="dxa"/>
            <w:vAlign w:val="bottom"/>
          </w:tcPr>
          <w:p>
            <w:pPr>
              <w:ind w:left="160"/>
              <w:spacing w:after="0" w:line="130" w:lineRule="exact"/>
              <w:rPr>
                <w:sz w:val="20"/>
                <w:szCs w:val="20"/>
                <w:color w:val="auto"/>
              </w:rPr>
            </w:pPr>
            <w:r>
              <w:rPr>
                <w:rFonts w:ascii="Times New Roman" w:cs="Times New Roman" w:eastAsia="Times New Roman" w:hAnsi="Times New Roman"/>
                <w:sz w:val="13"/>
                <w:szCs w:val="13"/>
                <w:color w:val="0000FF"/>
              </w:rPr>
              <w:t>M</w:t>
            </w:r>
          </w:p>
        </w:tc>
        <w:tc>
          <w:tcPr>
            <w:tcW w:w="740" w:type="dxa"/>
            <w:vAlign w:val="bottom"/>
          </w:tcPr>
          <w:p>
            <w:pPr>
              <w:ind w:left="380"/>
              <w:spacing w:after="0" w:line="130" w:lineRule="exact"/>
              <w:rPr>
                <w:sz w:val="20"/>
                <w:szCs w:val="20"/>
                <w:color w:val="auto"/>
              </w:rPr>
            </w:pPr>
            <w:r>
              <w:rPr>
                <w:rFonts w:ascii="Times New Roman" w:cs="Times New Roman" w:eastAsia="Times New Roman" w:hAnsi="Times New Roman"/>
                <w:sz w:val="13"/>
                <w:szCs w:val="13"/>
                <w:color w:val="0000FF"/>
              </w:rPr>
              <w:t>4,606</w:t>
            </w:r>
          </w:p>
        </w:tc>
        <w:tc>
          <w:tcPr>
            <w:tcW w:w="80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700" w:type="dxa"/>
            <w:vAlign w:val="bottom"/>
          </w:tcPr>
          <w:p>
            <w:pPr>
              <w:ind w:left="300"/>
              <w:spacing w:after="0" w:line="130"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300"/>
              <w:spacing w:after="0" w:line="130" w:lineRule="exact"/>
              <w:rPr>
                <w:sz w:val="20"/>
                <w:szCs w:val="20"/>
                <w:color w:val="auto"/>
              </w:rPr>
            </w:pPr>
            <w:r>
              <w:rPr>
                <w:rFonts w:ascii="Times New Roman" w:cs="Times New Roman" w:eastAsia="Times New Roman" w:hAnsi="Times New Roman"/>
                <w:sz w:val="13"/>
                <w:szCs w:val="13"/>
                <w:color w:val="0000FF"/>
              </w:rPr>
              <w:t>21,656</w:t>
            </w:r>
          </w:p>
        </w:tc>
        <w:tc>
          <w:tcPr>
            <w:tcW w:w="740" w:type="dxa"/>
            <w:vAlign w:val="bottom"/>
          </w:tcPr>
          <w:p>
            <w:pPr>
              <w:ind w:left="320"/>
              <w:spacing w:after="0" w:line="130"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ind w:left="1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70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40" w:right="420" w:firstLine="3"/>
        <w:spacing w:after="0" w:line="244"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For purposes of Section 16 of the Securities Exchange Act of 1934, as amended ("Section 16"), the Reporting Person disclaims beneficial ownership of any securities reported in this filing, except to the extent of his pecuniary interest therein, if any, and this Amendment shall not be deemed an admission that such Reporting Person is the beneficial owner of such securities for purposes of Section 16 or otherwise.</w:t>
      </w:r>
    </w:p>
    <w:p>
      <w:pPr>
        <w:spacing w:after="0" w:line="25" w:lineRule="exact"/>
        <w:rPr>
          <w:rFonts w:ascii="Times New Roman" w:cs="Times New Roman" w:eastAsia="Times New Roman" w:hAnsi="Times New Roman"/>
          <w:sz w:val="13"/>
          <w:szCs w:val="13"/>
          <w:color w:val="008000"/>
        </w:rPr>
      </w:pPr>
    </w:p>
    <w:p>
      <w:pPr>
        <w:ind w:left="40" w:right="240" w:firstLine="3"/>
        <w:spacing w:after="0" w:line="259"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As a trustee of a trust formed for the benefit of a child of the Reporting Person (the "Trust"), the Reporting Person may be deemed to exercise voting and investment power over the shares of common stock of Daktronics, Inc. ("Common Stock") held by the Trust.</w:t>
      </w:r>
    </w:p>
    <w:p>
      <w:pPr>
        <w:spacing w:after="0" w:line="15" w:lineRule="exact"/>
        <w:rPr>
          <w:rFonts w:ascii="Times New Roman" w:cs="Times New Roman" w:eastAsia="Times New Roman" w:hAnsi="Times New Roman"/>
          <w:sz w:val="13"/>
          <w:szCs w:val="13"/>
          <w:color w:val="008000"/>
        </w:rPr>
      </w:pPr>
    </w:p>
    <w:p>
      <w:pPr>
        <w:ind w:left="40" w:right="160" w:firstLine="3"/>
        <w:spacing w:after="0" w:line="259"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securities held in 3 separate custodial accounts under the Uniform Transfers to Minors Act (the "UTMA"). The Reporting Person is the custodian of the UTMA accounts held for the benefit of his children.</w:t>
      </w:r>
    </w:p>
    <w:p>
      <w:pPr>
        <w:spacing w:after="0" w:line="15" w:lineRule="exact"/>
        <w:rPr>
          <w:rFonts w:ascii="Times New Roman" w:cs="Times New Roman" w:eastAsia="Times New Roman" w:hAnsi="Times New Roman"/>
          <w:sz w:val="13"/>
          <w:szCs w:val="13"/>
          <w:color w:val="008000"/>
        </w:rPr>
      </w:pPr>
    </w:p>
    <w:p>
      <w:pPr>
        <w:ind w:left="40" w:right="200" w:firstLine="3"/>
        <w:spacing w:after="0" w:line="259"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Restricted Stock Units vest in three substantially equal installments on the first, second, and third anniversaries of March 5, 2025. In addition, the Restricted Stock Units shall become 100% vested upon a Change in Control Termination (as defined in the Daktronics, Inc. 2020 Stock Incentive Plan). Vested shares will be delivered to the reporting person as soon as practicable after the date of vesting.</w:t>
      </w:r>
    </w:p>
    <w:p>
      <w:pPr>
        <w:spacing w:after="0" w:line="1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6"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8"/>
              </w:rPr>
              <w:t>Matthew J. Kurtenbach</w:t>
            </w:r>
          </w:p>
        </w:tc>
        <w:tc>
          <w:tcPr>
            <w:tcW w:w="620" w:type="dxa"/>
            <w:vAlign w:val="bottom"/>
          </w:tcPr>
          <w:p>
            <w:pPr>
              <w:spacing w:after="0"/>
              <w:rPr>
                <w:sz w:val="16"/>
                <w:szCs w:val="16"/>
                <w:color w:val="auto"/>
              </w:rPr>
            </w:pPr>
          </w:p>
        </w:tc>
        <w:tc>
          <w:tcPr>
            <w:tcW w:w="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5"/>
              </w:rPr>
              <w:t>03/09/2026</w:t>
            </w:r>
          </w:p>
        </w:tc>
      </w:tr>
      <w:tr>
        <w:trPr>
          <w:trHeight w:val="230"/>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40" w:firstLine="3"/>
        <w:spacing w:after="0" w:line="339"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585065" TargetMode="External"/><Relationship Id="rId14" Type="http://schemas.openxmlformats.org/officeDocument/2006/relationships/hyperlink" Target="http://www.sec.gov/cgi-bin/browse-edgar?action=getcompany&amp;CIK=000091577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2026-03-09T14:05:34Z</dcterms:created>
  <dcterms:modified xsi:type="dcterms:W3CDTF">2026-03-09T14:05:34Z</dcterms:modified>
</cp:coreProperties>
</file>