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(Rule 14a-101)</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5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Exchange Act of 1934 (Amendment No.___)</w:t>
      </w:r>
    </w:p>
    <w:p>
      <w:pPr>
        <w:sectPr>
          <w:pgSz w:w="11900" w:h="16838" w:orient="portrait"/>
          <w:cols w:equalWidth="0" w:num="1">
            <w:col w:w="10219"/>
          </w:cols>
          <w:pgMar w:left="240" w:top="904" w:right="1440"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4"/>
          <w:szCs w:val="24"/>
          <w:color w:val="auto"/>
        </w:rPr>
      </w:pPr>
    </w:p>
    <w:p>
      <w:pPr>
        <w:sectPr>
          <w:pgSz w:w="11900" w:h="16838" w:orient="portrait"/>
          <w:cols w:equalWidth="0" w:num="2">
            <w:col w:w="2740" w:space="720"/>
            <w:col w:w="6759"/>
          </w:cols>
          <w:pgMar w:left="240" w:top="904"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3000" w:space="460"/>
            <w:col w:w="6759"/>
          </w:cols>
          <w:pgMar w:left="240" w:top="904" w:right="1440"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19"/>
          </w:cols>
          <w:pgMar w:left="240" w:top="904" w:right="1440" w:bottom="1440" w:gutter="0" w:footer="0" w:header="0"/>
          <w:type w:val="continuous"/>
        </w:sectPr>
      </w:pPr>
    </w:p>
    <w:p>
      <w:pPr>
        <w:spacing w:after="0" w:line="194" w:lineRule="exact"/>
        <w:rPr>
          <w:sz w:val="24"/>
          <w:szCs w:val="24"/>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81" w:lineRule="exact"/>
        <w:rPr>
          <w:sz w:val="24"/>
          <w:szCs w:val="24"/>
          <w:color w:val="auto"/>
        </w:rPr>
      </w:pPr>
    </w:p>
    <w:p>
      <w:pPr>
        <w:sectPr>
          <w:pgSz w:w="11900" w:h="16838" w:orient="portrait"/>
          <w:cols w:equalWidth="0" w:num="2">
            <w:col w:w="300" w:space="500"/>
            <w:col w:w="9419"/>
          </w:cols>
          <w:pgMar w:left="240" w:top="904" w:right="1440" w:bottom="1440" w:gutter="0" w:footer="0" w:header="0"/>
          <w:type w:val="continuous"/>
        </w:sectPr>
      </w:pPr>
    </w:p>
    <w:p>
      <w:pPr>
        <w:ind w:left="240" w:hanging="205"/>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b w:val="1"/>
          <w:bCs w:val="1"/>
          <w:color w:val="auto"/>
        </w:rPr>
        <w:t>Confidential, for Use of the Commission Only (as permitted by Rule 14a-6(e)(2))</w:t>
      </w:r>
    </w:p>
    <w:p>
      <w:pPr>
        <w:spacing w:after="0" w:line="67" w:lineRule="exact"/>
        <w:rPr>
          <w:sz w:val="24"/>
          <w:szCs w:val="24"/>
          <w:color w:val="auto"/>
        </w:rPr>
      </w:pPr>
    </w:p>
    <w:p>
      <w:pPr>
        <w:ind w:left="800" w:hanging="76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under §240.14a-12</w:t>
      </w:r>
    </w:p>
    <w:p>
      <w:pPr>
        <w:spacing w:after="0" w:line="253"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Daktronics, Inc.</w:t>
      </w:r>
    </w:p>
    <w:p>
      <w:pPr>
        <w:spacing w:after="0" w:line="1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0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800" w:hanging="76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computed on table below per Exchange Act Rules 14a-6(i) and 0-11.</w:t>
      </w:r>
    </w:p>
    <w:p>
      <w:pPr>
        <w:spacing w:after="0" w:line="63" w:lineRule="exact"/>
        <w:rPr>
          <w:sz w:val="24"/>
          <w:szCs w:val="24"/>
          <w:color w:val="auto"/>
        </w:rPr>
      </w:pPr>
    </w:p>
    <w:p>
      <w:pPr>
        <w:ind w:left="1540" w:hanging="74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sz w:val="24"/>
          <w:szCs w:val="24"/>
          <w:color w:val="auto"/>
        </w:rPr>
      </w:pPr>
    </w:p>
    <w:p>
      <w:pPr>
        <w:ind w:left="1540" w:hanging="749"/>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sz w:val="24"/>
          <w:szCs w:val="24"/>
          <w:color w:val="auto"/>
        </w:rPr>
      </w:pPr>
    </w:p>
    <w:p>
      <w:pPr>
        <w:ind w:left="1540" w:right="1079" w:hanging="749"/>
        <w:spacing w:after="0" w:line="308" w:lineRule="auto"/>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1" w:lineRule="exact"/>
        <w:rPr>
          <w:sz w:val="24"/>
          <w:szCs w:val="24"/>
          <w:color w:val="auto"/>
        </w:rPr>
      </w:pPr>
    </w:p>
    <w:p>
      <w:pPr>
        <w:ind w:left="1540" w:hanging="749"/>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sz w:val="24"/>
          <w:szCs w:val="24"/>
          <w:color w:val="auto"/>
        </w:rPr>
      </w:pPr>
    </w:p>
    <w:p>
      <w:pPr>
        <w:ind w:left="1540" w:hanging="749"/>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63" w:lineRule="exact"/>
        <w:rPr>
          <w:sz w:val="24"/>
          <w:szCs w:val="24"/>
          <w:color w:val="auto"/>
        </w:rPr>
      </w:pPr>
    </w:p>
    <w:p>
      <w:pPr>
        <w:ind w:left="800" w:right="859" w:hanging="765"/>
        <w:spacing w:after="0" w:line="264" w:lineRule="auto"/>
        <w:tabs>
          <w:tab w:leader="none" w:pos="239"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5" w:lineRule="exact"/>
        <w:rPr>
          <w:sz w:val="24"/>
          <w:szCs w:val="24"/>
          <w:color w:val="auto"/>
        </w:rPr>
      </w:pPr>
    </w:p>
    <w:p>
      <w:pPr>
        <w:ind w:left="1540" w:hanging="749"/>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sz w:val="24"/>
          <w:szCs w:val="24"/>
          <w:color w:val="auto"/>
        </w:rPr>
      </w:pPr>
    </w:p>
    <w:p>
      <w:pPr>
        <w:ind w:left="1540" w:hanging="749"/>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sz w:val="24"/>
          <w:szCs w:val="24"/>
          <w:color w:val="auto"/>
        </w:rPr>
      </w:pPr>
    </w:p>
    <w:p>
      <w:pPr>
        <w:ind w:left="1540" w:hanging="749"/>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sz w:val="24"/>
          <w:szCs w:val="24"/>
          <w:color w:val="auto"/>
        </w:rPr>
      </w:pPr>
    </w:p>
    <w:p>
      <w:pPr>
        <w:ind w:left="1540" w:hanging="749"/>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 Daktronics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Brookings, South Dakota 57006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4, 2019</w:t>
      </w:r>
    </w:p>
    <w:p>
      <w:pPr>
        <w:sectPr>
          <w:pgSz w:w="11900" w:h="16838" w:orient="portrait"/>
          <w:cols w:equalWidth="0" w:num="1">
            <w:col w:w="11420"/>
          </w:cols>
          <w:pgMar w:left="240" w:top="364" w:right="239" w:bottom="1440" w:gutter="0" w:footer="0" w:header="0"/>
        </w:sect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7:00 p.m. Central Daylight Time on Wednesday, September 4, 2019</w:t>
      </w:r>
    </w:p>
    <w:p>
      <w:pPr>
        <w:spacing w:after="0" w:line="207" w:lineRule="exact"/>
        <w:rPr>
          <w:sz w:val="20"/>
          <w:szCs w:val="20"/>
          <w:color w:val="auto"/>
        </w:rPr>
      </w:pPr>
    </w:p>
    <w:p>
      <w:pPr>
        <w:sectPr>
          <w:pgSz w:w="11900" w:h="16838" w:orient="portrait"/>
          <w:cols w:equalWidth="0" w:num="2">
            <w:col w:w="1240" w:space="720"/>
            <w:col w:w="9460"/>
          </w:cols>
          <w:pgMar w:left="240" w:top="364"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Place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Daktronics, Inc.</w:t>
      </w:r>
    </w:p>
    <w:p>
      <w:pPr>
        <w:spacing w:after="0" w:line="86" w:lineRule="exact"/>
        <w:rPr>
          <w:sz w:val="20"/>
          <w:szCs w:val="20"/>
          <w:color w:val="auto"/>
        </w:rPr>
      </w:pPr>
    </w:p>
    <w:p>
      <w:pPr>
        <w:sectPr>
          <w:pgSz w:w="11900" w:h="16838" w:orient="portrait"/>
          <w:cols w:equalWidth="0" w:num="2">
            <w:col w:w="1240" w:space="720"/>
            <w:col w:w="9460"/>
          </w:cols>
          <w:pgMar w:left="240" w:top="36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201 Daktronics Drive</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Brookings, South Dakota 57006</w:t>
      </w:r>
    </w:p>
    <w:p>
      <w:pPr>
        <w:sectPr>
          <w:pgSz w:w="11900" w:h="16838" w:orient="portrait"/>
          <w:cols w:equalWidth="0" w:num="1">
            <w:col w:w="11420"/>
          </w:cols>
          <w:pgMar w:left="240" w:top="364" w:right="2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1960" w:right="40" w:hanging="2241"/>
        <w:spacing w:after="0" w:line="277" w:lineRule="auto"/>
        <w:tabs>
          <w:tab w:leader="none" w:pos="194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1. To elect two Directors to serve for a three-year term that expires on the date of the Annual Meeting of Shareholders in 2022 or until their successors are duly elected;</w:t>
      </w:r>
    </w:p>
    <w:p>
      <w:pPr>
        <w:spacing w:after="0" w:line="12" w:lineRule="exact"/>
        <w:rPr>
          <w:sz w:val="20"/>
          <w:szCs w:val="20"/>
          <w:color w:val="auto"/>
        </w:rPr>
      </w:pPr>
    </w:p>
    <w:p>
      <w:pPr>
        <w:ind w:left="2280" w:hanging="327"/>
        <w:spacing w:after="0"/>
        <w:tabs>
          <w:tab w:leader="none" w:pos="2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conduct an advisory (non-binding) approval of the Company's executive compensation; and</w:t>
      </w:r>
    </w:p>
    <w:p>
      <w:pPr>
        <w:spacing w:after="0" w:line="63" w:lineRule="exact"/>
        <w:rPr>
          <w:rFonts w:ascii="Arial" w:cs="Arial" w:eastAsia="Arial" w:hAnsi="Arial"/>
          <w:sz w:val="18"/>
          <w:szCs w:val="18"/>
          <w:color w:val="auto"/>
        </w:rPr>
      </w:pPr>
    </w:p>
    <w:p>
      <w:pPr>
        <w:ind w:left="2280" w:right="40" w:hanging="327"/>
        <w:spacing w:after="0" w:line="277" w:lineRule="auto"/>
        <w:tabs>
          <w:tab w:leader="none" w:pos="2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the Board of Directors of Deloitte &amp; Touche, LLP as our independent registered public accounting firm for the Company for fiscal 2020.</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You are entitled to vote if you were a shareholder of record at the close of business on July 8, 2019.</w:t>
            </w:r>
          </w:p>
        </w:tc>
      </w:tr>
      <w:tr>
        <w:trPr>
          <w:trHeight w:val="594"/>
        </w:trPr>
        <w:tc>
          <w:tcPr>
            <w:tcW w:w="1580" w:type="dxa"/>
            <w:vAlign w:val="bottom"/>
          </w:tcPr>
          <w:p>
            <w:pPr>
              <w:spacing w:after="0"/>
              <w:rPr>
                <w:sz w:val="20"/>
                <w:szCs w:val="20"/>
                <w:color w:val="auto"/>
              </w:rPr>
            </w:pPr>
            <w:r>
              <w:rPr>
                <w:rFonts w:ascii="Arial" w:cs="Arial" w:eastAsia="Arial" w:hAnsi="Arial"/>
                <w:sz w:val="18"/>
                <w:szCs w:val="18"/>
                <w:b w:val="1"/>
                <w:bCs w:val="1"/>
                <w:color w:val="auto"/>
              </w:rPr>
              <w:t>Annual Meeting</w:t>
            </w: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All shareholders are invited to attend the Annual Meeting in person.</w:t>
            </w:r>
          </w:p>
        </w:tc>
      </w:tr>
      <w:tr>
        <w:trPr>
          <w:trHeight w:val="580"/>
        </w:trPr>
        <w:tc>
          <w:tcPr>
            <w:tcW w:w="158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w w:val="91"/>
              </w:rPr>
              <w:t>Even if you plan to attend the Annual Meeting, please submit a proxy as soon as possible so that your shares can be voted at the</w:t>
            </w:r>
          </w:p>
        </w:tc>
      </w:tr>
      <w:tr>
        <w:trPr>
          <w:trHeight w:val="230"/>
        </w:trPr>
        <w:tc>
          <w:tcPr>
            <w:tcW w:w="1580" w:type="dxa"/>
            <w:vAlign w:val="bottom"/>
          </w:tcPr>
          <w:p>
            <w:pPr>
              <w:spacing w:after="0"/>
              <w:rPr>
                <w:sz w:val="20"/>
                <w:szCs w:val="20"/>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Annual Meeting in accordance with your instructions. Shareholders may vote their shares:</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1.</w:t>
            </w:r>
          </w:p>
        </w:tc>
        <w:tc>
          <w:tcPr>
            <w:tcW w:w="9220" w:type="dxa"/>
            <w:vAlign w:val="bottom"/>
          </w:tcPr>
          <w:p>
            <w:pPr>
              <w:ind w:left="100"/>
              <w:spacing w:after="0"/>
              <w:rPr>
                <w:sz w:val="20"/>
                <w:szCs w:val="20"/>
                <w:color w:val="auto"/>
              </w:rPr>
            </w:pPr>
            <w:r>
              <w:rPr>
                <w:rFonts w:ascii="Arial" w:cs="Arial" w:eastAsia="Arial" w:hAnsi="Arial"/>
                <w:sz w:val="18"/>
                <w:szCs w:val="18"/>
                <w:color w:val="auto"/>
              </w:rPr>
              <w:t>over the Internet;</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2.</w:t>
            </w:r>
          </w:p>
        </w:tc>
        <w:tc>
          <w:tcPr>
            <w:tcW w:w="9220" w:type="dxa"/>
            <w:vAlign w:val="bottom"/>
          </w:tcPr>
          <w:p>
            <w:pPr>
              <w:ind w:left="100"/>
              <w:spacing w:after="0"/>
              <w:rPr>
                <w:sz w:val="20"/>
                <w:szCs w:val="20"/>
                <w:color w:val="auto"/>
              </w:rPr>
            </w:pPr>
            <w:r>
              <w:rPr>
                <w:rFonts w:ascii="Arial" w:cs="Arial" w:eastAsia="Arial" w:hAnsi="Arial"/>
                <w:sz w:val="18"/>
                <w:szCs w:val="18"/>
                <w:color w:val="auto"/>
              </w:rPr>
              <w:t>by telephone; or</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3.</w:t>
            </w:r>
          </w:p>
        </w:tc>
        <w:tc>
          <w:tcPr>
            <w:tcW w:w="9220" w:type="dxa"/>
            <w:vAlign w:val="bottom"/>
          </w:tcPr>
          <w:p>
            <w:pPr>
              <w:ind w:left="100"/>
              <w:spacing w:after="0"/>
              <w:rPr>
                <w:sz w:val="20"/>
                <w:szCs w:val="20"/>
                <w:color w:val="auto"/>
              </w:rPr>
            </w:pPr>
            <w:r>
              <w:rPr>
                <w:rFonts w:ascii="Arial" w:cs="Arial" w:eastAsia="Arial" w:hAnsi="Arial"/>
                <w:sz w:val="18"/>
                <w:szCs w:val="18"/>
                <w:color w:val="auto"/>
              </w:rPr>
              <w:t>by mail.</w:t>
            </w:r>
          </w:p>
        </w:tc>
      </w:tr>
    </w:tbl>
    <w:p>
      <w:pPr>
        <w:spacing w:after="0" w:line="364" w:lineRule="exact"/>
        <w:rPr>
          <w:sz w:val="20"/>
          <w:szCs w:val="20"/>
          <w:color w:val="auto"/>
        </w:rPr>
      </w:pPr>
    </w:p>
    <w:p>
      <w:pPr>
        <w:ind w:left="1960" w:right="40"/>
        <w:spacing w:after="0" w:line="277" w:lineRule="auto"/>
        <w:rPr>
          <w:sz w:val="20"/>
          <w:szCs w:val="20"/>
          <w:color w:val="auto"/>
        </w:rPr>
      </w:pPr>
      <w:r>
        <w:rPr>
          <w:rFonts w:ascii="Arial" w:cs="Arial" w:eastAsia="Arial" w:hAnsi="Arial"/>
          <w:sz w:val="18"/>
          <w:szCs w:val="18"/>
          <w:color w:val="auto"/>
        </w:rPr>
        <w:t>For specific instructions, refer to the procedural matters section of the Proxy Statement or to the voting instructions on the proxy card, both of which accompany this notice.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AND PROXY CARD ARE BEING DISTRIBUTED ON OR ABOUT JULY 16, 2019.</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Order of the Board of Directors,</w:t>
      </w:r>
    </w:p>
    <w:p>
      <w:pPr>
        <w:spacing w:after="0" w:line="32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Carla S. Gatzke</w:t>
      </w:r>
    </w:p>
    <w:p>
      <w:pPr>
        <w:spacing w:after="0" w:line="6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Secretary</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IMPORTANT NOTICE REGARDING AVAILABILITY OF PROXY MATERIALS FOR THE DAKTRONICS, INC. ANNUAL MEETING OF SHAREHOLDERS TO BE HELD ON SEPTEMBER 4, 2019.</w:t>
      </w:r>
    </w:p>
    <w:p>
      <w:pPr>
        <w:spacing w:after="0" w:line="16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This notice and the accompanying Proxy Statement, proxy card and our Fiscal 2019 Annual Report to Shareholders, which includes our Annual Report on Form 10-K for the fiscal year ended April 27, 2019, are available at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Additionally, and in accordance with the rules of the Securities and Exchange Commission, shareholders may access these materials at the cookies-free website indicated in the Notice of Internet Availability of Proxy Materials that you receive in connection with this notice and the accompanying Proxy Statement.</w:t>
      </w:r>
    </w:p>
    <w:p>
      <w:pPr>
        <w:sectPr>
          <w:pgSz w:w="11900" w:h="16838" w:orient="portrait"/>
          <w:cols w:equalWidth="0" w:num="1">
            <w:col w:w="11420"/>
          </w:cols>
          <w:pgMar w:left="240" w:top="364" w:right="239" w:bottom="1440" w:gutter="0" w:footer="0" w:header="0"/>
          <w:type w:val="continuous"/>
        </w:sectPr>
      </w:pPr>
    </w:p>
    <w:bookmarkStart w:id="2" w:name="page3"/>
    <w:bookmarkEnd w:id="2"/>
    <w:p>
      <w:pPr>
        <w:ind w:left="5060"/>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9"/>
              </w:rPr>
              <w:t>Pages</w:t>
            </w:r>
          </w:p>
        </w:tc>
        <w:tc>
          <w:tcPr>
            <w:tcW w:w="0" w:type="dxa"/>
            <w:vAlign w:val="bottom"/>
          </w:tcPr>
          <w:p>
            <w:pPr>
              <w:spacing w:after="0"/>
              <w:rPr>
                <w:sz w:val="1"/>
                <w:szCs w:val="1"/>
                <w:color w:val="auto"/>
              </w:rPr>
            </w:pPr>
          </w:p>
        </w:tc>
      </w:tr>
      <w:tr>
        <w:trPr>
          <w:trHeight w:val="250"/>
        </w:trPr>
        <w:tc>
          <w:tcPr>
            <w:tcW w:w="1032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Procedural Matters</w:t>
              </w:r>
            </w:hyperlink>
          </w:p>
        </w:tc>
        <w:tc>
          <w:tcPr>
            <w:tcW w:w="4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8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Security Ownership of Certain Beneficial Owners and Management</w:t>
              </w:r>
            </w:hyperlink>
          </w:p>
        </w:tc>
        <w:tc>
          <w:tcPr>
            <w:tcW w:w="5440" w:type="dxa"/>
            <w:vAlign w:val="bottom"/>
            <w:gridSpan w:val="3"/>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574"/>
        </w:trPr>
        <w:tc>
          <w:tcPr>
            <w:tcW w:w="10320" w:type="dxa"/>
            <w:vAlign w:val="bottom"/>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Proposal One - Election of Directors</w:t>
              </w:r>
            </w:hyperlink>
          </w:p>
        </w:tc>
        <w:tc>
          <w:tcPr>
            <w:tcW w:w="4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67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Proposal Two - Advisory (non-binding) Approval of the Company's Executive Compensation</w:t>
              </w:r>
            </w:hyperlink>
          </w:p>
        </w:tc>
        <w:tc>
          <w:tcPr>
            <w:tcW w:w="3580" w:type="dxa"/>
            <w:vAlign w:val="bottom"/>
            <w:gridSpan w:val="2"/>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c>
          <w:tcPr>
            <w:tcW w:w="0" w:type="dxa"/>
            <w:vAlign w:val="bottom"/>
          </w:tcPr>
          <w:p>
            <w:pPr>
              <w:spacing w:after="0"/>
              <w:rPr>
                <w:sz w:val="1"/>
                <w:szCs w:val="1"/>
                <w:color w:val="auto"/>
              </w:rPr>
            </w:pPr>
          </w:p>
        </w:tc>
      </w:tr>
      <w:tr>
        <w:trPr>
          <w:trHeight w:val="574"/>
        </w:trPr>
        <w:tc>
          <w:tcPr>
            <w:tcW w:w="10320" w:type="dxa"/>
            <w:vAlign w:val="bottom"/>
            <w:gridSpan w:val="1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Proposal Three - Ratification of Appointment of Independent Registered Public Accounting Firm</w:t>
              </w:r>
            </w:hyperlink>
          </w:p>
        </w:tc>
        <w:tc>
          <w:tcPr>
            <w:tcW w:w="4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0" w:type="dxa"/>
            <w:vAlign w:val="bottom"/>
            <w:gridSpan w:val="1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Corporate Governance</w:t>
              </w:r>
            </w:hyperlink>
          </w:p>
        </w:tc>
        <w:tc>
          <w:tcPr>
            <w:tcW w:w="3320" w:type="dxa"/>
            <w:vAlign w:val="bottom"/>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32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Delinquent Section 16(a) Reports</w:t>
              </w:r>
            </w:hyperlink>
          </w:p>
        </w:tc>
        <w:tc>
          <w:tcPr>
            <w:tcW w:w="4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32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Compensation Discussion and Analysis</w:t>
              </w:r>
            </w:hyperlink>
          </w:p>
        </w:tc>
        <w:tc>
          <w:tcPr>
            <w:tcW w:w="4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420" w:type="dxa"/>
            <w:vAlign w:val="bottom"/>
            <w:gridSpan w:val="6"/>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Compensation Committee Report</w:t>
              </w:r>
            </w:hyperlink>
          </w:p>
        </w:tc>
        <w:tc>
          <w:tcPr>
            <w:tcW w:w="420" w:type="dxa"/>
            <w:vAlign w:val="bottom"/>
            <w:gridSpan w:val="2"/>
          </w:tcPr>
          <w:p>
            <w:pPr>
              <w:spacing w:after="0"/>
              <w:rPr>
                <w:sz w:val="24"/>
                <w:szCs w:val="24"/>
                <w:color w:val="auto"/>
              </w:rPr>
            </w:pPr>
          </w:p>
        </w:tc>
        <w:tc>
          <w:tcPr>
            <w:tcW w:w="7480" w:type="dxa"/>
            <w:vAlign w:val="bottom"/>
            <w:gridSpan w:val="5"/>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780" w:type="dxa"/>
            <w:vAlign w:val="bottom"/>
            <w:gridSpan w:val="4"/>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Executive Compensation</w:t>
              </w:r>
            </w:hyperlink>
          </w:p>
        </w:tc>
        <w:tc>
          <w:tcPr>
            <w:tcW w:w="640" w:type="dxa"/>
            <w:vAlign w:val="bottom"/>
            <w:gridSpan w:val="2"/>
          </w:tcPr>
          <w:p>
            <w:pPr>
              <w:spacing w:after="0"/>
              <w:rPr>
                <w:sz w:val="24"/>
                <w:szCs w:val="24"/>
                <w:color w:val="auto"/>
              </w:rPr>
            </w:pPr>
          </w:p>
        </w:tc>
        <w:tc>
          <w:tcPr>
            <w:tcW w:w="7900" w:type="dxa"/>
            <w:vAlign w:val="bottom"/>
            <w:gridSpan w:val="7"/>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tcBorders>
              <w:left w:val="single" w:sz="8" w:color="0000EE"/>
            </w:tcBorders>
            <w:gridSpan w:val="5"/>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780" w:type="dxa"/>
            <w:vAlign w:val="bottom"/>
            <w:gridSpan w:val="4"/>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Audit Committee Report</w:t>
              </w:r>
            </w:hyperlink>
          </w:p>
        </w:tc>
        <w:tc>
          <w:tcPr>
            <w:tcW w:w="8540" w:type="dxa"/>
            <w:vAlign w:val="bottom"/>
            <w:gridSpan w:val="9"/>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460" w:type="dxa"/>
            <w:vAlign w:val="bottom"/>
            <w:gridSpan w:val="9"/>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Householding of Annual Disclosure Documents</w:t>
              </w:r>
            </w:hyperlink>
          </w:p>
        </w:tc>
        <w:tc>
          <w:tcPr>
            <w:tcW w:w="6860" w:type="dxa"/>
            <w:vAlign w:val="bottom"/>
            <w:gridSpan w:val="4"/>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80" w:type="dxa"/>
            <w:vAlign w:val="bottom"/>
            <w:tcBorders>
              <w:left w:val="single" w:sz="8" w:color="0000EE"/>
            </w:tcBorders>
            <w:gridSpan w:val="6"/>
            <w:shd w:val="clear" w:color="auto" w:fill="0000EE"/>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460" w:type="dxa"/>
            <w:vAlign w:val="bottom"/>
            <w:gridSpan w:val="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Available Information</w:t>
              </w:r>
            </w:hyperlink>
          </w:p>
        </w:tc>
        <w:tc>
          <w:tcPr>
            <w:tcW w:w="6860" w:type="dxa"/>
            <w:vAlign w:val="bottom"/>
            <w:gridSpan w:val="4"/>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80" w:type="dxa"/>
            <w:vAlign w:val="bottom"/>
            <w:gridSpan w:val="3"/>
            <w:vMerge w:val="restart"/>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Notice and Ballot</w:t>
              </w:r>
            </w:hyperlink>
          </w:p>
        </w:tc>
        <w:tc>
          <w:tcPr>
            <w:tcW w:w="8740" w:type="dxa"/>
            <w:vAlign w:val="bottom"/>
            <w:gridSpan w:val="10"/>
            <w:vMerge w:val="restart"/>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196"/>
        </w:trPr>
        <w:tc>
          <w:tcPr>
            <w:tcW w:w="1580" w:type="dxa"/>
            <w:vAlign w:val="bottom"/>
            <w:gridSpan w:val="3"/>
            <w:vMerge w:val="continue"/>
          </w:tcPr>
          <w:p>
            <w:pPr>
              <w:spacing w:after="0"/>
              <w:rPr>
                <w:sz w:val="17"/>
                <w:szCs w:val="17"/>
                <w:color w:val="auto"/>
              </w:rPr>
            </w:pPr>
          </w:p>
        </w:tc>
        <w:tc>
          <w:tcPr>
            <w:tcW w:w="8740" w:type="dxa"/>
            <w:vAlign w:val="bottom"/>
            <w:gridSpan w:val="10"/>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60"/>
          </w:cols>
          <w:pgMar w:left="280" w:top="364" w:right="8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2019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enclosed proxy is solicited by and on behalf of the Board of Directors of Daktronics, Inc., a South Dakota corporation, for use at our Annual Meeting of Shareholders to be held on Wednesday, September 4, 2019 at Daktronics, Inc., 201 Daktronics Drive, Brookings, South Dakota at 7:00 p.m. Central Daylight Time, and at any adjournment or postponement thereof (the "Annual Meeting"), for the purposes set forth herein and in the accompanying Notice of Annual Meeting of Shareholders. This Proxy Statement and the accompanying form of proxy, together with our Fiscal 2019 Annual Report to Shareholders, are being made available to shareholders on the Internet or are being mailed on or about July 16, 2019 to shareholders entitled to vote at the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Entitled to Vote; Record Date</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Only shareholders of record at the close of business on July 8, 2019 (the "Record Date") are entitled to notice of and to vote at the Annual Meeting. As of the Record Date, there were 45,137,864 shares of our common stock outstanding and entitled to vote held by 1,017 shareholders of record.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We are making proxy materials for the Annual Meeting available over the Internet. Therefore, we are mailing to the majority of our shareholders a notice about the Internet availability of the proxy materials instead of a paper copy of the proxy materials. The notice is entitled "Notice of Internet Availability of Proxy Materials." All shareholders receiving the notice will have the ability to access the proxy materials over the Internet and to request to receive a paper copy of the proxy materials by mail. Instructions on how to access the proxy materials over the Internet or to request a paper copy may be found on the notice. Our proxy materials may also be accessed on our website at </w:t>
      </w:r>
      <w:r>
        <w:rPr>
          <w:rFonts w:ascii="Arial" w:cs="Arial" w:eastAsia="Arial" w:hAnsi="Arial"/>
          <w:sz w:val="16"/>
          <w:szCs w:val="16"/>
          <w:i w:val="1"/>
          <w:iCs w:val="1"/>
          <w:color w:val="auto"/>
        </w:rPr>
        <w:t>www.daktronics.com</w:t>
      </w:r>
      <w:r>
        <w:rPr>
          <w:rFonts w:ascii="Arial" w:cs="Arial" w:eastAsia="Arial" w:hAnsi="Arial"/>
          <w:sz w:val="16"/>
          <w:szCs w:val="16"/>
          <w:color w:val="auto"/>
        </w:rPr>
        <w:t xml:space="preserve"> by selecting "Menu", then "Investor" and then "Annual Reports and Proxy" under the heading "Financial Information." We are providing some of our shareholders, including shareholders who have previously requested to receive paper copies of the proxy materials, with paper copies of the proxy materials instead of the Notice of Internet Availability of Proxy Materials.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 Vote Requirements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holders of a majority of the shares of common stock issued and outstanding and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only the election of Directors, every shareholder will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more nominees. Shares abstaining will be treated as not voted.</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 The affirmative vote of a majority of the shares of common stock represented at the Annual Meeting, either in person or by proxy, assuming a quorum is present, is required to approve the other proposals. If an executed proxy is returned and the shareholder has abstained from voting on any matter, the shares represented by such proxy will be considered present at the Annual Meeting for purposes of determining a quorum and for purposes of calculating the vote, but they will not be considered to have been voted in favor of such matter. If a signed proxy is returned by a broker holding shares in "street name," and it indicates that the broker does not have discretionary authority to vote certain shares on one or more matters, such shares will be considered present at the Annual Meeting for purposes of determining a quorum but will not be considered to be represented at the Annual Meeting for purposes of calculating the vote with respect to such matter.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Counting Votes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inspector of election appointed for the Annual Meeting will count the votes cast by proxy or in person at the Annual Meeting.</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Brokers who hold shares in street name for customers will not be able to vote the shares without instructions from their customers with respect to any of the proposals, other than the proposal to ratify the selection of our auditors (Proposal Three of this Proxy Statement). Shares for which brokers have not received instructions, and which therefore are not voted, with respect to a particular proposal 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referred to as "broker non-votes" with respect to that proposal. Abstentions from voting on a proposal described in this Proxy Statement and broker non-votes will not affect the outcome of the vote on that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If the shares of our common stock are held directly in the name of the shareholder, he or she can vote on matters to come before the Annual Meeting:</w:t>
      </w:r>
    </w:p>
    <w:p>
      <w:pPr>
        <w:spacing w:after="0" w:line="222" w:lineRule="exact"/>
        <w:rPr>
          <w:sz w:val="20"/>
          <w:szCs w:val="20"/>
          <w:color w:val="auto"/>
        </w:rPr>
      </w:pPr>
    </w:p>
    <w:p>
      <w:pPr>
        <w:ind w:left="660" w:right="2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completing, dating and signing the proxy card and returning it to us in the postage-paid envelope provided for that purpose, if the shareholder has received a paper copy of a proxy card;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telephone, by calling 1-800-690-6903;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Internet, at www.proxyvote.com.</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Shareholders whose shares of our common stock are held in "street name" must either direct the record holder of their shares as to how to vote their shares of common stock or obtain a proxy from the record holder to vote at the Annual Meeting. "Street name" shareholders should check the voting instruction cards used by their brokers or nominees for specific instructions on methods of voting, including by telephone or using the Internet.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Participants in the Daktronics, Inc. 401(k) Plan (the "401(k) Plan") who hold our common stock in the 401(k) Plan are entitled to instruct the trustee of the 401(k) Plan as to how to vote their shares. Each participant will receive a Notice of Internet Availability of Proxy Materials, similar to the notice received by the registered holders described above. Each participant will have the ability to access the proxy materials over the Internet and to request to receive a paper copy of the proxy materials by mail. Instructions on how to access the proxy materials over the Internet or to request a paper copy may be found on the notice as described above. The participants can vote on matters as described above. The votes will then be tabulated and submitted for vote by the trustee for the 401(k) Plan. If a participant does not timely vote, the trustee will vote the shares allocated to that participant in the same proportion as the shares that are voted by all other participants under the 401(k)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Any proxy given pursuant to this solicitation may be revoked by the person giving it at any time before it is voted. A proxy may be revoked by:</w:t>
      </w:r>
    </w:p>
    <w:p>
      <w:pPr>
        <w:spacing w:after="0" w:line="21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delivering a written notice of revocation to the Secretary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submitting another proxy bearing a later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voting by telephone or via the Internet after a prior telephone or Internet vote;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alone will not itself revoke a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18, 2020 and must otherwise comply with the requirements of Rule 14a-8 under the Securities Exchange Act of 1934. If a shareholder wants to nominate a Director or bring other business before the shareholders at the next annual meeting of our shareholders without including the proposal in our Proxy Statement, we must receive notice of the proposal on or before June 1, 2020, and the shareholder must otherwise comply with Rule 14a-4(c) under the Securities Exchange Act of 1934. Notices of intention to present proposals at the 2020 annual meeting of shareholders should be addressed to Corporate Secretary, Daktronics, Inc., 201 Daktronics Drive, Brookings, South Dakota 57006.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date of this Proxy Statement, management knows of no other business that may be presented at the Annual Meeting by others. However, if any other matters properly come before the Annual Meeting, it is the intention of the persons named in the enclosed proxies to vote the proxy in accordance with their best judgment.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July 8, 2019, the Record Date, by each of our Directors, by each executive officer named in the Summary Compensation Table, by all Directors and executive officers as a group, and by each shareholder who is known by us to own beneficially more than five percent of our outstanding common stock.</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2"/>
          </w:tcPr>
          <w:p>
            <w:pPr>
              <w:ind w:left="440"/>
              <w:spacing w:after="0"/>
              <w:rPr>
                <w:sz w:val="20"/>
                <w:szCs w:val="20"/>
                <w:color w:val="auto"/>
              </w:rPr>
            </w:pPr>
            <w:r>
              <w:rPr>
                <w:rFonts w:ascii="Arial" w:cs="Arial" w:eastAsia="Arial" w:hAnsi="Arial"/>
                <w:sz w:val="18"/>
                <w:szCs w:val="18"/>
                <w:color w:val="auto"/>
              </w:rPr>
              <w:t>Amount and Nature of</w:t>
            </w:r>
          </w:p>
        </w:tc>
        <w:tc>
          <w:tcPr>
            <w:tcW w:w="2480" w:type="dxa"/>
            <w:vAlign w:val="bottom"/>
          </w:tcPr>
          <w:p>
            <w:pPr>
              <w:jc w:val="right"/>
              <w:ind w:right="190"/>
              <w:spacing w:after="0"/>
              <w:rPr>
                <w:sz w:val="20"/>
                <w:szCs w:val="20"/>
                <w:color w:val="auto"/>
              </w:rPr>
            </w:pPr>
            <w:r>
              <w:rPr>
                <w:rFonts w:ascii="Arial" w:cs="Arial" w:eastAsia="Arial" w:hAnsi="Arial"/>
                <w:sz w:val="18"/>
                <w:szCs w:val="18"/>
                <w:color w:val="auto"/>
              </w:rPr>
              <w:t>Percentage of Outstanding</w:t>
            </w:r>
          </w:p>
        </w:tc>
      </w:tr>
      <w:tr>
        <w:trPr>
          <w:trHeight w:val="257"/>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 and Address of Beneficial Owners</w:t>
            </w:r>
          </w:p>
        </w:tc>
        <w:tc>
          <w:tcPr>
            <w:tcW w:w="220" w:type="dxa"/>
            <w:vAlign w:val="bottom"/>
          </w:tcPr>
          <w:p>
            <w:pPr>
              <w:spacing w:after="0"/>
              <w:rPr>
                <w:sz w:val="22"/>
                <w:szCs w:val="22"/>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Note</w:t>
            </w:r>
          </w:p>
        </w:tc>
        <w:tc>
          <w:tcPr>
            <w:tcW w:w="200" w:type="dxa"/>
            <w:vAlign w:val="bottom"/>
          </w:tcPr>
          <w:p>
            <w:pPr>
              <w:spacing w:after="0"/>
              <w:rPr>
                <w:sz w:val="22"/>
                <w:szCs w:val="22"/>
                <w:color w:val="auto"/>
              </w:rPr>
            </w:pPr>
          </w:p>
        </w:tc>
        <w:tc>
          <w:tcPr>
            <w:tcW w:w="2500" w:type="dxa"/>
            <w:vAlign w:val="bottom"/>
            <w:tcBorders>
              <w:bottom w:val="single" w:sz="8" w:color="auto"/>
            </w:tcBorders>
          </w:tcPr>
          <w:p>
            <w:pPr>
              <w:jc w:val="right"/>
              <w:ind w:right="290"/>
              <w:spacing w:after="0" w:line="257" w:lineRule="exact"/>
              <w:rPr>
                <w:sz w:val="20"/>
                <w:szCs w:val="20"/>
                <w:color w:val="auto"/>
              </w:rPr>
            </w:pPr>
            <w:r>
              <w:rPr>
                <w:rFonts w:ascii="Arial" w:cs="Arial" w:eastAsia="Arial" w:hAnsi="Arial"/>
                <w:sz w:val="18"/>
                <w:szCs w:val="18"/>
                <w:color w:val="auto"/>
              </w:rPr>
              <w:t>Beneficial Ownership</w:t>
            </w:r>
            <w:r>
              <w:rPr>
                <w:rFonts w:ascii="Arial" w:cs="Arial" w:eastAsia="Arial" w:hAnsi="Arial"/>
                <w:sz w:val="25"/>
                <w:szCs w:val="25"/>
                <w:color w:val="auto"/>
                <w:vertAlign w:val="superscript"/>
              </w:rPr>
              <w:t>(1)</w:t>
            </w:r>
          </w:p>
        </w:tc>
        <w:tc>
          <w:tcPr>
            <w:tcW w:w="220" w:type="dxa"/>
            <w:vAlign w:val="bottom"/>
          </w:tcPr>
          <w:p>
            <w:pPr>
              <w:spacing w:after="0"/>
              <w:rPr>
                <w:sz w:val="22"/>
                <w:szCs w:val="22"/>
                <w:color w:val="auto"/>
              </w:rPr>
            </w:pPr>
          </w:p>
        </w:tc>
        <w:tc>
          <w:tcPr>
            <w:tcW w:w="2480" w:type="dxa"/>
            <w:vAlign w:val="bottom"/>
            <w:tcBorders>
              <w:bottom w:val="single" w:sz="8" w:color="auto"/>
            </w:tcBorders>
          </w:tcPr>
          <w:p>
            <w:pPr>
              <w:jc w:val="right"/>
              <w:ind w:right="830"/>
              <w:spacing w:after="0" w:line="257" w:lineRule="exact"/>
              <w:rPr>
                <w:sz w:val="20"/>
                <w:szCs w:val="20"/>
                <w:color w:val="auto"/>
              </w:rPr>
            </w:pPr>
            <w:r>
              <w:rPr>
                <w:rFonts w:ascii="Arial" w:cs="Arial" w:eastAsia="Arial" w:hAnsi="Arial"/>
                <w:sz w:val="18"/>
                <w:szCs w:val="18"/>
                <w:color w:val="auto"/>
              </w:rPr>
              <w:t>Shares</w:t>
            </w:r>
            <w:r>
              <w:rPr>
                <w:rFonts w:ascii="Arial" w:cs="Arial" w:eastAsia="Arial" w:hAnsi="Arial"/>
                <w:sz w:val="25"/>
                <w:szCs w:val="25"/>
                <w:color w:val="auto"/>
                <w:vertAlign w:val="superscript"/>
              </w:rPr>
              <w:t>(2)</w:t>
            </w: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5% Beneficial Owners:</w:t>
            </w:r>
          </w:p>
        </w:tc>
        <w:tc>
          <w:tcPr>
            <w:tcW w:w="120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(14)</w:t>
            </w:r>
          </w:p>
        </w:tc>
        <w:tc>
          <w:tcPr>
            <w:tcW w:w="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43"/>
        </w:trPr>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BlackRock, Inc.</w:t>
            </w:r>
          </w:p>
        </w:tc>
        <w:tc>
          <w:tcPr>
            <w:tcW w:w="12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(15)</w:t>
            </w:r>
          </w:p>
        </w:tc>
        <w:tc>
          <w:tcPr>
            <w:tcW w:w="200" w:type="dxa"/>
            <w:vAlign w:val="bottom"/>
            <w:shd w:val="clear" w:color="auto" w:fill="CCEEFF"/>
          </w:tcPr>
          <w:p>
            <w:pPr>
              <w:spacing w:after="0"/>
              <w:rPr>
                <w:sz w:val="21"/>
                <w:szCs w:val="21"/>
                <w:color w:val="auto"/>
              </w:rPr>
            </w:pP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5,705,729</w:t>
            </w:r>
          </w:p>
        </w:tc>
        <w:tc>
          <w:tcPr>
            <w:tcW w:w="220" w:type="dxa"/>
            <w:vAlign w:val="bottom"/>
            <w:shd w:val="clear" w:color="auto" w:fill="CCEEFF"/>
          </w:tcPr>
          <w:p>
            <w:pPr>
              <w:spacing w:after="0"/>
              <w:rPr>
                <w:sz w:val="21"/>
                <w:szCs w:val="21"/>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70"/>
        </w:trPr>
        <w:tc>
          <w:tcPr>
            <w:tcW w:w="4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55 East 52nd Street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r>
      <w:tr>
        <w:trPr>
          <w:trHeight w:val="277"/>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York, NY 10055</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80" w:type="dxa"/>
            <w:vAlign w:val="bottom"/>
            <w:tcBorders>
              <w:bottom w:val="single" w:sz="8" w:color="CCEEFF"/>
            </w:tcBorders>
            <w:shd w:val="clear" w:color="auto" w:fill="CCEEFF"/>
          </w:tcPr>
          <w:p>
            <w:pPr>
              <w:spacing w:after="0"/>
              <w:rPr>
                <w:sz w:val="24"/>
                <w:szCs w:val="24"/>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Dimensional Fund Advisors LP</w:t>
            </w:r>
          </w:p>
        </w:tc>
        <w:tc>
          <w:tcPr>
            <w:tcW w:w="120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(16)</w:t>
            </w:r>
          </w:p>
        </w:tc>
        <w:tc>
          <w:tcPr>
            <w:tcW w:w="20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3,114,297</w:t>
            </w:r>
          </w:p>
        </w:tc>
        <w:tc>
          <w:tcPr>
            <w:tcW w:w="22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4340" w:type="dxa"/>
            <w:vAlign w:val="bottom"/>
          </w:tcPr>
          <w:p>
            <w:pPr>
              <w:ind w:left="380"/>
              <w:spacing w:after="0"/>
              <w:rPr>
                <w:sz w:val="20"/>
                <w:szCs w:val="20"/>
                <w:color w:val="auto"/>
              </w:rPr>
            </w:pPr>
            <w:r>
              <w:rPr>
                <w:rFonts w:ascii="Arial" w:cs="Arial" w:eastAsia="Arial" w:hAnsi="Arial"/>
                <w:sz w:val="18"/>
                <w:szCs w:val="18"/>
                <w:color w:val="auto"/>
              </w:rPr>
              <w:t>Building One, 6300 Bee Cave Road</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270"/>
        </w:trPr>
        <w:tc>
          <w:tcPr>
            <w:tcW w:w="4340" w:type="dxa"/>
            <w:vAlign w:val="bottom"/>
          </w:tcPr>
          <w:p>
            <w:pPr>
              <w:ind w:left="380"/>
              <w:spacing w:after="0"/>
              <w:rPr>
                <w:sz w:val="20"/>
                <w:szCs w:val="20"/>
                <w:color w:val="auto"/>
              </w:rPr>
            </w:pPr>
            <w:r>
              <w:rPr>
                <w:rFonts w:ascii="Arial" w:cs="Arial" w:eastAsia="Arial" w:hAnsi="Arial"/>
                <w:sz w:val="18"/>
                <w:szCs w:val="18"/>
                <w:color w:val="auto"/>
              </w:rPr>
              <w:t>Austin, TX 78746</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27"/>
        </w:trPr>
        <w:tc>
          <w:tcPr>
            <w:tcW w:w="4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43"/>
        </w:trPr>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Vanguard Group Inc.</w:t>
            </w:r>
          </w:p>
        </w:tc>
        <w:tc>
          <w:tcPr>
            <w:tcW w:w="12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(17)</w:t>
            </w:r>
          </w:p>
        </w:tc>
        <w:tc>
          <w:tcPr>
            <w:tcW w:w="200" w:type="dxa"/>
            <w:vAlign w:val="bottom"/>
            <w:shd w:val="clear" w:color="auto" w:fill="CCEEFF"/>
          </w:tcPr>
          <w:p>
            <w:pPr>
              <w:spacing w:after="0"/>
              <w:rPr>
                <w:sz w:val="21"/>
                <w:szCs w:val="21"/>
                <w:color w:val="auto"/>
              </w:rPr>
            </w:pP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2,852,083</w:t>
            </w:r>
          </w:p>
        </w:tc>
        <w:tc>
          <w:tcPr>
            <w:tcW w:w="220" w:type="dxa"/>
            <w:vAlign w:val="bottom"/>
            <w:shd w:val="clear" w:color="auto" w:fill="CCEEFF"/>
          </w:tcPr>
          <w:p>
            <w:pPr>
              <w:spacing w:after="0"/>
              <w:rPr>
                <w:sz w:val="21"/>
                <w:szCs w:val="21"/>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4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100 Vanguard Blvd</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r>
      <w:tr>
        <w:trPr>
          <w:trHeight w:val="277"/>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Malvern, PA 19355</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80" w:type="dxa"/>
            <w:vAlign w:val="bottom"/>
            <w:tcBorders>
              <w:bottom w:val="single" w:sz="8" w:color="CCEEFF"/>
            </w:tcBorders>
            <w:shd w:val="clear" w:color="auto" w:fill="CCEEFF"/>
          </w:tcPr>
          <w:p>
            <w:pPr>
              <w:spacing w:after="0"/>
              <w:rPr>
                <w:sz w:val="24"/>
                <w:szCs w:val="24"/>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Dr. Aelred J. Kurtenbach</w:t>
            </w:r>
          </w:p>
        </w:tc>
        <w:tc>
          <w:tcPr>
            <w:tcW w:w="120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(18)</w:t>
            </w:r>
          </w:p>
        </w:tc>
        <w:tc>
          <w:tcPr>
            <w:tcW w:w="20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2,363,458</w:t>
            </w:r>
          </w:p>
        </w:tc>
        <w:tc>
          <w:tcPr>
            <w:tcW w:w="22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Daktronics, Inc. 401(k) Plan</w:t>
            </w:r>
          </w:p>
        </w:tc>
        <w:tc>
          <w:tcPr>
            <w:tcW w:w="120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2,652,386</w:t>
            </w:r>
          </w:p>
        </w:tc>
        <w:tc>
          <w:tcPr>
            <w:tcW w:w="2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Named Executive Officers and Directors: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Reece A. Kurtenbach</w:t>
            </w:r>
          </w:p>
        </w:tc>
        <w:tc>
          <w:tcPr>
            <w:tcW w:w="120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(3)</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533,713</w:t>
            </w:r>
          </w:p>
        </w:tc>
        <w:tc>
          <w:tcPr>
            <w:tcW w:w="2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James B. Morgan</w:t>
            </w:r>
          </w:p>
        </w:tc>
        <w:tc>
          <w:tcPr>
            <w:tcW w:w="12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1,401,448</w:t>
            </w:r>
          </w:p>
        </w:tc>
        <w:tc>
          <w:tcPr>
            <w:tcW w:w="22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Byron J. Anderson</w:t>
            </w:r>
          </w:p>
        </w:tc>
        <w:tc>
          <w:tcPr>
            <w:tcW w:w="120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(5)</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82,029</w:t>
            </w:r>
          </w:p>
        </w:tc>
        <w:tc>
          <w:tcPr>
            <w:tcW w:w="2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Robert G. Dutcher</w:t>
            </w:r>
          </w:p>
        </w:tc>
        <w:tc>
          <w:tcPr>
            <w:tcW w:w="12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(6)</w:t>
            </w:r>
          </w:p>
        </w:tc>
        <w:tc>
          <w:tcPr>
            <w:tcW w:w="20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90,855</w:t>
            </w:r>
          </w:p>
        </w:tc>
        <w:tc>
          <w:tcPr>
            <w:tcW w:w="220" w:type="dxa"/>
            <w:vAlign w:val="bottom"/>
          </w:tcPr>
          <w:p>
            <w:pPr>
              <w:spacing w:after="0"/>
              <w:rPr>
                <w:sz w:val="21"/>
                <w:szCs w:val="21"/>
                <w:color w:val="auto"/>
              </w:rPr>
            </w:pPr>
          </w:p>
        </w:tc>
        <w:tc>
          <w:tcPr>
            <w:tcW w:w="24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Nancy D. Frame</w:t>
            </w:r>
          </w:p>
        </w:tc>
        <w:tc>
          <w:tcPr>
            <w:tcW w:w="120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(7)</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113,411</w:t>
            </w:r>
          </w:p>
        </w:tc>
        <w:tc>
          <w:tcPr>
            <w:tcW w:w="2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Kevin P. McDermott</w:t>
            </w:r>
          </w:p>
        </w:tc>
        <w:tc>
          <w:tcPr>
            <w:tcW w:w="12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(8)</w:t>
            </w:r>
          </w:p>
        </w:tc>
        <w:tc>
          <w:tcPr>
            <w:tcW w:w="20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46,769</w:t>
            </w:r>
          </w:p>
        </w:tc>
        <w:tc>
          <w:tcPr>
            <w:tcW w:w="220" w:type="dxa"/>
            <w:vAlign w:val="bottom"/>
          </w:tcPr>
          <w:p>
            <w:pPr>
              <w:spacing w:after="0"/>
              <w:rPr>
                <w:sz w:val="21"/>
                <w:szCs w:val="21"/>
                <w:color w:val="auto"/>
              </w:rPr>
            </w:pPr>
          </w:p>
        </w:tc>
        <w:tc>
          <w:tcPr>
            <w:tcW w:w="24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John P. Friel</w:t>
            </w:r>
          </w:p>
        </w:tc>
        <w:tc>
          <w:tcPr>
            <w:tcW w:w="120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42,121</w:t>
            </w:r>
          </w:p>
        </w:tc>
        <w:tc>
          <w:tcPr>
            <w:tcW w:w="2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Sheila M. Anderson</w:t>
            </w:r>
          </w:p>
        </w:tc>
        <w:tc>
          <w:tcPr>
            <w:tcW w:w="120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(10)</w:t>
            </w:r>
          </w:p>
        </w:tc>
        <w:tc>
          <w:tcPr>
            <w:tcW w:w="20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74,697</w:t>
            </w:r>
          </w:p>
        </w:tc>
        <w:tc>
          <w:tcPr>
            <w:tcW w:w="220" w:type="dxa"/>
            <w:vAlign w:val="bottom"/>
          </w:tcPr>
          <w:p>
            <w:pPr>
              <w:spacing w:after="0"/>
              <w:rPr>
                <w:sz w:val="21"/>
                <w:szCs w:val="21"/>
                <w:color w:val="auto"/>
              </w:rPr>
            </w:pPr>
          </w:p>
        </w:tc>
        <w:tc>
          <w:tcPr>
            <w:tcW w:w="24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Bradley T. Wiemann</w:t>
            </w:r>
          </w:p>
        </w:tc>
        <w:tc>
          <w:tcPr>
            <w:tcW w:w="120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(11)</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169,875</w:t>
            </w:r>
          </w:p>
        </w:tc>
        <w:tc>
          <w:tcPr>
            <w:tcW w:w="2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Matthew J. Kurtenbach</w:t>
            </w:r>
          </w:p>
        </w:tc>
        <w:tc>
          <w:tcPr>
            <w:tcW w:w="120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(12)</w:t>
            </w:r>
          </w:p>
        </w:tc>
        <w:tc>
          <w:tcPr>
            <w:tcW w:w="20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347,685</w:t>
            </w:r>
          </w:p>
        </w:tc>
        <w:tc>
          <w:tcPr>
            <w:tcW w:w="220" w:type="dxa"/>
            <w:vAlign w:val="bottom"/>
          </w:tcPr>
          <w:p>
            <w:pPr>
              <w:spacing w:after="0"/>
              <w:rPr>
                <w:sz w:val="21"/>
                <w:szCs w:val="21"/>
                <w:color w:val="auto"/>
              </w:rPr>
            </w:pPr>
          </w:p>
        </w:tc>
        <w:tc>
          <w:tcPr>
            <w:tcW w:w="24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Carla S. Gatzke</w:t>
            </w:r>
          </w:p>
        </w:tc>
        <w:tc>
          <w:tcPr>
            <w:tcW w:w="120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(13)</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798,815</w:t>
            </w:r>
          </w:p>
        </w:tc>
        <w:tc>
          <w:tcPr>
            <w:tcW w:w="2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All Directors and executive officers as a group</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(11 persons, consisting of those named above)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3,701,418</w:t>
            </w:r>
          </w:p>
        </w:tc>
        <w:tc>
          <w:tcPr>
            <w:tcW w:w="2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4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person has sole voting and sole dispositive power with respect to all outstanding shares, except as noted. The individuals holding restricted shares have the power to vote but not the power to dispose of such shares.</w:t>
      </w:r>
    </w:p>
    <w:p>
      <w:pPr>
        <w:jc w:val="both"/>
        <w:ind w:left="820" w:hanging="488"/>
        <w:spacing w:after="0" w:line="281" w:lineRule="auto"/>
        <w:tabs>
          <w:tab w:leader="none" w:pos="8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Applicable percentage ownership is based on 45,137,864 shares of common stock outstanding as of July 8, 2019. In computing the number of shares of common stock beneficially owned by a person or group and the percentage ownership of that person or group, we deemed outstanding shares of common stock subject to options held by that person or group that are currently exercisable, options held by that person or group that are exercisable within 60 days of July 8, 2019, and restricted stock units that are scheduled to vest within 60 days of July 8, 2019. We did not deem these shares outstanding, however, for the purpose of computing the percentage ownership of any other person.</w:t>
      </w:r>
    </w:p>
    <w:p>
      <w:pPr>
        <w:spacing w:after="0" w:line="3" w:lineRule="exact"/>
        <w:rPr>
          <w:rFonts w:ascii="Arial" w:cs="Arial" w:eastAsia="Arial" w:hAnsi="Arial"/>
          <w:sz w:val="16"/>
          <w:szCs w:val="16"/>
          <w:color w:val="auto"/>
        </w:rPr>
      </w:pPr>
    </w:p>
    <w:p>
      <w:pPr>
        <w:ind w:left="820" w:right="20" w:hanging="488"/>
        <w:spacing w:after="0" w:line="250"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117,405 shares subject to options, 32,844 shares held through the 401(k) Plan, 17,400 shares held by his spouse, 44,800 shares held by his children and 5,880 shares of restricted stock with which vest within 60 days from July 8, 2019.</w:t>
      </w:r>
    </w:p>
    <w:p>
      <w:pPr>
        <w:ind w:left="820" w:hanging="488"/>
        <w:spacing w:after="0"/>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27,928 shares subject to exercisable options and 7,151 shares of restricted stock which vest on August 23, 2019.</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41,564 shares subject to exercisable options and 7,151 shares of restricted stock which vest on August 23, 2019.</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41,564 shares subject to exercisable options and 7,151 shares of restricted stock which vest on August 23, 2019.</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41,564 shares subject to exercisable options and 7,151 shares of restricted stock which vest on August 23, 2019.</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17,496 shares subject to exercisable options and 7,151 shares of restricted stock which vest on August 23, 2019.</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17,496 shares subject to exercisable options and 7,151 shares of restricted stock which vest on August 23, 2019.</w:t>
      </w:r>
    </w:p>
    <w:p>
      <w:pPr>
        <w:spacing w:after="0" w:line="23" w:lineRule="exact"/>
        <w:rPr>
          <w:rFonts w:ascii="Arial" w:cs="Arial" w:eastAsia="Arial" w:hAnsi="Arial"/>
          <w:sz w:val="18"/>
          <w:szCs w:val="18"/>
          <w:color w:val="auto"/>
        </w:rPr>
      </w:pPr>
    </w:p>
    <w:p>
      <w:pPr>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49,065 shares subject to options, 8,357 shares held through the 401(k) Plan and 2,900 shares of restricted stock which vest within 60 days from July 8, 2019.</w:t>
      </w:r>
    </w:p>
    <w:p>
      <w:pPr>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68,705 shares subject to options, 1,635 shares held through the 401(k) Plan, 597 shares held by his spouse and 2,900 shares of restricted stock which vest within 60 days from July 8, 2019.</w:t>
      </w:r>
    </w:p>
    <w:p>
      <w:pPr>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68,405 shares subject to options, 15,757 shares held through 401(k) Plan, 39,100 shares held by his children and 2,900 shares of restricted stock which vest within 60 days from July 8, 2019.</w:t>
      </w:r>
    </w:p>
    <w:p>
      <w:pPr>
        <w:ind w:left="820" w:right="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66,565 shares subject to options, 152,596 shares held through the 401(k) Plan, 90,000 shares held by her spouse, 30,385 shares held by her children and 2,700 shares of restricted stock with which vest within 60 days from July 8, 2019.</w:t>
      </w:r>
    </w:p>
    <w:p>
      <w:pPr>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the Company's knowledge, except as noted in the table above, no person or entity is the beneficial owner of more than five percent of the outstanding shares of the Company's common stock.</w:t>
      </w:r>
    </w:p>
    <w:p>
      <w:pPr>
        <w:jc w:val="both"/>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Data based on an Amendment to Schedule 13G/A filed by the shareholder with the Securities and Exchange Commission (the "SEC") on January 28, 2019. As set forth in the Schedule 13G/A, BlackRock, Inc. has sole voting power as to 5,612,468 of these shares and sole dispositive power as to all 5,705,729 shares.</w:t>
      </w:r>
    </w:p>
    <w:p>
      <w:pPr>
        <w:spacing w:after="0" w:line="1" w:lineRule="exact"/>
        <w:rPr>
          <w:rFonts w:ascii="Arial" w:cs="Arial" w:eastAsia="Arial" w:hAnsi="Arial"/>
          <w:sz w:val="18"/>
          <w:szCs w:val="18"/>
          <w:color w:val="auto"/>
        </w:rPr>
      </w:pPr>
    </w:p>
    <w:p>
      <w:pPr>
        <w:jc w:val="both"/>
        <w:ind w:left="820" w:hanging="488"/>
        <w:spacing w:after="0" w:line="281"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Data based on an Amendment to Schedule 13G/A filed by the shareholder with the SEC on February 08, 2019. As set forth in the Schedule 13G/A, Dimensional Fund Advisors LP has sole voting power as to 2,954,278 of these shares and sole dispositive power as to all 3,114,297 shares.</w:t>
      </w:r>
    </w:p>
    <w:p>
      <w:pPr>
        <w:spacing w:after="0" w:line="1" w:lineRule="exact"/>
        <w:rPr>
          <w:rFonts w:ascii="Arial" w:cs="Arial" w:eastAsia="Arial" w:hAnsi="Arial"/>
          <w:sz w:val="16"/>
          <w:szCs w:val="16"/>
          <w:color w:val="auto"/>
        </w:rPr>
      </w:pPr>
    </w:p>
    <w:p>
      <w:pPr>
        <w:jc w:val="both"/>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Data based on an Amendment to Schedule 13G/A filed by the shareholder with the SEC on February 11, 2019. As set forth in the Schedule 13G/A, Vanguard Group Inc. has sole voting power as to 35,403 of these shares, shared voting power as to 1,200 shares, sole dispositive power as to 2,817,580 shares, and share dispositive power as to 34,503 shares.</w:t>
      </w:r>
    </w:p>
    <w:p>
      <w:pPr>
        <w:spacing w:after="0" w:line="1"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868,769 shares held by his spouse, Irene Kurtenbach, and 561,675 shares held in Medary Creek LLLP. Medary Creek LLLP is a limited liability limited partnership of which Aelred and Irene Kurtenbach are the general partners. The address for Aelred and Irene Kurtenbach and Medary Creek LLLP is 47209 220th Street, Brookings, SD 57006</w:t>
      </w:r>
    </w:p>
    <w:p>
      <w:pPr>
        <w:spacing w:after="0" w:line="1" w:lineRule="exact"/>
        <w:rPr>
          <w:rFonts w:ascii="Arial" w:cs="Arial" w:eastAsia="Arial" w:hAnsi="Arial"/>
          <w:sz w:val="18"/>
          <w:szCs w:val="18"/>
          <w:color w:val="auto"/>
        </w:rPr>
      </w:pPr>
    </w:p>
    <w:p>
      <w:pPr>
        <w:ind w:left="820" w:hanging="488"/>
        <w:spacing w:after="0" w:line="323"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common stock held by the 401(k) Plan and allocated to the 401(k) Plan participants are voted by the trustee of the 401(k) Plan according to the instructions of the 401(k) Plan participants. The address of the 401(k) Plan is 201 Daktronics Drive, Brookings, South Dakota 57006.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Board of Directors consists of seven individuals divided into three classes serving staggered three-year terms of office. There are two Directors (James B. Morgan and Kevin P. McDermott) whose terms will expire at the 2019 Annual Meeting; two Directors (Robert G. Dutcher and Nancy D. Frame) whose terms will expire in 2020; and three Directors (Byron J. Anderson, John P. Friel, and Reece A. Kurtenbach) whose terms will expire in 2021. The Nominating and Corporate Governance Committee has recommended to the Board of Directors that James B. Morgan and Kevin P. McDermott be nominated for re-election at the 2019 Annual Meeting, and the Board of Directors has approved that recommendation. All nominees have consented to being named as a nominee in this Proxy Statement and have indicated a willingness to serve if elected. However, if any nominee becomes unable to serve before the election, the shares represented by proxies may be voted for a substitute designated by the Board, unless a contrary instruction is indicated on the proxy.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See "Procedural Matters – Voting at the Annual Meeting: Vote Requirements" for a description of the votes required for the election of Directors.</w:t>
      </w:r>
    </w:p>
    <w:p>
      <w:pPr>
        <w:spacing w:after="0" w:line="21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OF DIRECTORS UNANIMOUSLY RECOMMENDS THAT THE SHAREHOLDERS VOTE "FOR" THE ELECTION OF THE NOMINEES FOR DIRECTORS NAMED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the Record Date: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2"/>
          </w:tcPr>
          <w:p>
            <w:pPr>
              <w:ind w:left="740"/>
              <w:spacing w:after="0"/>
              <w:rPr>
                <w:sz w:val="20"/>
                <w:szCs w:val="20"/>
                <w:color w:val="auto"/>
              </w:rPr>
            </w:pPr>
            <w:r>
              <w:rPr>
                <w:rFonts w:ascii="Arial" w:cs="Arial" w:eastAsia="Arial" w:hAnsi="Arial"/>
                <w:sz w:val="18"/>
                <w:szCs w:val="18"/>
                <w:color w:val="auto"/>
              </w:rPr>
              <w:t>Name</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Age</w:t>
            </w:r>
          </w:p>
        </w:tc>
        <w:tc>
          <w:tcPr>
            <w:tcW w:w="3840" w:type="dxa"/>
            <w:vAlign w:val="bottom"/>
            <w:gridSpan w:val="2"/>
          </w:tcPr>
          <w:p>
            <w:pPr>
              <w:ind w:left="1040"/>
              <w:spacing w:after="0"/>
              <w:rPr>
                <w:sz w:val="20"/>
                <w:szCs w:val="20"/>
                <w:color w:val="auto"/>
              </w:rPr>
            </w:pPr>
            <w:r>
              <w:rPr>
                <w:rFonts w:ascii="Arial" w:cs="Arial" w:eastAsia="Arial" w:hAnsi="Arial"/>
                <w:sz w:val="18"/>
                <w:szCs w:val="18"/>
                <w:color w:val="auto"/>
              </w:rPr>
              <w:t>Principal Occupation</w:t>
            </w:r>
          </w:p>
        </w:tc>
        <w:tc>
          <w:tcPr>
            <w:tcW w:w="3960" w:type="dxa"/>
            <w:vAlign w:val="bottom"/>
          </w:tcPr>
          <w:p>
            <w:pPr>
              <w:ind w:left="1140"/>
              <w:spacing w:after="0"/>
              <w:rPr>
                <w:sz w:val="20"/>
                <w:szCs w:val="20"/>
                <w:color w:val="auto"/>
              </w:rPr>
            </w:pPr>
            <w:r>
              <w:rPr>
                <w:rFonts w:ascii="Arial" w:cs="Arial" w:eastAsia="Arial" w:hAnsi="Arial"/>
                <w:sz w:val="18"/>
                <w:szCs w:val="18"/>
                <w:color w:val="auto"/>
              </w:rPr>
              <w:t>Committees Served On</w:t>
            </w:r>
          </w:p>
        </w:tc>
      </w:tr>
      <w:tr>
        <w:trPr>
          <w:trHeight w:val="27"/>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22"/>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Kevin P. McDermott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Chief Audit Executive at Pinnacle Financial</w:t>
            </w: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Committee - Chair</w:t>
            </w:r>
          </w:p>
        </w:tc>
      </w:tr>
      <w:tr>
        <w:trPr>
          <w:trHeight w:val="237"/>
        </w:trPr>
        <w:tc>
          <w:tcPr>
            <w:tcW w:w="18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Partners, Inc.; board member of Genesco Inc.</w:t>
            </w:r>
          </w:p>
        </w:tc>
        <w:tc>
          <w:tcPr>
            <w:tcW w:w="3960" w:type="dxa"/>
            <w:vAlign w:val="bottom"/>
            <w:tcBorders>
              <w:bottom w:val="single" w:sz="8" w:color="CCEEFF"/>
            </w:tcBorders>
            <w:shd w:val="clear" w:color="auto" w:fill="CCEEFF"/>
          </w:tcPr>
          <w:p>
            <w:pPr>
              <w:spacing w:after="0"/>
              <w:rPr>
                <w:sz w:val="20"/>
                <w:szCs w:val="20"/>
                <w:color w:val="auto"/>
              </w:rPr>
            </w:pPr>
          </w:p>
        </w:tc>
      </w:tr>
      <w:tr>
        <w:trPr>
          <w:trHeight w:val="229"/>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James B. Morgan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22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Retired</w:t>
            </w:r>
          </w:p>
        </w:tc>
        <w:tc>
          <w:tcPr>
            <w:tcW w:w="3960" w:type="dxa"/>
            <w:vAlign w:val="bottom"/>
          </w:tcPr>
          <w:p>
            <w:pPr>
              <w:ind w:left="20"/>
              <w:spacing w:after="0"/>
              <w:rPr>
                <w:sz w:val="20"/>
                <w:szCs w:val="20"/>
                <w:color w:val="auto"/>
              </w:rPr>
            </w:pPr>
            <w:r>
              <w:rPr>
                <w:rFonts w:ascii="Arial" w:cs="Arial" w:eastAsia="Arial" w:hAnsi="Arial"/>
                <w:sz w:val="18"/>
                <w:szCs w:val="18"/>
                <w:color w:val="auto"/>
              </w:rPr>
              <w:t>Audit Committee; Nominating and Corporate</w:t>
            </w:r>
          </w:p>
        </w:tc>
      </w:tr>
      <w:tr>
        <w:trPr>
          <w:trHeight w:val="230"/>
        </w:trPr>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Governance Committee</w:t>
            </w:r>
          </w:p>
        </w:tc>
      </w:tr>
    </w:tbl>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 xml:space="preserve">Kevin P. McDermott (65) </w:t>
      </w:r>
      <w:r>
        <w:rPr>
          <w:rFonts w:ascii="Arial" w:cs="Arial" w:eastAsia="Arial" w:hAnsi="Arial"/>
          <w:sz w:val="16"/>
          <w:szCs w:val="16"/>
          <w:color w:val="auto"/>
        </w:rPr>
        <w:t>has been a Director since June 2015 and has served on the Audit Committee as a member from August 2015 through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and as Chairman since October 2016. Mr. McDermott retired from an international accounting firm, KPMG LLP, in the fall of 2013 after being with the firm for 33 years in various capacities, including audit engagement partner, SEC reviewing partner, professional practice partner, and in the firm’s Office of General Counsel. In addition to fulfilling professional obligations related to audits of financial statements and internal control over financial reporting, he assisted clients with financial and operational issues, acquisition due diligence, personnel performance, and corporate governance. In his capacity as SEC reviewing partner, Mr. McDermott performed concurring partner review of audits of financial statements and internal control over financial reporting for publicly-held audit clients. While in the Office of General Counsel, he provided assistance on a privileged basis to the firm and outside counsel in various SEC and Public Company Accounting Oversight Board investigations and third-party litigation matters. He is a licensed Certified Public Accountant in Tennessee and New York and holds a Bachelor of Science in economics from South Dakota State University. Mr. McDermott was appointed to the board of directors of Genesco Inc. effective February 1, 2016 and currently serves as Chairman of its Audit Committee. Genesco is a publicly-traded retailer and wholesaler of branded footwear, apparel and accessories. Mr. McDermott began working for Pinnacle Financial Partners, Inc. as Chief Audit Executive on March 4, 2019. Pinnacle is a publicly-held bank holding company located in Nashville, Tennessee. Mr. McDermott brings significant expertise in the area of financial and internal control over financial reporting by publicly-traded companies. This expertise aligns with our responsibility and commitment to provide oversight for our shareholders relating to the integrity of our financial statements and related filings.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James B. Morgan (72) </w:t>
      </w:r>
      <w:r>
        <w:rPr>
          <w:rFonts w:ascii="Arial" w:cs="Arial" w:eastAsia="Arial" w:hAnsi="Arial"/>
          <w:sz w:val="17"/>
          <w:szCs w:val="17"/>
          <w:color w:val="auto"/>
        </w:rPr>
        <w:t>is currently retired. He has been a Director since 1984 and has served on the Audit Committee and Nominating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Governance Committee since October 2016. He served as the Company's President and Chief Executive Officer from 2001 through his retirement effective on September 1, 2013. Prior to that, he served as President and Chief Operating Officer and Vice President of Engineering. He originally joined the Company in 1969 as its first design engineer. He holds a Bachelor of Science degree and a Master of Science degree in electrical engineering from South Dakota State University. Mr. Morgan brings to the Board his experience and knowledge of our business and industry derived from his previous positions as President and Chief Executive Officer and his over 44 years of experience with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Byron J. Anderson (75) </w:t>
      </w:r>
      <w:r>
        <w:rPr>
          <w:rFonts w:ascii="Arial" w:cs="Arial" w:eastAsia="Arial" w:hAnsi="Arial"/>
          <w:sz w:val="18"/>
          <w:szCs w:val="18"/>
          <w:color w:val="auto"/>
        </w:rPr>
        <w:t>is currently retired. He has been a Director of the Company since 2005 and has served on the Compensation Committee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Nominating and Corporate Governance Committee since November 2005. Before his retirement, from 1999 to 2004, 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served at Agilent Technologies, Inc. as Senior Vice President serving customers and managing business groups located in the United States, Europe, Japan and Asia, which included worldwide sales and service activities. Before working with Agilent, he held various senior positions with Hewlett-Packard Company, most recently as a Vice President responsible for a business unit serving the worldwide communications industry. He holds a Master of Business Administration from Harvard University and an electrical engineering degree from South Dakota State University. Mr. Anderson brings to the Board significant experience in high-tech industry with a unique knowledge of supply chains, international development, foreign trade and corporate strategy obtained from his years in management of large, multi-national technology companies.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Robert G. Dutcher (74) </w:t>
      </w:r>
      <w:r>
        <w:rPr>
          <w:rFonts w:ascii="Arial" w:cs="Arial" w:eastAsia="Arial" w:hAnsi="Arial"/>
          <w:sz w:val="18"/>
          <w:szCs w:val="18"/>
          <w:color w:val="auto"/>
        </w:rPr>
        <w:t>is currently retired. He has been a Director of the Company since 2002 and chairperson of the Compensation Committee since 2005.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his retirement, from April 2009 until March 2011, he served as Strategic Advisor Lead Member of MEDRAD, Inc. From April 2008 through March 2009, he was President and Chief Executive Officer of the Cardiovascular Division of MEDRAD, Inc. From 1993 until April 2008, he was the President and Chief Executive Officer of Possis Medical, Inc., a publicly-held medical device company located in Minneapolis, Minnesota, which was acquired by MEDRAD, Inc. in April 2008. From December 2001 until April 2008, he served as Chairman of the Board of Possis Medical, Inc. Before joining Possis Medical in 1985, he was with Medtronic, Inc. for 12 years, most recently as Director of Research and Development. He previously worked in an engineering capacity for Control Data Corporation and Honeywell, Inc. Mr. Dutcher holds a Bachelor of Science degree in electrical engineering from South Dakota State University and a Master of Science degree in electrical engineering from the University of Minnesota. Mr. Dutcher brings to the Board extensive knowledge in driving profitable growth in technology-driven industries from his experience in leading research and development at Medtronic and as Chief Executive Officer of Possis Medical.</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Nancy D. Frame (74) </w:t>
      </w:r>
      <w:r>
        <w:rPr>
          <w:rFonts w:ascii="Arial" w:cs="Arial" w:eastAsia="Arial" w:hAnsi="Arial"/>
          <w:sz w:val="16"/>
          <w:szCs w:val="16"/>
          <w:color w:val="auto"/>
        </w:rPr>
        <w:t>is currently retired. She has been a Director of the Company since 1999, chairperson of the Nominating and Corporate Governance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since 2004, and Lead Independent Director since 2005. She was Deputy Director of the U.S. Trade and Development Agency from 1986 to 1999, when she retired. As a senior executive in this federal government agency, she was responsible for managing its day-to-day operations, budget, system of financial controls, and ethics program. From 1980 to 1986, she was Assistant General Counsel at the U.S. Agency for International Development, where she was in charge of all legal matters affecting personnel, labor relations and ethics. Before that she held various legal positions in the areas of international trade and commercial law. She has a law degree from Georgetown University, Washington, D.C., and a Bachelor of Science degree from South Dakota State University. Ms. Frame brings to the Board a legal and managerial background, which is particularly pertinent to corporate governance, risk oversight, and to understanding of legal issues faced by the Company, especially as they relate to our international development.</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John P. Friel (65) </w:t>
      </w:r>
      <w:r>
        <w:rPr>
          <w:rFonts w:ascii="Arial" w:cs="Arial" w:eastAsia="Arial" w:hAnsi="Arial"/>
          <w:sz w:val="17"/>
          <w:szCs w:val="17"/>
          <w:color w:val="auto"/>
        </w:rPr>
        <w:t>has been a Director since September 2015 and has served on the Audit Committee since September 2015 and on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since October 2016. Mr. Friel served for 30 years in various capacities at MEDRAD, Inc., a global company that designs, develops, manufactures, sells, and supports medical devices. MEDRAD is an affiliate of Bayer, AG. He joined MEDRAD in the accounting area and earned a promotion to Treasurer and Vice President of Corporate Planning in 1986 and Vice President of Business Development area in 1987. He then served as Executive Vice President of Sales and Marketing from 1989 to 1995, Senior Vice President and General Manager from 1995 to 1998, and as President and Chief Executive Officer from 1998 to 2010. MEDRAD received the Malcolm Baldrige National Quality Award twice during his tenure, once in 2004 and again in 2010. Mr. Friel is currently the President and Chief Executive Officer of Vascor, Inc. Vascor is a pre-clinical medical device development company. He also is currently the Managing Director at Preservation Technologies L.P. and a Director of the medical device industry segment at Blue Water Growth LLC. Mr. Friel is the Principal and Founder of Five Radicals, which focuses on Baldrige Performance Excellence, strategic planning, general business consulting to entrepreneurial medical device companies, and private equity business development opportunity search efforts. Mr. Friel is a director and Chief Strategy Officer of Magvation, LLC, a medical device development company. Mr. Friel is a Senior Partner of the Mikan Group, a general management consulting company. He holds a Master of Arts in Law and Diplomacy from Tufts University and a Bachelor of Arts in Political Science and Bachelor of Science in Accounting from Pennsylvania State University. Mr. Friel brings to the Board extensive global general management knowledge and practice. He has strong experience in building and growing businesses, especially in technical product development and global expansions, which align with many of the Company's initiatives and strategies.</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Reece A. Kurtenbach (54) </w:t>
      </w:r>
      <w:r>
        <w:rPr>
          <w:rFonts w:ascii="Arial" w:cs="Arial" w:eastAsia="Arial" w:hAnsi="Arial"/>
          <w:sz w:val="16"/>
          <w:szCs w:val="16"/>
          <w:color w:val="auto"/>
        </w:rPr>
        <w:t>was appointed as President and Chief Executive Officer and a Director effective on September 1, 2013 and has served as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Board since September 2014. He served as Executive Vice President from 2012 until September 2013, Vice President for Live Events and International from 2007 to 2012, Vice President for Video Systems from 2004 until 2007, and manager for video products engineering from 1994 until 2004. Mr. Kurtenbach joined the Company in 1991 as an applications engineer focusing on large display projects. Mr. Kurtenbach also worked as a student employee with various responsibilities from 1983 to 1987. Mr. Kurtenbach holds a Bachelor of Science degree from South Dakota State University in electrical engineering, with minors in mathematics and computer science. Mr. Kurtenbach is the son of Dr. Aelred Kurtenbach and brother of Matthew J. Kurtenbach and Carla S. Gatzke. The Board believes that Mr. Kurtenbach is an appropriate representative of management on the Board, given his position as a senior executive officer and his over 30 years of experience with the Company. In addition, Mr. Kurtenbach brings a wealth of industry experience to the Board.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Nominating and Corporate Governance Committee has determined that each of Messrs. Anderson, Dutcher, Friel, Morgan and McDermott and Ms. Frame are "independent," as that term is defined in Rule 5605(a)(2) of the NASDAQ Listing Rules. Accordingly, the Board is composed of a majority of independent Directors as required by the NASDAQ Listing Rules. In addition, none of our directors are a party to any agreement or arrangement that would require disclosure pursuant to NASDAQ Listing Rule 5250(b)(3) regarding the payment of compensation to directors by a third party in connection with serving as a director of the Company.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(NON-BINDING) APPROVAL OF THE COMPANY'S EXECUTIVE COMPENSATION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foundation of our executive compensation program is to pay for performance. Base compensation for our executive officers is set relatively low as compared to members of our peer group, and a meaningful portion of the compensation paid to our executive officers is based on long-term equity incentive compensation and annual non-equity incentive compensation, which is focused on the key results and strategic drivers of our business. We believe that our executive compensation program aligns our incentive compensation with the long-term interests of our shareholders.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Chief Executive Officer ("CEO") and all of the other executive officers named in the Summary Compensation Table appearing later in this Proxy Statement (collectively, the "Named Executive Officers") are at-will employees consistent with applicable South Dakota state law. There are no employment agreements in place with any of the Named Executive Officers. We also do not maintain any supplemental executive retirement plans for our executive officers, and our Named Executive Officers participate in a retirement program that is open to all of our U.S. employees. We generally do not provide significant perquisites and other personal benefits.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urge you to read the Compensation Discussion and Analysis section of this Proxy Statement for additional details on our executive compensation, including our compensation philosophy and objectives and the fiscal 2019 compensation of our Named Executive Officers. We believe that, viewed as a whole, our compensation practices and policies are appropriate and are fair to both the Company and its executives.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U.S. Congress has enacted requirements commonly referred to as the "say-on-pay" rules. As required by those rules, we are asking you to vote on the adoption of the following resolution:</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BE IT RESOLVED by the shareholders of Daktronics, Inc., that the shareholders approve the compensation of the Company's Named Executive Officers as disclosed pursuant to Item 402 of Regulation S-K in the Company's Proxy Statement for the 2019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Proxies will be voted in favor of the resolution unless shareholders specify otherwise in their proxies and except for broker non-votes. The affirmative vote of at least a majority of the voting power of the shares present, in person or by proxy, and entitled to vote (excluding broker non-votes) is required for advisory approval of our executive compensation. As an advisory approval, this proposal is non-binding. However, the Board and our Compensation Committee, which is responsible for designing and overseeing the administration of our executive compensation program, value the opinions of our shareholders and will consider the outcome of the vote when making future compensation decisions for our Named Executive Officers.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PROPOSAL TWO, THE ADVISORY (NON-BINDING) APPROVAL OF THE COMPENSATION OF OUR NAMED EXECUTIVE OFFICERS AS DISCLOSED IN THE PROXY STATEMENT PURSUANT TO THE SEC’S COMPENSATION DISCLOSURE RULES.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PROPOSAL THREE</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Audit Committee of the Board of Directors has appointed Deloitte &amp; Touche, LLP ("Deloitte") as our independent registered public accounting firm (the "Independent Auditor") to perform reviews of our interim consolidated financial statements to be included in our fiscal 2020 Quarterly Reports on Form 10-Q and to audit our annual consolidated financial statements and our internal control over financial reporting for fiscal 2020, and it recommends that the shareholders vote for ratification of such appointment. A representative from Deloitte is expected to be present at the Annual Meeting, will have the opportunity to make a statement, and is expected to be available to respond to appropriate questions.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Auditor in Fiscal 2018</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reported on a Current Report on Form 8-K filed on September 15, 2017 (the "Change in Auditor 8-K"), effective September 12, 2017, the Audit Committee dismissed Ernst &amp; Young LLP ("EY") as the Company’s independent registered public accounting firm and appointed Deloitte to serve in this role for the fiscal year ended April 28, 2018. For more information, see the Change in Auditor 8-K, as amended by the Current Report on Form 8-K/A (Amendment No. 1) filed on December 1, 2017.</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EY audited the consolidated financial statements of the Company for the fiscal years ended April 29, 2017 and April 30, 2016. EY's audit reports for each of these fiscal years did not contain an adverse opinion or a disclaimer of opinion and were not qualified or modified as to uncertainty, audit scope, or accounting principle.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the fiscal years ended April 29, 2017 and April 30, 2016 and during the subsequent interim period from April 30, 2017 through September 12, 2017,</w:t>
      </w:r>
    </w:p>
    <w:p>
      <w:pPr>
        <w:spacing w:after="0" w:line="46" w:lineRule="exact"/>
        <w:rPr>
          <w:sz w:val="20"/>
          <w:szCs w:val="20"/>
          <w:color w:val="auto"/>
        </w:rPr>
      </w:pPr>
    </w:p>
    <w:p>
      <w:pPr>
        <w:jc w:val="both"/>
        <w:ind w:firstLine="8"/>
        <w:spacing w:after="0" w:line="281" w:lineRule="auto"/>
        <w:tabs>
          <w:tab w:leader="none" w:pos="2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were no disagreements with EY on any matter of accounting principles or practices, financial statement disclosure or auditing scope or procedures that, if not resolved to EY's satisfaction, would have caused EY to make reference to the subject matter of the disagreement in connection with its reports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were no "reportable events" as defined in Item 304(a)(1)(v) of Regulation S-K.</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provided EY with a copy of the Change in Auditor 8-K and requested EY to furnish the Company with a letter addressed to the SEC stating whether it agrees with the statements contained in the Change in Auditor 8-K. The Company received the requested letter from EY, and a copy of EY’s letter was attached as Exhibit 16.1 to the Change in Auditor 8-K.</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fiscal years ended April 29, 2017 and April 30, 2016 and during the subsequent interim period from April 30, 2017 through September 12, 2017, neither we nor anyone on our behalf consulted Deloitte regarding either (i) the application of accounting principles to a specified transaction, either completed or proposed, or the type of audit opinion that might be rendered on our financial statements, and neither a written report nor oral advice was provided to us that Deloitte concluded was an important factor considered by us in reaching a decision as to any accounting, auditing or financial reporting issue, or (ii) any matter that was either the subject of a "disagreement" (as defined in Item 304(a)(1)(iv) of Regulation S-K) or a "reportable event" (as defined in Item 304(a)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(1)(v) of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fees billed for professional services rendered by Deloitte and EY for the last two fiscal years: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color w:val="auto"/>
              </w:rPr>
              <w:t>Fiscal Year Ended</w:t>
            </w:r>
          </w:p>
        </w:tc>
      </w:tr>
      <w:tr>
        <w:trPr>
          <w:trHeight w:val="27"/>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April 27, 2019</w:t>
            </w:r>
          </w:p>
        </w:tc>
        <w:tc>
          <w:tcPr>
            <w:tcW w:w="16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w w:val="95"/>
              </w:rPr>
              <w:t>April 28, 2018</w:t>
            </w:r>
          </w:p>
        </w:tc>
      </w:tr>
      <w:tr>
        <w:trPr>
          <w:trHeight w:val="27"/>
        </w:trPr>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328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913,100</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951,029</w:t>
            </w:r>
          </w:p>
        </w:tc>
      </w:tr>
      <w:tr>
        <w:trPr>
          <w:trHeight w:val="270"/>
        </w:trPr>
        <w:tc>
          <w:tcPr>
            <w:tcW w:w="32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60,640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37,145</w:t>
            </w:r>
          </w:p>
        </w:tc>
      </w:tr>
      <w:tr>
        <w:trPr>
          <w:trHeight w:val="270"/>
        </w:trPr>
        <w:tc>
          <w:tcPr>
            <w:tcW w:w="32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(3)</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26,179</w:t>
            </w:r>
          </w:p>
        </w:tc>
      </w:tr>
      <w:tr>
        <w:trPr>
          <w:trHeight w:val="270"/>
        </w:trPr>
        <w:tc>
          <w:tcPr>
            <w:tcW w:w="32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69,995</w:t>
            </w:r>
          </w:p>
        </w:tc>
      </w:tr>
      <w:tr>
        <w:trPr>
          <w:trHeight w:val="289"/>
        </w:trPr>
        <w:tc>
          <w:tcPr>
            <w:tcW w:w="328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979,180</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1,084,348</w:t>
            </w:r>
          </w:p>
        </w:tc>
      </w:tr>
      <w:tr>
        <w:trPr>
          <w:trHeight w:val="20"/>
        </w:trPr>
        <w:tc>
          <w:tcPr>
            <w:tcW w:w="30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Audit-related fees are fees for assurance and related services performed by EY and Deloitte that are reasonably related to the performance of the audit or review of the Company’s financial statements.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fees are fees for other permissible work performed by EY and Deloitte that does not meet the above category descriptions.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Audit and other professional fees for fiscal 2019 consisted of $25,000 paid to EY and $954,180 paid to Deloitte. Audit and other professional fees for fiscal 2018 consisted of $162,134 paid to EY and $922,214 paid to Deloitte.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provided in the Audit Committee’s charter, all engagements for any non-audit services by our Independent Auditor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its next regularly scheduled meeting.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considers the provision of services by Deloitte to us, over and above the audit fees, to be compatible with the ability of each of Deloitte to maintain its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affirmative vote of a majority of the shares of our common stock represented at the Annual Meeting, either in person or by proxy, assuming a quorum is present, is required to ratify the appointment by the Audit Committee of the Board of Directors of Deloitte &amp; Touche, LLP as our Independent Auditor for the fiscal year ending May 2, 2020. If the shareholders do not approve the selection of Deloitte &amp; Touche, LLP, the Audit Committee will reconsider its selection.</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THE RATIFICATION OF THE APPOINTMENT OF DELOITTE &amp; TOUCHE, LLP AS THE COMPANY’S INDEPENDENT REGISTERED PUBLIC ACCOUNTING FIRM FOR THE FISCAL YEAR ENDING MAY 2, 2020 AS SET FORTH IN PROPOSAL THREE.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adheres to governance principles that assure the integrity and continued viability of the Company. The Board has responsibility for risk management oversight and for providing strategic guidance to the Company. The Board believes that it must stay well-informed about the issues, challenges and opportunities facing Daktronics so that the Board members can properly exercise their fiduciary responsibilities to our shareholders. As part of this process, the Board is kept informed of our business through discussions with the Named Executive Officers, by reviewing material provided to them and by participating in meetings of the Board and its Committees.</w:t>
      </w:r>
    </w:p>
    <w:p>
      <w:pPr>
        <w:spacing w:after="0" w:line="19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Board of Directors currently combines the roles of Chief Executive Officer ("CEO") and Chairman of the Board ("Chair"). Periodically, our Board of Directors assesses these roles and the Board leadership structure to assure that the interests of the Company and its shareholders are best served. Our Board of Directors has determined that its current structure, with a combined Chair and CEO, is in the best interests of the Company and its shareholders at this time. In addition, the Board has also established a Lead Independent Director role. Ms. Nancy Frame has served as our Lead Independent Director since 2005.</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Chairman conducts the Board meetings, and the Lead Independent Director presides over independent Director meetings. The Lead Independent Director also serves as chairperson of the Nominating and Corporate Governance Committee. In this dual role, the Lead Independent Director is able to bring to the Board a special focus on governance issues. She also facilitates the ability of non-management Directors to fulfill their responsibilities, builds consensus among Board members, and provides a structure for communicating any concerns the non-management Directors may have directly to our executive management.</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reviews with the Board annually the composition of the Board as a whole, including the Directors’ independence, skills, experience, age, diversity, and availability of service to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conducts periodic self-evaluations facilitated by the Nominating and Corporate Governance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independent Directors meet in conjunction with regularly scheduled quarterly Board meetings and at other appropriate times.</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and all Board Committees are authorized to hire their own advisors as they deem to be necessary or advisable to fulfill their obligations, and the Company will pay the costs of such advisors.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2019, the Board of Directors held four regularly scheduled meetings and three special meetings, the Audit Committee met six times, the Compensation Committee met 12 times, and the Nominating and Corporate Governance Committee met four times. All of the Directors attended at least 75 percent of the aggregate of all meetings of the Board of Directors and Committees upon which they served, and all of the Directors attended the annual meeting of shareholders held in September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Board has adopted a practice of meeting in executive session, and then with independent Directors only, in conjunction with each regularly scheduled Board meeting. The independent Directors met four times in fiscal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takes an active role in risk oversight both as a full Board and through its Committees. The Company's management team attends a portion of each regular Board meeting, and the Board engages management in a review of the business with respect to our strategies and risks. Such risks include those inherent in our businesses as well as the risks from external sources such as competitors, cybersecurity, the economy, credit markets, and regulatory and legislative developments.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various Committees of the Board are also responsible for specific areas of risks. The Audit Committee meets regularly with management and our Independent Auditor to oversee our financial risk management processes, controls and capabilities. The Audit Committee also oversees and reviews with management certain aspects of our information systems, credit, litigation, and currency risks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other finance matters. In addition, the Audit Committee reviews and monitors our procedures regarding the receipt, retention and treatment of complaints regarding internal accounting, accounting controls or audit matters. The Compensation Committee oversees our executive compensation arrangements and certain benefit plans. This includes the identification and management of risks that may arise from our compensation policies and practices. The Nominating and Corporate Governance Committee has oversight of corporate governance, including practices and procedures that promote good governance and thus mitigate governance risk, and it is also responsible for reviewing the performance of the Board, its Committees and their members. These Committees report to the full Board on these topics, including risks, as they deem to be necessary or advisable.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Board of Directors has adopted our Code of Conduct, which applies to all of our employees, officers and Directors as described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The Nominating and Corporate Governance Committee reviews the Code of Conduct annually and oversees its implementation.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Party Transactions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has adopted a written policy and procedure with respect to related party transactions, which the Audit Committee oversees. Under the policy, a "related party transaction" is generally defined as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9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u w:val="single" w:color="auto"/>
          <w:color w:val="auto"/>
        </w:rPr>
        <w:t>Audit Committee</w:t>
      </w:r>
      <w:r>
        <w:rPr>
          <w:rFonts w:ascii="Arial" w:cs="Arial" w:eastAsia="Arial" w:hAnsi="Arial"/>
          <w:sz w:val="16"/>
          <w:szCs w:val="16"/>
          <w:color w:val="auto"/>
        </w:rPr>
        <w:t>. During fiscal 2019, our Audit Committee consisted of Kevin P. McDermott (Chairperson), John L. Mulligan (until his retirement on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7, 2018), John P. Friel, and James B. Morgan. The Board of Directors has determined that each Audit Committee member is independent as defined under Rule 5605(a)(2) of the NASDAQ Listing Rules and Rule 10A-3 under the Securities Exchange Act of 1934 (the "Exchange Act"). The Board has determined that Mr. McDermott, Mr. Friel, and Mr. Morgan are qualified as "audit committee financial experts," as that term is defined in Item 407(d)(5)</w:t>
      </w:r>
    </w:p>
    <w:p>
      <w:pPr>
        <w:spacing w:after="0" w:line="2" w:lineRule="exact"/>
        <w:rPr>
          <w:sz w:val="20"/>
          <w:szCs w:val="20"/>
          <w:color w:val="auto"/>
        </w:rPr>
      </w:pPr>
    </w:p>
    <w:p>
      <w:pPr>
        <w:jc w:val="both"/>
        <w:ind w:firstLine="8"/>
        <w:spacing w:after="0" w:line="252" w:lineRule="auto"/>
        <w:tabs>
          <w:tab w:leader="none" w:pos="2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of Regulation S-K. The Audit Committee assists the Board of Directors in fulfilling its oversight responsibilities concerning the quality and integrity of our financial reports and related filings with the SEC. In fulfilling this role, the Audit Committee, among other things, oversees the accounting and financial reporting process and audits of the financial statements and related SEC filings, appoints and determines the compensation of our Independent Auditor, reviews the scope and findings of the audit, reviews the adequacy and effectiveness of our accounting policies and system of internal control over financial reporting, and oversees our policy and procedures with respect to related party transactions. The Audit Committee’s Charter is available on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Compensation Committee</w:t>
      </w:r>
      <w:r>
        <w:rPr>
          <w:rFonts w:ascii="Arial" w:cs="Arial" w:eastAsia="Arial" w:hAnsi="Arial"/>
          <w:sz w:val="17"/>
          <w:szCs w:val="17"/>
          <w:color w:val="auto"/>
        </w:rPr>
        <w:t>. During fiscal 2019, our Compensation Committee consisted of Robert G. Dutcher (Chairperson), Byron J. Anderson, and John 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Friel. All of the Compensation Committee members satisfy the independence requirements of the NASDAQ Listing Rules, as determined by the Board of Directors. The Compensation Committee annually reviews and approves the Chief Executive Officer’s and other executives' compensation packages and acts upon management’s recommendations for executives concerning employee equity incentives, bonuses, and other compensation and benefit plans. The Compensation Committee’s Charter is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Nominating and Corporate Governance Committee</w:t>
      </w:r>
      <w:r>
        <w:rPr>
          <w:rFonts w:ascii="Arial" w:cs="Arial" w:eastAsia="Arial" w:hAnsi="Arial"/>
          <w:sz w:val="17"/>
          <w:szCs w:val="17"/>
          <w:color w:val="auto"/>
        </w:rPr>
        <w:t>. During fiscal 2019, our Nominating and Corporate Governance Committee (the "Nominating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Committee") consisted of Nancy D. Frame (Chairperson), Byron J. Anderson, and James B. Morgan. The Board of Directors has determined that all of the Nominating Committee members satisfy the independence requirements of the NASDAQ Listing Rules. Our Nominating Committee advises and makes recommendations to the Board of Directors on all matters concerning the selection of candidates as nominees for election as Directors, develops and recommends to the Board of Directors corporate governance guidelines, oversees our Code of Conduct, and provides oversight with respect to corporate governance and ethical conduct. It also facilitates the annual review of the performance of the Board of Directors. The Nominating Committee’s Charter and our Corporate Governance Guidelines are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below describes the criteria and process that the Nominating Committee uses to evaluate future candidates to the Board of Directors: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technology company experience, financial literacy, personal integrity and judgment, and willingness to be prepared and active participants at Board and Committee meetings. The Nominating Committee and the Board seek to attract and retain highly qualified Directors who have sufficient time to attend to their duties and responsibilities to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Committee and the Board seek members who will contribute to our overall corporate goals, taking into account: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responsibility to its key stakeholders, which include shareholders, customers, suppliers, community, and employees.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Integrity in financial reporting and business conduct. Candidates are selected based upon their potential contributions to the long-term interests of shareholders.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Diversity of a candidate’s skills and experiences.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candidate for Director must possess the following specific minimum qualifications: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Demonstrated integrity and ethics in his or her professional life and an established record of professional accomplishment in his or her chosen field.</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Absence of any material personal, financial or professional interest in any present or potential competitor of the Company.</w:t>
      </w:r>
    </w:p>
    <w:p>
      <w:pPr>
        <w:spacing w:after="0" w:line="9" w:lineRule="exact"/>
        <w:rPr>
          <w:rFonts w:ascii="Arial" w:cs="Arial" w:eastAsia="Arial" w:hAnsi="Arial"/>
          <w:sz w:val="18"/>
          <w:szCs w:val="18"/>
          <w:color w:val="auto"/>
        </w:rPr>
      </w:pPr>
    </w:p>
    <w:p>
      <w:pPr>
        <w:jc w:val="both"/>
        <w:ind w:left="660" w:right="20" w:hanging="328"/>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participate fully in activities of the Board of Directors, including active membership in at least one Committee of the Board of Directors (in the case of independent Directors) and attendance at, and active participation in, meetings of the Board of Directors and the Committee(s) of the Board of which he or she is a member.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Nominating Committee will consider written proposals from shareholders for nominees for Director. Any such nominations must be submitted to the Nominating Committee in the care of our Corporate Secretary and should include (at a minimum) the following information: (a) all information relating to such nominee that is required to be disclosed in Schedule 14A under the Exchange Act (including appropriate biographical information); (b) other board memberships; (c) such person’s written consent to being named in the Proxy Statement as a Director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deadline described in this Proxy Statement under the caption "Procedural Matters – Procedure for Submitting Shareholder Proposals" above.</w:t>
      </w:r>
    </w:p>
    <w:p>
      <w:pPr>
        <w:spacing w:after="0" w:line="1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Shareholders wishing to contact our Board of Directors may do so by writing to it at the following address: Corporate Secretary, Daktronics, Inc., 201 Daktronics Drive, Brookings, South Dakota 57006. All letters received will be forwarded to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fiscal 2019, none of our executive officers served on the board of directors or compensation committee of another company that had an executive officer who served on our Board of Directors or our Compensation Committee.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compensation paid to and earned by our Directors for the fiscal year ended April 27,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2019 DIRECTOR COMPENSATION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Fees Earned or</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Total</w:t>
            </w:r>
          </w:p>
        </w:tc>
      </w:tr>
      <w:tr>
        <w:trPr>
          <w:trHeight w:val="257"/>
        </w:trPr>
        <w:tc>
          <w:tcPr>
            <w:tcW w:w="204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Name</w:t>
            </w:r>
            <w:r>
              <w:rPr>
                <w:rFonts w:ascii="Arial" w:cs="Arial" w:eastAsia="Arial" w:hAnsi="Arial"/>
                <w:sz w:val="25"/>
                <w:szCs w:val="25"/>
                <w:color w:val="auto"/>
                <w:vertAlign w:val="superscript"/>
              </w:rPr>
              <w:t>(1)</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Paid in Cash ($)</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50"/>
              <w:spacing w:after="0" w:line="257" w:lineRule="exact"/>
              <w:rPr>
                <w:sz w:val="20"/>
                <w:szCs w:val="20"/>
                <w:color w:val="auto"/>
              </w:rPr>
            </w:pPr>
            <w:r>
              <w:rPr>
                <w:rFonts w:ascii="Arial" w:cs="Arial" w:eastAsia="Arial" w:hAnsi="Arial"/>
                <w:sz w:val="18"/>
                <w:szCs w:val="18"/>
                <w:color w:val="auto"/>
                <w:w w:val="92"/>
              </w:rPr>
              <w:t xml:space="preserve">Stock Awards ($) </w:t>
            </w:r>
            <w:r>
              <w:rPr>
                <w:rFonts w:ascii="Arial" w:cs="Arial" w:eastAsia="Arial" w:hAnsi="Arial"/>
                <w:sz w:val="25"/>
                <w:szCs w:val="25"/>
                <w:color w:val="auto"/>
                <w:w w:val="92"/>
                <w:vertAlign w:val="superscript"/>
              </w:rPr>
              <w:t>(2)</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Compensation ($)</w:t>
            </w:r>
          </w:p>
        </w:tc>
      </w:tr>
      <w:tr>
        <w:trPr>
          <w:trHeight w:val="244"/>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Byron J. Anderson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110,992</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Robert G. Dutcher</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55,992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110,992</w:t>
            </w:r>
          </w:p>
        </w:tc>
      </w:tr>
      <w:tr>
        <w:trPr>
          <w:trHeight w:val="27"/>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Nancy D. Frame</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115,992</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John P. Friel</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55,992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112,992</w:t>
            </w:r>
          </w:p>
        </w:tc>
      </w:tr>
      <w:tr>
        <w:trPr>
          <w:trHeight w:val="27"/>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Kevin P. McDermott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112,992</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James B. Morgan</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55,992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112,992</w:t>
            </w:r>
          </w:p>
        </w:tc>
      </w:tr>
      <w:tr>
        <w:trPr>
          <w:trHeight w:val="27"/>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22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John L. Mulligan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r>
    </w:tbl>
    <w:p>
      <w:pPr>
        <w:jc w:val="both"/>
        <w:ind w:left="660" w:right="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an employee of the Company, Reece A. Kurtenbach, the President and Chief Executive Officer since September 1, 2013, was a Named Executive Officer during fiscal 2019 and therefore his compensation is included in the appropriate tables within the section of this Proxy Statement entitled "Executive Compensation."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Represents September 6, 2018 grants of 7,151 restricted shares of our common stock to each of the Directors named in the table with a grant date fair value of $55,992, which vest on August 23, 2019 if they are then Directors of the Company. The dollar amounts in this column of the table were computed in accordance with Financial Accounting Standards Board Accounting Standards Codification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("ASC 718").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Retired from the Board effective September 7, 2018.</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Independent Director Fees. </w:t>
      </w:r>
      <w:r>
        <w:rPr>
          <w:rFonts w:ascii="Arial" w:cs="Arial" w:eastAsia="Arial" w:hAnsi="Arial"/>
          <w:sz w:val="18"/>
          <w:szCs w:val="18"/>
          <w:color w:val="auto"/>
        </w:rPr>
        <w:t>For fiscal 2019, each independent Director received an annual retainer of $39,000. In addition, each independent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$2,500 per meeting for each Board of Directors meeting attended in person. The following table describes the annual retainers paid to each independent director for Committee membership participation: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Other</w:t>
            </w:r>
          </w:p>
        </w:tc>
      </w:tr>
      <w:tr>
        <w:trPr>
          <w:trHeight w:val="230"/>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Chair</w:t>
            </w: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3"/>
              </w:rPr>
              <w:t>Members</w:t>
            </w:r>
          </w:p>
        </w:tc>
      </w:tr>
      <w:tr>
        <w:trPr>
          <w:trHeight w:val="27"/>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Committee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Compensation Committee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Nominating and Corporate Governance Committee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Lead Independent Director</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retainers for Board and Committee service are included in the table above entitled "Fiscal Year 2019 Director Compensation".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Stock Ownership and Retention Guidelines. </w:t>
      </w:r>
      <w:r>
        <w:rPr>
          <w:rFonts w:ascii="Arial" w:cs="Arial" w:eastAsia="Arial" w:hAnsi="Arial"/>
          <w:sz w:val="16"/>
          <w:szCs w:val="16"/>
          <w:color w:val="auto"/>
        </w:rPr>
        <w:t>The Board of Directors has implemented stock ownership guidelines for Directors. Under these guidelines,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Director is expected to achieve a target of 5,000 shares owned, excluding shares subject to options. Directors have five years from the date they first become a member of the Board of Directors to achieve this level of ownership. As of the Record Date, all directors were in compliance with these guidelines.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sets forth information as of July 8, 2019 about our executive officers who are not Directors.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Executive</w:t>
            </w: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Officer</w:t>
            </w:r>
          </w:p>
        </w:tc>
      </w:tr>
      <w:tr>
        <w:trPr>
          <w:trHeight w:val="230"/>
        </w:trPr>
        <w:tc>
          <w:tcPr>
            <w:tcW w:w="2500" w:type="dxa"/>
            <w:vAlign w:val="bottom"/>
            <w:gridSpan w:val="2"/>
          </w:tcPr>
          <w:p>
            <w:pPr>
              <w:ind w:left="940"/>
              <w:spacing w:after="0"/>
              <w:rPr>
                <w:sz w:val="20"/>
                <w:szCs w:val="20"/>
                <w:color w:val="auto"/>
              </w:rPr>
            </w:pPr>
            <w:r>
              <w:rPr>
                <w:rFonts w:ascii="Arial" w:cs="Arial" w:eastAsia="Arial" w:hAnsi="Arial"/>
                <w:sz w:val="18"/>
                <w:szCs w:val="18"/>
                <w:color w:val="auto"/>
              </w:rPr>
              <w:t>Name</w:t>
            </w:r>
          </w:p>
        </w:tc>
        <w:tc>
          <w:tcPr>
            <w:tcW w:w="5400" w:type="dxa"/>
            <w:vAlign w:val="bottom"/>
            <w:gridSpan w:val="2"/>
          </w:tcPr>
          <w:p>
            <w:pPr>
              <w:ind w:left="1580"/>
              <w:spacing w:after="0"/>
              <w:rPr>
                <w:sz w:val="20"/>
                <w:szCs w:val="20"/>
                <w:color w:val="auto"/>
              </w:rPr>
            </w:pPr>
            <w:r>
              <w:rPr>
                <w:rFonts w:ascii="Arial" w:cs="Arial" w:eastAsia="Arial" w:hAnsi="Arial"/>
                <w:sz w:val="18"/>
                <w:szCs w:val="18"/>
                <w:color w:val="auto"/>
              </w:rPr>
              <w:t>Positions with the Company</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Age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Since</w:t>
            </w:r>
          </w:p>
        </w:tc>
      </w:tr>
      <w:tr>
        <w:trPr>
          <w:trHeight w:val="27"/>
        </w:trPr>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Sheila M. Anderson</w:t>
            </w:r>
          </w:p>
        </w:tc>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 and Treasurer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Bradley T. Wiemann</w:t>
            </w: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2004</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J. Kurtenbach</w:t>
            </w:r>
          </w:p>
        </w:tc>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of Manufacturing</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Carla S. Gatzke</w:t>
            </w: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Vice President of Human Resources and Secretary</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Sheila M. Anderson </w:t>
      </w:r>
      <w:r>
        <w:rPr>
          <w:rFonts w:ascii="Arial" w:cs="Arial" w:eastAsia="Arial" w:hAnsi="Arial"/>
          <w:sz w:val="17"/>
          <w:szCs w:val="17"/>
          <w:color w:val="auto"/>
        </w:rPr>
        <w:t>joined the Company in 2002 as a senior accountant after spending a number of years working as a certified public accountant in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and auditing firms and as a senior accountant at a private company. In 2006, Ms. Anderson was named Corporate Controller and, in 2012, she was named Chief Financial Officer and Treasurer. Ms. Anderson holds a Master of Business Administration degree from the University of South Dakota and a Bachelor of Science degree in Accounting from Southwest Minnesota State University.</w:t>
      </w:r>
    </w:p>
    <w:p>
      <w:pPr>
        <w:sectPr>
          <w:pgSz w:w="11900" w:h="16838" w:orient="portrait"/>
          <w:cols w:equalWidth="0" w:num="1">
            <w:col w:w="11420"/>
          </w:cols>
          <w:pgMar w:left="240" w:top="125"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Bradley T. Wiemann </w:t>
      </w:r>
      <w:r>
        <w:rPr>
          <w:rFonts w:ascii="Arial" w:cs="Arial" w:eastAsia="Arial" w:hAnsi="Arial"/>
          <w:sz w:val="17"/>
          <w:szCs w:val="17"/>
          <w:color w:val="auto"/>
        </w:rPr>
        <w:t>joined the Company in 1993 as a lead design engineer after spending a number of years with Rockwell International Corporation, where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 was involved in flight control systems. In 1994, he became manager of the Company's engineering groups focused on commercial and transportation product design. In 2001, his responsibilities expanded to include sales and service for commercial and transportation. In 2004, he was appointed Vice President, Commercial and Transportation and, in 2012, he was named Executive Vice President. In 2013, his responsibilities expanded to include sales and service for the High School Park and Recreation business unit. Mr. Wiemann holds a Master of Science degree in electrical and computer engineering from the University of Iowa and a Bachelor of Science degree in electrical engineering from South Dakota State University.</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Matthew J. Kurtenbach </w:t>
      </w:r>
      <w:r>
        <w:rPr>
          <w:rFonts w:ascii="Arial" w:cs="Arial" w:eastAsia="Arial" w:hAnsi="Arial"/>
          <w:sz w:val="17"/>
          <w:szCs w:val="17"/>
          <w:color w:val="auto"/>
        </w:rPr>
        <w:t>joined the Company in 1992 as a manager in manufacturing, and he subsequently served as a project manager for sports projects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project manager for the Company's process improvements and facility expansions. In 2001, he was named Manufacturing Manager and, in 2006, he was appointed Vice President of Manufacturing. Also in 2006, he was charged with leading the Company's transformation to lean manufacturing and, in 2013, he gained responsibility for repair center operations associated with after-sales services. Mr. Kurtenbach holds a Master of Science degree in industrial management and a Bachelor of Science degree in electrical engineering from South Dakota State University. Mr. Kurtenbach is the son of Aelred J. Kurtenbach and the brother of Reece A. Kurtenbach and Carla S. Gatzke.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Carla S. Gatzke </w:t>
      </w:r>
      <w:r>
        <w:rPr>
          <w:rFonts w:ascii="Arial" w:cs="Arial" w:eastAsia="Arial" w:hAnsi="Arial"/>
          <w:sz w:val="17"/>
          <w:szCs w:val="17"/>
          <w:color w:val="auto"/>
        </w:rPr>
        <w:t>joined the Company in 1984 in Systems Sales Engineering where she was responsible for sales and project management for legislative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systems. In 1988, Ms. Gatzke took an 18 month leave of absence to attend and teach at Drake University. In 1990, Ms. Gatzke returned to Daktronics and managed Star Circuits, which manufactures printed circuit boards. In 1992, she became responsible for Human Resources and, in 1996, she added the responsibility of Information and Technology and Systems. In 2006, the responsibility of the Company's Human Resources and Information and Technology and Systems departments separated, and Ms. Gatzke was appointed Vice President of Human Resources. Ms. Gatzke has also served as Corporate Secretary since 1994. Ms. Gatzke holds a Master of Business Administration degree from Drake University and a Bachelor of Science degree in electrical engineering with minors in math and computer science from South Dakota State University. Ms. Gatzke is the daughter of Aelred J. Kurtenbach and the sister of Reece A. Kurtenbach and Matthew J. Kurtenbach.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Securities Exchange Act of 1934 requires that our Directors, executive officers, and persons who own more than 10 percent of a registered class of our equity securities ("10% Shareholders") file with the SEC initial reports of ownership on Form 3 and reports of change in ownership on Form 4 or Form 5. To our knowledge, based solely on a review of such forms filed with the SEC and on written representations from our reporting persons, we believe all required reports were filed on a timely basis during fiscal 2019.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discussion should be read in conjunction with the various tables and accompanying narrative disclosure appearing in this Proxy Statement. Those tables and narrative disclosure provide more detailed information regarding the compensation and benefits awarded to, earned by, or paid to our Named Executive Officers, as well as the plans in which they are eligible to participate. At last year’s annual meeting, our shareholders provided an advisory "say-on-pay" vote indicating their overwhelming support of the Company’s compensation program for our Named Executive Officers. Our shareholders had previously voted that such say-on-pay votes be held annually. As a result, Proposal Two presented in this Proxy Statement seeks our shareholders’ input on our executive compensation program. This Compensation Discussion and Analysis, the compensation tables, and the narrative disclosures that accompany the tables provide information that will assist our shareholders in deciding how to vote on Proposal Two.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executive compensation program, developed by management and approved by the Compensation Committee of the Board of Directors (the "Committee"), is intended to be simple (easily understood) and team-based, focused on a few key performance metrics, and balanced among:</w:t>
      </w:r>
    </w:p>
    <w:p>
      <w:pPr>
        <w:spacing w:after="0" w:line="16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Employees, managers and executives;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long-term and short-term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and stock performance;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and equity compensation.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program is designed to align the interests of the executive team with the interests of our shareholders. It uses salary, benefits, and non-equity-based and equity-based incentive plans to achieve these goals, with a focus on tying compensation to corporate performance. The retention of top talent and the achievement of corporate objectives measure the effectiveness of our compensation program.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Company's financial performance for the fiscal year ended April 27, 2019 included an increase in orders and a decrease in sales as compared to fiscal 2018. Orders increased in the Commercial, High School Park and Recreation, and Transportation business units and decreased in the Live Events and International business unit. Commercial orders increased primarily due to activity in the spectacular market in Times Square, Las Vegas, and other unique locations. In addition, Commercial orders grew in the out-of-home ("OOH") segment as a result of higher demand for digital billboard replacements, new digital billboard installations, and to securing a multimillion-dollar OOH airport installation. High School Park and Recreation orders grew as the market demand continued for video products and control system solutions as well as on-going success selling marquees and scoring systems. Historically, video projects have a larger average selling price than traditional scoreboard sales in this business unit. Transportation orders grew in both intelligent transportation systems and tolling applications as state transportation departments and private public partnerships continue to invest in technology to better inform travelers, manage transport systems, and collect revenues. We had continued order success throughout most of our Live Events sports and entertainment markets but had lower order volume in professional sports as there were fewer projects in the market as well as strong competition. International business unit orders were down due to the general variations in timing of large contracts and account-based order placements. Net sales increased in the Commercial, Transportation, High School Park and Recreation, and International business units. This change in sales correlates to order levels and to the timing of converting orders and backlog into sales. The timing of order conversion is based on customer driven delivery schedules. Live Events business unit sales declined for the same reasons as the decline in orders. Financial metrics for fiscal 2019 included a 0.3 percent negative return on assets and a 0.5 percent negative return on beginning shareholders' equity. In fiscal 2019 compared to fiscal 2018, sales decreased 6.7 percent and operating income decreased by 137.9 percent. In fiscal 2019, operating loss as a percent of sales decreased to 0.8 percent as compared to an operating income as a percentage of sales of 2.0 percent in fiscal 2018.</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Changes to executive compensation during the current fiscal year were mainly due to maintaining the competitiveness of our compensation program.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Philosophy and Objectives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Compensation Committee has the responsibility for guiding our executive compensation philosophy and overseeing the design of our executive compensation programs. In arriving at the appropriate levels of pay and incentive opportunities, the Committee reviews our compensation philosophy and trends in our peer group to assure that our executive compensation program is competitive to effectively recruit and retain talented management, focus our executives to achieve short and long-range corporate objectives, and align the interests of the executives with the interests of our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bases its executive compensation decisions on the following philosophies:</w:t>
      </w:r>
    </w:p>
    <w:p>
      <w:pPr>
        <w:spacing w:after="0" w:line="225" w:lineRule="exact"/>
        <w:rPr>
          <w:sz w:val="20"/>
          <w:szCs w:val="20"/>
          <w:color w:val="auto"/>
        </w:rPr>
      </w:pPr>
    </w:p>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 compensation should be appropriate to recruit and retain high-performing executives successfully, taking into account executive pay at comparable companies and our pay practices for non-executive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individual executive's compensation should be based on the executive's responsibility level, capability and performance.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executive team's compensation should include a significant component that is based on the Company's overall financial performance to encourage the executive team to focus on the overall success of the Company.</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executives should receive few perquisites, if any, other than those provided to all employees.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annually reviews each executive's compensation. The Committee has determined that our executives' compensation will include base salary, non-equity-based incentive compensation, and equity-based incentive pay in the form of options and restricted stock units. We view the various components of compensation as related but distinct.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appropriate level for each executive compensation component based in part, but not exclusively, on the following factors:</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base salary reflects the pay the Committee believes is appropriate for each executive's responsibility, capability and performance. The non-equity-based incentive compensation is designed to focus the executive team on the Company-wide goals and objectives, which focus on growth in revenue and reductions in costs in order to achieve and sustain a target operating margin. The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the amount of which is based on our financial results. The equity-based compensation plan is designed to encourage executives to also own stock in the Company, and thereby align executives' interests with our shareholders' interests.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considers both internal equity and market competitiveness. We compare executive pay to the compensation of other key managers and employees at the Company. As described below, we also compare overall executive compensation to comparison companies and to salary database information. The Committee believes that equitable and competitive compensation, as well as leader development and promotion-from-within, are essential to retain high-performing executives. Our currently employed non-Director Named Executive Officers have an average of 26.4 years of experience with Daktronics.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2019, our Named Executive Officers were Reece A. Kurtenbach, President and Chief Executive Officer; Sheila M. Anderson, Chief Financial Officer and Treasurer; Bradley T. Wiemann, Executive Vice President; Matthew J. Kurtenbach, Vice President of Manufacturing; and Carla S. Gatzke, Vice President of Human Resources and Secretary.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Chief Executive Officer and Vice President of Human Resources present to the Compensation Committee their recommendations for the salary, non-equity-based incentive compensation, and equity-based compensation grants for the Named Executive Officers and selected other executives. The Committee considers these recommendations and accepts or adjusts them, in whole or in part. The Chief Executive Officer and Vice President of Human Resources are not present for the discussions or determinations about their own compensation, but they generally participate in the discussions regarding other executive officers’ compensation. The Chair of the Compensation Committee presents the Committee’s findings regarding compensation for executive officers to the Board of Directors. Based on such input, the Board of Directors reviews and generally approves and adopts the Committee's recommendations regarding the executives' compensation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making decisions regarding elements and amounts of compensation, the Committee considers the compensation paid to executive officers at similar levels and responsibilities. These are public companies in our geographical area (South Dakota, North Dakota, Minnesota, Iowa, and Nebraska) with revenues of between $250 million and $1 billion and with a focus on manufacturing or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list sets forth the companies comprising our peer group list:</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Apogee Enterprises, Inc.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Hawkins,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Badger Meter,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EVINE Live Inc.</w:t>
      </w:r>
    </w:p>
    <w:p>
      <w:pPr>
        <w:spacing w:after="0" w:line="75"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Bio-Techne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Tennant Company</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Winnebago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Lindsay Corporation</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Raven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Actuant Corporation</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Graco,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MTS Systems Corporation</w:t>
      </w:r>
    </w:p>
    <w:p>
      <w:pPr>
        <w:spacing w:after="0" w:line="200"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spacing w:after="0" w:line="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Committee also considers compensation data from Salary.com and the Economic Research Institute, which takes into consideration company size, geography, base salary and variable cash compensation but excludes equity incentive compensation information.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believes that its executive compensation is sufficiently conservative, as well as appropriately competitive, so as not to require an external consultant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fiscal 2019, the principal components of our executive compensation program consisted of the following, each of which is addressed below in greater detail:</w:t>
      </w:r>
    </w:p>
    <w:p>
      <w:pPr>
        <w:spacing w:after="0" w:line="18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non-equity-based incentive compensation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equity-based compensation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benefits.</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u w:val="single" w:color="auto"/>
          <w:color w:val="auto"/>
        </w:rPr>
        <w:t>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The base salary reflects each executive's responsibility, capability and performance. Base salary is determined based on the benchmarking data</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executive's responsibilities, the executive's experience, and the executive's performance and the impact of such performance on our business results.</w:t>
      </w:r>
    </w:p>
    <w:p>
      <w:pPr>
        <w:spacing w:after="0" w:line="12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Committee also takes into account the Company's financial performance, and it has in the past limited executive pay changes based on business or economic conditions. The Committee also considers the recommendations of the Chief Executive Officer for other Named Executive Officers.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u w:val="single" w:color="auto"/>
          <w:color w:val="auto"/>
        </w:rPr>
        <w:t>Non-Equity-Based Incentive Compensation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 of our non-equity-based incentive compensation plan is to focus the executive team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Company-wide goals and objectives of growth in revenue and reductions in costs in order to achieve and sustain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target operating margin. The non-equity-based incentive compensation plan is a formula-based variable cash compensation plan, with no payouts if operating margin is less than 2.5 percent, targeted payouts at a 10 percent operating margin, and maximum payouts at a 12.5 percent operating margin. The targeted level of variable cash compensation varies from an amount equal to five months of base salary to eight months of base salary for each executive officer. The maximum level of the variable cash compensation is 120 percent of the targeted level of variable cash compensation.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level of non-equity compensation takes into account other non-equity incentive compensation plans at comparable companies, as well as the Committee's preference for a material level of executive compensation that varies with the Company's performance. The Compensation Committee selected the operating margin measure for the formula because they believe it is the most appropriate indicator of performance that will drive long-term shareholder value, and it is consistent with our corporate strategies.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various payout percentages based on operating margins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6"/>
              </w:rPr>
              <w:t>Percentage of Targeted</w:t>
            </w:r>
          </w:p>
        </w:tc>
      </w:t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Non-equity Incentive</w:t>
            </w:r>
          </w:p>
        </w:tc>
      </w:tr>
      <w:tr>
        <w:trPr>
          <w:trHeight w:val="230"/>
        </w:trPr>
        <w:tc>
          <w:tcPr>
            <w:tcW w:w="2320" w:type="dxa"/>
            <w:vAlign w:val="bottom"/>
            <w:gridSpan w:val="2"/>
          </w:tcPr>
          <w:p>
            <w:pPr>
              <w:ind w:left="400"/>
              <w:spacing w:after="0"/>
              <w:rPr>
                <w:sz w:val="20"/>
                <w:szCs w:val="20"/>
                <w:color w:val="auto"/>
              </w:rPr>
            </w:pPr>
            <w:r>
              <w:rPr>
                <w:rFonts w:ascii="Arial" w:cs="Arial" w:eastAsia="Arial" w:hAnsi="Arial"/>
                <w:sz w:val="18"/>
                <w:szCs w:val="18"/>
                <w:color w:val="auto"/>
              </w:rPr>
              <w:t>Operating Margin</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Compensation</w:t>
            </w:r>
          </w:p>
        </w:tc>
      </w:tr>
      <w:tr>
        <w:trPr>
          <w:trHeight w:val="27"/>
        </w:trPr>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Less than 2.5%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2.5 to 5.0%</w:t>
            </w:r>
          </w:p>
        </w:tc>
        <w:tc>
          <w:tcPr>
            <w:tcW w:w="2120" w:type="dxa"/>
            <w:vAlign w:val="bottom"/>
          </w:tcPr>
          <w:p>
            <w:pPr>
              <w:jc w:val="right"/>
              <w:spacing w:after="0"/>
              <w:rPr>
                <w:sz w:val="20"/>
                <w:szCs w:val="20"/>
                <w:color w:val="auto"/>
              </w:rPr>
            </w:pPr>
            <w:r>
              <w:rPr>
                <w:rFonts w:ascii="Arial" w:cs="Arial" w:eastAsia="Arial" w:hAnsi="Arial"/>
                <w:sz w:val="18"/>
                <w:szCs w:val="18"/>
                <w:color w:val="auto"/>
              </w:rPr>
              <w:t>0.0 to 25.0%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 to 7.5%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to 60.0%</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7.5 to 10.0%</w:t>
            </w:r>
          </w:p>
        </w:tc>
        <w:tc>
          <w:tcPr>
            <w:tcW w:w="2120" w:type="dxa"/>
            <w:vAlign w:val="bottom"/>
          </w:tcPr>
          <w:p>
            <w:pPr>
              <w:jc w:val="right"/>
              <w:spacing w:after="0"/>
              <w:rPr>
                <w:sz w:val="20"/>
                <w:szCs w:val="20"/>
                <w:color w:val="auto"/>
              </w:rPr>
            </w:pPr>
            <w:r>
              <w:rPr>
                <w:rFonts w:ascii="Arial" w:cs="Arial" w:eastAsia="Arial" w:hAnsi="Arial"/>
                <w:sz w:val="18"/>
                <w:szCs w:val="18"/>
                <w:color w:val="auto"/>
              </w:rPr>
              <w:t>60.0 to 100.0%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 to 12.5%</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to 120.0%</w:t>
            </w:r>
          </w:p>
        </w:tc>
      </w:tr>
      <w:tr>
        <w:trPr>
          <w:trHeight w:val="27"/>
        </w:trPr>
        <w:tc>
          <w:tcPr>
            <w:tcW w:w="2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follow applicable laws and regulations regarding the recovery of any non-equity-based compensation, other incentive-based or equity-based compensation, and profits realized from the sale of securities resulting from any misconduct on the part of an executive officer.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2019, the Named Executive Officers were eligible for non-equity-based incentive compensation if the maximum payout of 120 percent of target was achieved as follows: Chief Executive Officer - 80 percent of his base salary; Chief Financial Officer - 55 percent of her base salary; Vice President and Secretary - 50 percent of her base salary; and all other Named Executives Officers - 65 percent of their base salaries. For fiscal 2019, there was no non-equity-based incentive compensation paid out to any Named Executive Officer. For fiscal 2018, there was no non-equity-based incentive compensation paid out to any Named Executive Officer. For fiscal 2017, the operating margin resulted in a non-equity incentive compensation payout of approximately 1 percent of the target, or 1 percent of the maximum payouts.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Equity-Based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Grants of equity awards offer long-term incentives to our executives and align the interests of employees more closely</w:t>
      </w:r>
      <w:r>
        <w:rPr>
          <w:rFonts w:ascii="Arial" w:cs="Arial" w:eastAsia="Arial" w:hAnsi="Arial"/>
          <w:sz w:val="18"/>
          <w:szCs w:val="18"/>
          <w:i w:val="1"/>
          <w:iCs w:val="1"/>
          <w:color w:val="auto"/>
        </w:rPr>
        <w:t xml:space="preserve"> </w:t>
      </w:r>
      <w:r>
        <w:rPr>
          <w:rFonts w:ascii="Arial" w:cs="Arial" w:eastAsia="Arial" w:hAnsi="Arial"/>
          <w:sz w:val="18"/>
          <w:szCs w:val="18"/>
          <w:color w:val="auto"/>
        </w:rPr>
        <w:t>with those of our shareholders.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Each year, the Board of Directors, based on recommendations of the Compensation Committee, determines the number of shares that may be subject to equity awards for all employees, including the Named Executive Officers. The total number of shares subject to equity awards is constrained by our Board’s desire to limit dilution to shareholders to a level consistent with our historical levels, which generally approximate a dilution of one percent, and to limit the total grant date fair value of the equity awards to a targeted level. The one percent dilution is based on an assessment of a conservative amount relative to high-tech growth companies. The grant date fair value is based on a comparison to the prior fiscal year's expense and the current year’s estimate of a percentage of total payroll expense. The Compensation Committee and the Board of Directors generally follow a practice of calculating the equity grant valuation limit based on the share price on the date of the Compensation Committee meeting at which the equity grants are determined by the Committee for recommendation to the Board to assure that the valuation limit is consistent with the approximate dilution limit of one percent. The Compensation Committee then allocates these equity grants to the Named Executive Officers, and the Chief Executive Officer allocates equity grants to selected employees. To facilitate the grant of stock options to employees and other executive officers, the Board of Directors authorized the Chief Executive Officer to grant individual stock options and restricted stock units during fiscal 2019, subject to the guidelines and limitations imposed by the Compensation Committee.</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Committee also considers trends in equity-based compensation, the mix of the type of equity grants, and the number of our shares that are available for equity grants. The Compensation Committee and the Board of Directors also generally follow a practice of allocating similar equity grants to each of the Named Executive Officers, with some variation based on responsibilities and experience. The allocation to the Named Executive Officers is based on historical grants, the value of past grants, and the Company’s performance, all of which are subject to the objectives listed under the section of this Proxy Statement entitled "Compensation Discussion and Analysis - Role of Compensation Committee, Philosophy and Objectives."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2019, the Compensation Committee determined that each Named Executive Officer would be allocated equity grants for approximately 8,750 shares of common stock, with a ratio of 2.5 to 1 of incentive stock options to restricted stock units. The Committee determined that Mr. Reece A. Kurtenbach should receive a grant of approximately twice the amount of the other Named Executive Officers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facilitate his ownership of additional stock of the Company as the CEO and to reflect a ratio of grants to the CEO compared to the grant to Named Executive Officers that is more similar to the ratio in the benchmarking data. The Committee determined that the valuation of the equity grants, based on the grant date fair value as determined under ASC 718, would be limited to approximately $2.5 million for all employees, including the Named Executive Officers. The value of the restricted stock units was equal to 119.8 percent of the value of the stock options for executives, as determined under the fair value provisions of ASC 718. For fiscal 2019, all equity grants to employees were made under the Daktronics, Inc. 2015 Stock Incentive Plan (the "2015 Plan").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 and the Compensation Committee approve equity grants for Named Executive Officers and other employees annually in their summer meetings to coincide with the Director equity grants and the annual meeting of shareholders. Equity awards are not typically granted at other times of the year for employees, including new employees. The exercise price of all stock options granted is equal to the fair market value of the Company’s common stock as reported on The NASDAQ Global Select Market on the date of grant, which is defined in the Daktronics, Inc. 2007 Stock Incentive Plan (the "2007 Plan") and the 2015 Plan as the closing price of the common stock as reported on The NASDAQ Global Select Market on the date of grant. All options also contain five-year vesting provisions, with 20 percent of the shares underlying the stock option vesting each year following the date of grant. The restricted stock units also contain a five-year vesting provision, with 20 percent of the restricted stock units vesting each year following the date of grant.</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Named Executive Officers are eligible for all benefits generally available to our full-time employees. We do not provide pension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health coverage, or similar benefits for our executives or employees.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employees, including the Named Executive Officers, are entitled to participate in the 401(k) Plan, which is qualified under Section 401(k) of the Internal Revenue Code (the "Code"). At the discretion of the Board of Directors, we may make matching contributions equal to a percentage of the salary deduction contributions or other discretionary amounts. We paid $2.8 million in matching and discretionary contributions in fiscal 2019, $2.6 million in fiscal 2018, and $2.5 million in fiscal 2017. Contributions to the 401(k) Plan on behalf of the Named Executive Officers are described in the table entitled "Summary Compensation Table – Fiscal 2019."</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 employees, including the Named Executive Officers, are entitled to participate in the Daktronics, Inc. Employee Stock Purchase Plan, or ESPP, which is intended to qualify under Section 423 of the Code. The ESPP allows employees to purchase shares of our common stock, subject to annual limitations, at a price equal to 85 percent of the lower of the fair market value of the common stock at the beginning or the end of each six-month offering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Treatment</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account for equity-based compensation paid to employees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promulgated by the Financial Accounting Standards Board,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option awards, we generally can deduct the gain recognized by employees and Directors from the exercise of non-qualified options. However, to the extent that an option is an incentive stock option, we cannot deduct the gain recognized by the optionee upon exercise of the option if there is no disqualifying disposition by the optionee.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restricted stock awards, we generally can deduct the fair market value of the shares vested on the vesting date. Alternatively, if the recipient were to make an election under Section 83(b) of the Code, we would be entitled to a deduction on the date of grant equal to the value of the restricted stock on the date of grant.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162(m) of the Code generally disallows a tax deduction to a public company for compensation in excess of $1 million paid to the company's chief executive officer and four other most highly-paid executive officers. Qualifying performance-based compensation will not be subject to the deduction limitation if certain requirements are met. Because the potential amount of base salary and non-equity-based incentive compensation that each of our executive officers can earn is less than $1 million, Section 162(m) has not been material to our compensation decisions.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Compensation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Byron J. Anderson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P. Friel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fiscal years ended April 27, 2019, April 28, 2018 and April 29, 2017, the following table sets forth information about compensation awarded to, earned by or paid to our principal executive officer and principal financial officer and our next three most highly compensated executive officers whose total compensation was greater than $100,000 for the fiscal year ended April 27, 2019, all of whom constitute our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12"/>
          </w:tcPr>
          <w:p>
            <w:pPr>
              <w:ind w:left="40"/>
              <w:spacing w:after="0"/>
              <w:rPr>
                <w:sz w:val="20"/>
                <w:szCs w:val="20"/>
                <w:color w:val="auto"/>
              </w:rPr>
            </w:pPr>
            <w:r>
              <w:rPr>
                <w:rFonts w:ascii="Arial" w:cs="Arial" w:eastAsia="Arial" w:hAnsi="Arial"/>
                <w:sz w:val="18"/>
                <w:szCs w:val="18"/>
                <w:b w:val="1"/>
                <w:bCs w:val="1"/>
                <w:color w:val="auto"/>
              </w:rPr>
              <w:t>SUMMARY COMPENSATION TABLE – FISCAL 2019</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8"/>
              </w:rPr>
              <w:t>Stock</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Non-Equity</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4"/>
              </w:rPr>
              <w:t>Option</w:t>
            </w:r>
          </w:p>
        </w:tc>
        <w:tc>
          <w:tcPr>
            <w:tcW w:w="14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1"/>
              </w:rPr>
              <w:t>Incentive Plan</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9"/>
              </w:rPr>
              <w:t>Awards</w:t>
            </w: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91"/>
              </w:rPr>
              <w:t>Awards ($)</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1"/>
              </w:rPr>
              <w:t>Compensation($)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60" w:type="dxa"/>
            <w:vAlign w:val="bottom"/>
            <w:vMerge w:val="restart"/>
          </w:tcPr>
          <w:p>
            <w:pPr>
              <w:ind w:left="300"/>
              <w:spacing w:after="0"/>
              <w:rPr>
                <w:sz w:val="20"/>
                <w:szCs w:val="20"/>
                <w:color w:val="auto"/>
              </w:rPr>
            </w:pPr>
            <w:r>
              <w:rPr>
                <w:rFonts w:ascii="Arial" w:cs="Arial" w:eastAsia="Arial" w:hAnsi="Arial"/>
                <w:sz w:val="18"/>
                <w:szCs w:val="18"/>
                <w:color w:val="auto"/>
              </w:rPr>
              <w:t>Name and Principal Position</w:t>
            </w: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8"/>
                <w:szCs w:val="18"/>
                <w:color w:val="auto"/>
              </w:rPr>
              <w:t>Year</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Salary($)</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restart"/>
          </w:tcPr>
          <w:p>
            <w:pPr>
              <w:jc w:val="center"/>
              <w:ind w:right="50"/>
              <w:spacing w:after="0" w:line="257" w:lineRule="exact"/>
              <w:rPr>
                <w:sz w:val="20"/>
                <w:szCs w:val="20"/>
                <w:color w:val="auto"/>
              </w:rPr>
            </w:pPr>
            <w:r>
              <w:rPr>
                <w:rFonts w:ascii="Arial" w:cs="Arial" w:eastAsia="Arial" w:hAnsi="Arial"/>
                <w:sz w:val="18"/>
                <w:szCs w:val="18"/>
                <w:color w:val="auto"/>
                <w:w w:val="84"/>
              </w:rPr>
              <w:t xml:space="preserve">($) </w:t>
            </w:r>
            <w:r>
              <w:rPr>
                <w:rFonts w:ascii="Arial" w:cs="Arial" w:eastAsia="Arial" w:hAnsi="Arial"/>
                <w:sz w:val="25"/>
                <w:szCs w:val="25"/>
                <w:color w:val="auto"/>
                <w:w w:val="84"/>
                <w:vertAlign w:val="superscript"/>
              </w:rPr>
              <w:t>(1)</w:t>
            </w:r>
          </w:p>
        </w:tc>
        <w:tc>
          <w:tcPr>
            <w:tcW w:w="1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460" w:type="dxa"/>
            <w:vAlign w:val="bottom"/>
            <w:gridSpan w:val="2"/>
            <w:vMerge w:val="restart"/>
          </w:tcPr>
          <w:p>
            <w:pPr>
              <w:ind w:left="20"/>
              <w:spacing w:after="0" w:line="257" w:lineRule="exact"/>
              <w:rPr>
                <w:sz w:val="20"/>
                <w:szCs w:val="20"/>
                <w:color w:val="auto"/>
              </w:rPr>
            </w:pPr>
            <w:r>
              <w:rPr>
                <w:rFonts w:ascii="Arial" w:cs="Arial" w:eastAsia="Arial" w:hAnsi="Arial"/>
                <w:sz w:val="18"/>
                <w:szCs w:val="18"/>
                <w:color w:val="auto"/>
                <w:w w:val="89"/>
              </w:rPr>
              <w:t>Compensation($)</w:t>
            </w:r>
            <w:r>
              <w:rPr>
                <w:rFonts w:ascii="Arial" w:cs="Arial" w:eastAsia="Arial" w:hAnsi="Arial"/>
                <w:sz w:val="25"/>
                <w:szCs w:val="25"/>
                <w:color w:val="auto"/>
                <w:w w:val="89"/>
                <w:vertAlign w:val="superscript"/>
              </w:rPr>
              <w:t>(4)</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color w:val="auto"/>
                <w:w w:val="93"/>
              </w:rPr>
              <w:t>Total($)</w:t>
            </w:r>
          </w:p>
        </w:tc>
        <w:tc>
          <w:tcPr>
            <w:tcW w:w="0" w:type="dxa"/>
            <w:vAlign w:val="bottom"/>
          </w:tcPr>
          <w:p>
            <w:pPr>
              <w:spacing w:after="0"/>
              <w:rPr>
                <w:sz w:val="1"/>
                <w:szCs w:val="1"/>
                <w:color w:val="auto"/>
              </w:rPr>
            </w:pPr>
          </w:p>
        </w:tc>
      </w:tr>
      <w:tr>
        <w:trPr>
          <w:trHeight w:val="190"/>
        </w:trPr>
        <w:tc>
          <w:tcPr>
            <w:tcW w:w="2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color w:val="auto"/>
                <w:w w:val="87"/>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color w:val="auto"/>
                <w:w w:val="87"/>
              </w:rPr>
              <w:t>(3)</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Reece A. Kurtenbach</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443,846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29,160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516,234</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 and</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427,692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48,660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42,300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526,752</w:t>
            </w:r>
          </w:p>
        </w:tc>
        <w:tc>
          <w:tcPr>
            <w:tcW w:w="0" w:type="dxa"/>
            <w:vAlign w:val="bottom"/>
          </w:tcPr>
          <w:p>
            <w:pPr>
              <w:spacing w:after="0"/>
              <w:rPr>
                <w:sz w:val="1"/>
                <w:szCs w:val="1"/>
                <w:color w:val="auto"/>
              </w:rPr>
            </w:pPr>
          </w:p>
        </w:tc>
      </w:tr>
      <w:tr>
        <w:trPr>
          <w:trHeight w:val="277"/>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407,692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46,440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508,977</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Sheila M. Anderson</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279,354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16,175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13,500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316,252</w:t>
            </w:r>
          </w:p>
        </w:tc>
        <w:tc>
          <w:tcPr>
            <w:tcW w:w="0" w:type="dxa"/>
            <w:vAlign w:val="bottom"/>
          </w:tcPr>
          <w:p>
            <w:pPr>
              <w:spacing w:after="0"/>
              <w:rPr>
                <w:sz w:val="1"/>
                <w:szCs w:val="1"/>
                <w:color w:val="auto"/>
              </w:rPr>
            </w:pPr>
          </w:p>
        </w:tc>
      </w:tr>
      <w:tr>
        <w:trPr>
          <w:trHeight w:val="270"/>
        </w:trPr>
        <w:tc>
          <w:tcPr>
            <w:tcW w:w="266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267,077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24,330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319,698</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250,923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23,220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21,750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303,859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Bradley T. Wiemann</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271,231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308,975</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Vice President</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262,092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315,477</w:t>
            </w:r>
          </w:p>
        </w:tc>
        <w:tc>
          <w:tcPr>
            <w:tcW w:w="0" w:type="dxa"/>
            <w:vAlign w:val="bottom"/>
          </w:tcPr>
          <w:p>
            <w:pPr>
              <w:spacing w:after="0"/>
              <w:rPr>
                <w:sz w:val="1"/>
                <w:szCs w:val="1"/>
                <w:color w:val="auto"/>
              </w:rPr>
            </w:pPr>
          </w:p>
        </w:tc>
      </w:tr>
      <w:tr>
        <w:trPr>
          <w:trHeight w:val="277"/>
        </w:trPr>
        <w:tc>
          <w:tcPr>
            <w:tcW w:w="2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251,015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21,750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304,887</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Matthew J. Kurtenbach</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258,662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16,175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13,500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7,687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296,024</w:t>
            </w:r>
          </w:p>
        </w:tc>
        <w:tc>
          <w:tcPr>
            <w:tcW w:w="0" w:type="dxa"/>
            <w:vAlign w:val="bottom"/>
          </w:tcPr>
          <w:p>
            <w:pPr>
              <w:spacing w:after="0"/>
              <w:rPr>
                <w:sz w:val="1"/>
                <w:szCs w:val="1"/>
                <w:color w:val="auto"/>
              </w:rPr>
            </w:pPr>
          </w:p>
        </w:tc>
      </w:tr>
      <w:tr>
        <w:trPr>
          <w:trHeight w:val="270"/>
        </w:trPr>
        <w:tc>
          <w:tcPr>
            <w:tcW w:w="266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248,554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24,330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7,496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301,530</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237,015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23,220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21,750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291,103</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Carla S. Gatzke</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217,973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254,129</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Vice President and</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210,487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258,504</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Secretary</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204,462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19,923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6,774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253,319</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restricted stock units granted under the 2015 Plan. In accordance with ASC 718, the amount is calculated based on the grant date fair value of the award. Refer to "Note 12. Shareholders' Equity and Share-Based Compensation" of the Notes ot our Consolidated Financial Statements included in our Annual Report on Form 10-K for the fiscal year ended April 27, 2019 for a discussion of the assumptions used in calculating the amount under ASC 718.</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stock options granted under the 2015 Plan. The value of the option awards is calculated based on the grant date fair value of the award in accordance with ASC 718. Refer to "Note 12. Shareholders' Equity and Share-Based Compensation" of the Notes to our Consolidated Financial Statements included in our Annual Report on Form 10-K for the fiscal year ended April 27, 2019 for a discussion of the assumptions used in calculating the amount under ASC 718.</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in this column reflect the total variable cash compensation paid to the Named Executive Officers under the non-equity-based incentive compensation plan. As explained earlier in this Proxy Statement, variable incentive compensation payments are based upon the achievement of certain operating margin targets for fiscal 2017, fiscal 2018 and fiscal 2019.</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matching contributions made by us under the 401(k) Plan, which is intended to qualify under Section 401(k) of the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grants of plan-based awards to the Named Executive Officers during fiscal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gridSpan w:val="8"/>
          </w:tcPr>
          <w:p>
            <w:pPr>
              <w:ind w:left="180"/>
              <w:spacing w:after="0"/>
              <w:rPr>
                <w:sz w:val="20"/>
                <w:szCs w:val="20"/>
                <w:color w:val="auto"/>
              </w:rPr>
            </w:pPr>
            <w:r>
              <w:rPr>
                <w:rFonts w:ascii="Arial" w:cs="Arial" w:eastAsia="Arial" w:hAnsi="Arial"/>
                <w:sz w:val="18"/>
                <w:szCs w:val="18"/>
                <w:b w:val="1"/>
                <w:bCs w:val="1"/>
                <w:color w:val="auto"/>
                <w:w w:val="97"/>
              </w:rPr>
              <w:t>GRANTS OF PLAN-BASED AWARDS — FISCAL 2019</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5"/>
            <w:vMerge w:val="restart"/>
          </w:tcPr>
          <w:p>
            <w:pPr>
              <w:jc w:val="right"/>
              <w:ind w:right="30"/>
              <w:spacing w:after="0"/>
              <w:rPr>
                <w:sz w:val="20"/>
                <w:szCs w:val="20"/>
                <w:color w:val="auto"/>
              </w:rPr>
            </w:pPr>
            <w:r>
              <w:rPr>
                <w:rFonts w:ascii="Arial" w:cs="Arial" w:eastAsia="Arial" w:hAnsi="Arial"/>
                <w:sz w:val="18"/>
                <w:szCs w:val="18"/>
                <w:color w:val="auto"/>
                <w:w w:val="94"/>
              </w:rPr>
              <w:t>Estimated future payouts under non-equity</w:t>
            </w: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All other</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3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stock</w:t>
            </w: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360" w:type="dxa"/>
            <w:vAlign w:val="bottom"/>
            <w:gridSpan w:val="5"/>
            <w:vMerge w:val="restart"/>
          </w:tcPr>
          <w:p>
            <w:pPr>
              <w:jc w:val="right"/>
              <w:ind w:right="710"/>
              <w:spacing w:after="0" w:line="257" w:lineRule="exact"/>
              <w:rPr>
                <w:sz w:val="20"/>
                <w:szCs w:val="20"/>
                <w:color w:val="auto"/>
              </w:rPr>
            </w:pPr>
            <w:r>
              <w:rPr>
                <w:rFonts w:ascii="Arial" w:cs="Arial" w:eastAsia="Arial" w:hAnsi="Arial"/>
                <w:sz w:val="18"/>
                <w:szCs w:val="18"/>
                <w:color w:val="auto"/>
              </w:rPr>
              <w:t>incentive plan awards</w:t>
            </w:r>
            <w:r>
              <w:rPr>
                <w:rFonts w:ascii="Arial" w:cs="Arial" w:eastAsia="Arial" w:hAnsi="Arial"/>
                <w:sz w:val="25"/>
                <w:szCs w:val="25"/>
                <w:color w:val="auto"/>
                <w:vertAlign w:val="superscript"/>
              </w:rPr>
              <w:t>(1)</w:t>
            </w: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60" w:type="dxa"/>
            <w:vAlign w:val="bottom"/>
            <w:tcBorders>
              <w:bottom w:val="single" w:sz="8" w:color="auto"/>
            </w:tcBorders>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awards:</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6"/>
              </w:rPr>
              <w:t>All other option</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Exercise or</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9"/>
              </w:rPr>
              <w:t>Grant date</w:t>
            </w:r>
          </w:p>
        </w:tc>
        <w:tc>
          <w:tcPr>
            <w:tcW w:w="0" w:type="dxa"/>
            <w:vAlign w:val="bottom"/>
          </w:tcPr>
          <w:p>
            <w:pPr>
              <w:spacing w:after="0"/>
              <w:rPr>
                <w:sz w:val="1"/>
                <w:szCs w:val="1"/>
                <w:color w:val="auto"/>
              </w:rPr>
            </w:pPr>
          </w:p>
        </w:tc>
      </w:tr>
      <w:tr>
        <w:trPr>
          <w:trHeight w:val="47"/>
        </w:trPr>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number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awards: number</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base price of</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fair value 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shares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of securities</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option</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stock and</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stock or</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underlying</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awards</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option</w:t>
            </w:r>
          </w:p>
        </w:tc>
        <w:tc>
          <w:tcPr>
            <w:tcW w:w="0" w:type="dxa"/>
            <w:vAlign w:val="bottom"/>
          </w:tcPr>
          <w:p>
            <w:pPr>
              <w:spacing w:after="0"/>
              <w:rPr>
                <w:sz w:val="1"/>
                <w:szCs w:val="1"/>
                <w:color w:val="auto"/>
              </w:rPr>
            </w:pPr>
          </w:p>
        </w:tc>
      </w:tr>
      <w:tr>
        <w:trPr>
          <w:trHeight w:val="257"/>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Grant Date</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Threshold($)</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Target($)</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Maximum($)</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8"/>
              </w:rPr>
              <w:t>units (#)</w:t>
            </w:r>
            <w:r>
              <w:rPr>
                <w:rFonts w:ascii="Arial" w:cs="Arial" w:eastAsia="Arial" w:hAnsi="Arial"/>
                <w:sz w:val="25"/>
                <w:szCs w:val="25"/>
                <w:color w:val="auto"/>
                <w:w w:val="88"/>
                <w:vertAlign w:val="superscript"/>
              </w:rPr>
              <w:t>(2)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8"/>
              </w:rPr>
              <w:t xml:space="preserve">options (#) </w:t>
            </w:r>
            <w:r>
              <w:rPr>
                <w:rFonts w:ascii="Arial" w:cs="Arial" w:eastAsia="Arial" w:hAnsi="Arial"/>
                <w:sz w:val="25"/>
                <w:szCs w:val="25"/>
                <w:color w:val="auto"/>
                <w:w w:val="88"/>
                <w:vertAlign w:val="superscript"/>
              </w:rPr>
              <w:t>(3)</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0"/>
              <w:spacing w:after="0" w:line="257" w:lineRule="exact"/>
              <w:rPr>
                <w:sz w:val="20"/>
                <w:szCs w:val="20"/>
                <w:color w:val="auto"/>
              </w:rPr>
            </w:pPr>
            <w:r>
              <w:rPr>
                <w:rFonts w:ascii="Arial" w:cs="Arial" w:eastAsia="Arial" w:hAnsi="Arial"/>
                <w:sz w:val="18"/>
                <w:szCs w:val="18"/>
                <w:color w:val="auto"/>
                <w:w w:val="95"/>
              </w:rPr>
              <w:t>($/share)</w:t>
            </w:r>
            <w:r>
              <w:rPr>
                <w:rFonts w:ascii="Arial" w:cs="Arial" w:eastAsia="Arial" w:hAnsi="Arial"/>
                <w:sz w:val="25"/>
                <w:szCs w:val="25"/>
                <w:color w:val="auto"/>
                <w:w w:val="95"/>
                <w:vertAlign w:val="superscript"/>
              </w:rPr>
              <w:t>(4)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 xml:space="preserve">awards($) </w:t>
            </w:r>
            <w:r>
              <w:rPr>
                <w:rFonts w:ascii="Arial" w:cs="Arial" w:eastAsia="Arial" w:hAnsi="Arial"/>
                <w:sz w:val="25"/>
                <w:szCs w:val="25"/>
                <w:color w:val="auto"/>
                <w:w w:val="85"/>
                <w:vertAlign w:val="superscript"/>
              </w:rPr>
              <w:t>(5)</w:t>
            </w: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09/06/2018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360,000</w:t>
            </w: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64,098</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09/06/2018</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32,771</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131,083</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157,300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29,675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09/06/2018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37,429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149,717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179,660</w:t>
            </w: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29,675</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Matthew J. Kurtenbach</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09/06/2018</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35,777</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143,108</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171,730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29,675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09/06/2018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93,750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112,500</w:t>
            </w: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29,675</w:t>
            </w: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variable cash compensation under our annual non-equity-based incentive compensation plan. The amounts reflect the minimum payment level, if an award is achieved, the target payment level, and the maximum payment level under the plan. For additional information concerning our annual non-equity-based compensation plan, see the section of this Proxy Statement entitled "Compensation Discussion and Analysis - Elements of Compensation."</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restricted stock units granted to the Named Executive Officers in fiscal 2019 under the 2015 Plan. The units vest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options granted to the Named Executive Officers in fiscal 2019 under the 2015 Plan. The options vest and become exercisable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 of all options was equal to the closing price of the common stock as quoted on The NASDAQ Global Select Market on the date of grant as provided in the 2015 Plan.</w:t>
      </w:r>
    </w:p>
    <w:p>
      <w:pPr>
        <w:jc w:val="both"/>
        <w:ind w:left="660" w:hanging="328"/>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full grant date fair value determined pursuant to ASC 718 as reflected in our financial statements, based on the numbers of shares subject to the options and restricted stock unit awards granted and the closing price of the common stock as quoted on The NASDAQ Global Select Market on the date of grant, which was $7.83 per share on September 6, 2018.</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unexercised options and restricted stock units that have not vested that were held at April 27, 2019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320" w:type="dxa"/>
            <w:vAlign w:val="bottom"/>
            <w:gridSpan w:val="12"/>
          </w:tcPr>
          <w:p>
            <w:pPr>
              <w:ind w:left="940"/>
              <w:spacing w:after="0"/>
              <w:rPr>
                <w:sz w:val="20"/>
                <w:szCs w:val="20"/>
                <w:color w:val="auto"/>
              </w:rPr>
            </w:pPr>
            <w:r>
              <w:rPr>
                <w:rFonts w:ascii="Arial" w:cs="Arial" w:eastAsia="Arial" w:hAnsi="Arial"/>
                <w:sz w:val="18"/>
                <w:szCs w:val="18"/>
                <w:b w:val="1"/>
                <w:bCs w:val="1"/>
                <w:color w:val="auto"/>
              </w:rPr>
              <w:t>OUTSTANDING EQUITY AWARDS AT FISCAL YEAR-END — FISCAL 2019</w:t>
            </w:r>
          </w:p>
        </w:tc>
        <w:tc>
          <w:tcPr>
            <w:tcW w:w="124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Option Awards</w:t>
            </w:r>
            <w:r>
              <w:rPr>
                <w:rFonts w:ascii="Arial" w:cs="Arial" w:eastAsia="Arial" w:hAnsi="Arial"/>
                <w:sz w:val="25"/>
                <w:szCs w:val="25"/>
                <w:color w:val="auto"/>
                <w:w w:val="90"/>
                <w:vertAlign w:val="superscript"/>
              </w:rPr>
              <w:t>(1)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222"/>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Market Value of</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Shares or Units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Shares or Units</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Stock that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Exercise Price</w:t>
            </w:r>
          </w:p>
        </w:tc>
        <w:tc>
          <w:tcPr>
            <w:tcW w:w="10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Option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Have Not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57"/>
        </w:trPr>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Exercisable</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Expiration Date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12/02/2019</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7,155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12/01/2020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11/30/2021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08/22/2022</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8,750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08/22/2023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08/22/2023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09/04/2024</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09/03/2015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09/03/2025</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09/01/2026</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08/31/2017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08/31/2027</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09/06/2018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09/06/2028</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17,400</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127,020</w:t>
            </w:r>
          </w:p>
        </w:tc>
      </w:tr>
      <w:tr>
        <w:trPr>
          <w:trHeight w:val="237"/>
        </w:trPr>
        <w:tc>
          <w:tcPr>
            <w:tcW w:w="1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Sheila M. Anderson</w:t>
            </w:r>
          </w:p>
        </w:tc>
        <w:tc>
          <w:tcPr>
            <w:tcW w:w="12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3,500</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8.65</w:t>
            </w:r>
          </w:p>
        </w:tc>
        <w:tc>
          <w:tcPr>
            <w:tcW w:w="13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14.37</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9.24</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09/12/2012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9.56</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08/22/2013</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6,870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11.05</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08/22/2023</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09/04/2014</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13.31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09/04/2024</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09/03/2015</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4,500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8.51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09/03/2025</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09/01/2016</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9.57</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09/01/2026</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08/31/2017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1,500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9.63</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08/31/2027</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09/06/2018</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6,250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7.83</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09/06/2028</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62,050</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7,155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08/22/2023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09/04/2024</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09/03/2015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09/03/2025</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09/01/2026</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08/31/2017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08/31/2027</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09/06/2018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6,250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09/06/2028</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62,050</w:t>
            </w:r>
          </w:p>
        </w:tc>
      </w:tr>
      <w:tr>
        <w:trPr>
          <w:trHeight w:val="237"/>
        </w:trPr>
        <w:tc>
          <w:tcPr>
            <w:tcW w:w="1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6"/>
              </w:rPr>
              <w:t>Matthew J. Kurtenbach</w:t>
            </w:r>
          </w:p>
        </w:tc>
        <w:tc>
          <w:tcPr>
            <w:tcW w:w="12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8.65</w:t>
            </w:r>
          </w:p>
        </w:tc>
        <w:tc>
          <w:tcPr>
            <w:tcW w:w="13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7,155</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14.37</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9.24</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08/22/2013</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11.05</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08/22/2023</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09/04/2014</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13.31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09/04/2024</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09/03/2015</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4,500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8.51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09/03/2025</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09/01/2016</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9.57</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09/01/2026</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08/31/2017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1,500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9.63</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08/31/2027</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09/06/2018</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6,250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7.83</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09/06/2028</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62,050</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08" w:right="259" w:bottom="676"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08" w:right="259" w:bottom="676"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69"/>
        </w:trPr>
        <w:tc>
          <w:tcPr>
            <w:tcW w:w="1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Option Awards</w:t>
            </w:r>
            <w:r>
              <w:rPr>
                <w:rFonts w:ascii="Arial" w:cs="Arial" w:eastAsia="Arial" w:hAnsi="Arial"/>
                <w:sz w:val="25"/>
                <w:szCs w:val="25"/>
                <w:color w:val="auto"/>
                <w:w w:val="90"/>
                <w:vertAlign w:val="superscript"/>
              </w:rPr>
              <w:t>(1)</w:t>
            </w:r>
          </w:p>
        </w:tc>
        <w:tc>
          <w:tcPr>
            <w:tcW w:w="1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222"/>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Market Value of</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Shares or Units</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Shares or Units</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4"/>
              </w:rPr>
              <w:t>Option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of Stock that</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0"/>
              </w:rPr>
              <w:t>Exercise Price</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Option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Have Not</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57"/>
        </w:trPr>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Exercisable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3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w:t>
            </w:r>
          </w:p>
        </w:tc>
        <w:tc>
          <w:tcPr>
            <w:tcW w:w="14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2"/>
              </w:rPr>
              <w:t>Expiration Date</w:t>
            </w:r>
          </w:p>
        </w:tc>
        <w:tc>
          <w:tcPr>
            <w:tcW w:w="128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32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9,500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8.65</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6,455</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14.37</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10,000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9.24</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10,500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9.51</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6,870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08/22/2023</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5,496</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13.31</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09/04/2024</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09/03/2015</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4,122</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2,748</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8.51</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09/03/2025</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09/01/2016</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2,748</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4,122</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09/01/2026</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08/31/2017</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1,374</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5,496</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9.63</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08/31/2027</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09/06/2018</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6,250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7.83</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09/06/2028</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8,000</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58,400</w:t>
            </w:r>
          </w:p>
        </w:tc>
      </w:tr>
      <w:tr>
        <w:trPr>
          <w:trHeight w:val="20"/>
        </w:trPr>
        <w:tc>
          <w:tcPr>
            <w:tcW w:w="1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603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36" w:lineRule="exact"/>
        <w:rPr>
          <w:sz w:val="20"/>
          <w:szCs w:val="20"/>
          <w:color w:val="auto"/>
        </w:rPr>
      </w:pPr>
    </w:p>
    <w:p>
      <w:pPr>
        <w:ind w:left="66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options vest in equal installments over five years beginning one year after the grant date, but only if the Named Executive Officer is then an employee of the Company, and expire after 10 years.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Restricted stock units vest as to 20 percent of the shares one year after date of grant and as to an additional 20 percent in each succeeding year, but only if the Named Executive Officer is then an employee of the Company.</w:t>
      </w:r>
    </w:p>
    <w:p>
      <w:pPr>
        <w:ind w:left="660" w:hanging="328"/>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Determined by multiplying the Company's $7.30 per share closing stock price as reported on The NASDAQ Global Select Market on April 26, 2019, which was the last business day of fiscal year 2019, by the number of shares subject to the award.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the exercise of stock options by and the vesting of restricted stock awards during fiscal 2019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7060" w:type="dxa"/>
            <w:vAlign w:val="bottom"/>
            <w:gridSpan w:val="8"/>
          </w:tcPr>
          <w:p>
            <w:pPr>
              <w:ind w:left="600"/>
              <w:spacing w:after="0"/>
              <w:rPr>
                <w:sz w:val="20"/>
                <w:szCs w:val="20"/>
                <w:color w:val="auto"/>
              </w:rPr>
            </w:pPr>
            <w:r>
              <w:rPr>
                <w:rFonts w:ascii="Arial" w:cs="Arial" w:eastAsia="Arial" w:hAnsi="Arial"/>
                <w:sz w:val="18"/>
                <w:szCs w:val="18"/>
                <w:b w:val="1"/>
                <w:bCs w:val="1"/>
                <w:color w:val="auto"/>
              </w:rPr>
              <w:t>OPTION EXERCISES AND STOCK VESTED – FISCAL 2019</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gridSpan w:val="4"/>
          </w:tcPr>
          <w:p>
            <w:pPr>
              <w:ind w:left="1320"/>
              <w:spacing w:after="0"/>
              <w:rPr>
                <w:sz w:val="20"/>
                <w:szCs w:val="20"/>
                <w:color w:val="auto"/>
              </w:rPr>
            </w:pPr>
            <w:r>
              <w:rPr>
                <w:rFonts w:ascii="Arial" w:cs="Arial" w:eastAsia="Arial" w:hAnsi="Arial"/>
                <w:sz w:val="18"/>
                <w:szCs w:val="18"/>
                <w:color w:val="auto"/>
              </w:rPr>
              <w:t>Option Awards</w:t>
            </w:r>
          </w:p>
        </w:tc>
        <w:tc>
          <w:tcPr>
            <w:tcW w:w="3620" w:type="dxa"/>
            <w:vAlign w:val="bottom"/>
            <w:gridSpan w:val="3"/>
          </w:tcPr>
          <w:p>
            <w:pPr>
              <w:jc w:val="right"/>
              <w:ind w:right="121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 of Shares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Number of Shares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vMerge w:val="restart"/>
          </w:tcPr>
          <w:p>
            <w:pPr>
              <w:ind w:left="1620"/>
              <w:spacing w:after="0"/>
              <w:rPr>
                <w:sz w:val="20"/>
                <w:szCs w:val="20"/>
                <w:color w:val="auto"/>
              </w:rPr>
            </w:pPr>
            <w:r>
              <w:rPr>
                <w:rFonts w:ascii="Arial" w:cs="Arial" w:eastAsia="Arial" w:hAnsi="Arial"/>
                <w:sz w:val="18"/>
                <w:szCs w:val="18"/>
                <w:color w:val="auto"/>
              </w:rPr>
              <w:t>Name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Acquired on Exercise</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Value Realized on</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Acquired on</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Value Realized on</w:t>
            </w:r>
          </w:p>
        </w:tc>
        <w:tc>
          <w:tcPr>
            <w:tcW w:w="0" w:type="dxa"/>
            <w:vAlign w:val="bottom"/>
          </w:tcPr>
          <w:p>
            <w:pPr>
              <w:spacing w:after="0"/>
              <w:rPr>
                <w:sz w:val="1"/>
                <w:szCs w:val="1"/>
                <w:color w:val="auto"/>
              </w:rPr>
            </w:pPr>
          </w:p>
        </w:tc>
      </w:tr>
      <w:tr>
        <w:trPr>
          <w:trHeight w:val="257"/>
        </w:trPr>
        <w:tc>
          <w:tcPr>
            <w:tcW w:w="266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290"/>
              <w:spacing w:after="0" w:line="257" w:lineRule="exact"/>
              <w:rPr>
                <w:sz w:val="20"/>
                <w:szCs w:val="20"/>
                <w:color w:val="auto"/>
              </w:rPr>
            </w:pPr>
            <w:r>
              <w:rPr>
                <w:rFonts w:ascii="Arial" w:cs="Arial" w:eastAsia="Arial" w:hAnsi="Arial"/>
                <w:sz w:val="18"/>
                <w:szCs w:val="18"/>
                <w:color w:val="auto"/>
              </w:rPr>
              <w:t>Exercise($)</w:t>
            </w:r>
            <w:r>
              <w:rPr>
                <w:rFonts w:ascii="Arial" w:cs="Arial" w:eastAsia="Arial" w:hAnsi="Arial"/>
                <w:sz w:val="25"/>
                <w:szCs w:val="25"/>
                <w:color w:val="auto"/>
                <w:vertAlign w:val="superscript"/>
              </w:rPr>
              <w:t>(1)</w:t>
            </w: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Vesting(#)</w:t>
            </w: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310"/>
              <w:spacing w:after="0" w:line="257" w:lineRule="exact"/>
              <w:rPr>
                <w:sz w:val="20"/>
                <w:szCs w:val="20"/>
                <w:color w:val="auto"/>
              </w:rPr>
            </w:pPr>
            <w:r>
              <w:rPr>
                <w:rFonts w:ascii="Arial" w:cs="Arial" w:eastAsia="Arial" w:hAnsi="Arial"/>
                <w:sz w:val="18"/>
                <w:szCs w:val="18"/>
                <w:color w:val="auto"/>
              </w:rPr>
              <w:t>Vesting($)</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29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3,836</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41,140</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2960" w:type="dxa"/>
            <w:vAlign w:val="bottom"/>
            <w:gridSpan w:val="3"/>
          </w:tcPr>
          <w:p>
            <w:pPr>
              <w:jc w:val="right"/>
              <w:ind w:right="30"/>
              <w:spacing w:after="0"/>
              <w:rPr>
                <w:sz w:val="20"/>
                <w:szCs w:val="20"/>
                <w:color w:val="auto"/>
              </w:rPr>
            </w:pPr>
            <w:r>
              <w:rPr>
                <w:rFonts w:ascii="Arial" w:cs="Arial" w:eastAsia="Arial" w:hAnsi="Arial"/>
                <w:sz w:val="18"/>
                <w:szCs w:val="18"/>
                <w:color w:val="auto"/>
              </w:rPr>
              <w:t>3,500</w:t>
            </w:r>
          </w:p>
        </w:tc>
        <w:tc>
          <w:tcPr>
            <w:tcW w:w="2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2,275</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2,950</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22,066</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29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3,830</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22,440</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Matthew J. Kurtenbach</w:t>
            </w:r>
          </w:p>
        </w:tc>
        <w:tc>
          <w:tcPr>
            <w:tcW w:w="2960" w:type="dxa"/>
            <w:vAlign w:val="bottom"/>
            <w:gridSpan w:val="3"/>
          </w:tcPr>
          <w:p>
            <w:pPr>
              <w:jc w:val="right"/>
              <w:ind w:right="30"/>
              <w:spacing w:after="0"/>
              <w:rPr>
                <w:sz w:val="20"/>
                <w:szCs w:val="20"/>
                <w:color w:val="auto"/>
              </w:rPr>
            </w:pPr>
            <w:r>
              <w:rPr>
                <w:rFonts w:ascii="Arial" w:cs="Arial" w:eastAsia="Arial" w:hAnsi="Arial"/>
                <w:sz w:val="18"/>
                <w:szCs w:val="18"/>
                <w:color w:val="auto"/>
              </w:rPr>
              <w:t>10,500</w:t>
            </w:r>
          </w:p>
        </w:tc>
        <w:tc>
          <w:tcPr>
            <w:tcW w:w="2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4,795</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22,440</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29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5,701</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3,578</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20,570</w:t>
            </w:r>
          </w:p>
        </w:tc>
        <w:tc>
          <w:tcPr>
            <w:tcW w:w="0" w:type="dxa"/>
            <w:vAlign w:val="bottom"/>
          </w:tcPr>
          <w:p>
            <w:pPr>
              <w:spacing w:after="0"/>
              <w:rPr>
                <w:sz w:val="1"/>
                <w:szCs w:val="1"/>
                <w:color w:val="auto"/>
              </w:rPr>
            </w:pPr>
          </w:p>
        </w:tc>
      </w:tr>
      <w:tr>
        <w:trPr>
          <w:trHeight w:val="20"/>
        </w:trPr>
        <w:tc>
          <w:tcPr>
            <w:tcW w:w="2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60" w:right="20" w:hanging="328"/>
        <w:spacing w:after="0" w:line="25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the difference between the closing price of our common stock on the date of exercise and the per share exercise price of the option multiplied by the number of shares acquired upon exercise.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the number of shares vested multiplied by the market value of the stock as of the vesting date.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8"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of April 27, 2019 with respect to our equity compensation plans: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3"/>
              </w:rPr>
              <w:t>Remaining Available for</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Number of Securities to be</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Weighted-Average</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Future Issuance Under Equity</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Issued Upon Exercise of</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Exercise Price of</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Compensation Plans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192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(Excluding Securities</w:t>
            </w:r>
          </w:p>
        </w:tc>
      </w:tr>
      <w:tr>
        <w:trPr>
          <w:trHeight w:val="230"/>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Plan category</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Warrants and Rights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Reflected in Column (a))</w:t>
            </w:r>
          </w:p>
        </w:tc>
      </w:tr>
      <w:tr>
        <w:trPr>
          <w:trHeight w:val="27"/>
        </w:trPr>
        <w:tc>
          <w:tcPr>
            <w:tcW w:w="3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29"/>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37"/>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2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spacing w:after="0"/>
              <w:rPr>
                <w:sz w:val="20"/>
                <w:szCs w:val="20"/>
                <w:color w:val="auto"/>
              </w:rPr>
            </w:pPr>
          </w:p>
        </w:tc>
      </w:tr>
      <w:tr>
        <w:trPr>
          <w:trHeight w:val="243"/>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2007 Stock Incentive Plan</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1,407,379</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10.67</w:t>
            </w:r>
          </w:p>
        </w:tc>
        <w:tc>
          <w:tcPr>
            <w:tcW w:w="2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2015 Stock Incentive Plan</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794,338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2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1,535,818</w:t>
            </w:r>
          </w:p>
        </w:tc>
      </w:tr>
      <w:tr>
        <w:trPr>
          <w:trHeight w:val="270"/>
        </w:trPr>
        <w:tc>
          <w:tcPr>
            <w:tcW w:w="416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Not Applicable</w:t>
            </w:r>
          </w:p>
        </w:tc>
        <w:tc>
          <w:tcPr>
            <w:tcW w:w="120" w:type="dxa"/>
            <w:vAlign w:val="bottom"/>
          </w:tcPr>
          <w:p>
            <w:pPr>
              <w:spacing w:after="0"/>
              <w:rPr>
                <w:sz w:val="23"/>
                <w:szCs w:val="23"/>
                <w:color w:val="auto"/>
              </w:rPr>
            </w:pPr>
          </w:p>
        </w:tc>
        <w:tc>
          <w:tcPr>
            <w:tcW w:w="1800" w:type="dxa"/>
            <w:vAlign w:val="bottom"/>
            <w:gridSpan w:val="2"/>
          </w:tcPr>
          <w:p>
            <w:pPr>
              <w:ind w:left="400"/>
              <w:spacing w:after="0"/>
              <w:rPr>
                <w:sz w:val="20"/>
                <w:szCs w:val="20"/>
                <w:color w:val="auto"/>
              </w:rPr>
            </w:pPr>
            <w:r>
              <w:rPr>
                <w:rFonts w:ascii="Arial" w:cs="Arial" w:eastAsia="Arial" w:hAnsi="Arial"/>
                <w:sz w:val="18"/>
                <w:szCs w:val="18"/>
                <w:color w:val="auto"/>
              </w:rPr>
              <w:t>Not Applicable</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1,432,522</w:t>
            </w:r>
          </w:p>
        </w:tc>
      </w:tr>
      <w:tr>
        <w:trPr>
          <w:trHeight w:val="277"/>
        </w:trPr>
        <w:tc>
          <w:tcPr>
            <w:tcW w:w="416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2,201,717</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2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2,968,340</w:t>
            </w:r>
          </w:p>
        </w:tc>
      </w:tr>
      <w:tr>
        <w:trPr>
          <w:trHeight w:val="20"/>
        </w:trPr>
        <w:tc>
          <w:tcPr>
            <w:tcW w:w="39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8"/>
          <w:szCs w:val="18"/>
          <w:color w:val="auto"/>
        </w:rPr>
        <w:t>(1)  Under the ESPP, shares are acquired at the time of investment by the participating employees at the applicable discount.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reflects the compensation that would be paid to each of our Named Executive Officers in the event of termination of such executive’s employment. The amounts shown assume that such termination was effective as of April 27, 2019, include estimated amounts earned through such date, and are estimates of the amounts which would be paid out to the Named Executive Officers upon the termination of their employment. The actual amounts to be paid can be determined only at the time of such Named Executive Officer's separation from the Company. In addition, there may be re-negotiation of the payments upon any termination of employment or change in control.</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2007 Plan and the 2015 Plan, all options and restricted stock units immediately vest upon a "change in control", as that term is defined in the 2007 Plan and the 2015 Plan. Upon a termination of employment for any reason, and consistent with our employment policies which apply to all employees, we are obligated to pay for accrued and unused vacation time, which would then be payable in a lump sum.</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40" w:type="dxa"/>
            <w:vAlign w:val="bottom"/>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3080" w:type="dxa"/>
            <w:vAlign w:val="bottom"/>
          </w:tcPr>
          <w:p>
            <w:pPr>
              <w:ind w:left="1400"/>
              <w:spacing w:after="0"/>
              <w:rPr>
                <w:sz w:val="20"/>
                <w:szCs w:val="20"/>
                <w:color w:val="auto"/>
              </w:rPr>
            </w:pPr>
            <w:r>
              <w:rPr>
                <w:rFonts w:ascii="Arial" w:cs="Arial" w:eastAsia="Arial" w:hAnsi="Arial"/>
                <w:sz w:val="18"/>
                <w:szCs w:val="18"/>
                <w:color w:val="auto"/>
              </w:rPr>
              <w:t>Benefit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0" w:type="dxa"/>
            <w:vAlign w:val="bottom"/>
            <w:shd w:val="clear" w:color="auto" w:fill="CCEEFF"/>
          </w:tcPr>
          <w:p>
            <w:pPr>
              <w:spacing w:after="0"/>
              <w:rPr>
                <w:sz w:val="22"/>
                <w:szCs w:val="22"/>
                <w:color w:val="auto"/>
              </w:rPr>
            </w:pPr>
          </w:p>
        </w:tc>
        <w:tc>
          <w:tcPr>
            <w:tcW w:w="30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Restricted stock unit vesting acceleration</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2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43,918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43,918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43,918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43,918</w:t>
            </w:r>
          </w:p>
        </w:tc>
      </w:tr>
      <w:tr>
        <w:trPr>
          <w:trHeight w:val="244"/>
        </w:trPr>
        <w:tc>
          <w:tcPr>
            <w:tcW w:w="2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170,938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43,918</w:t>
            </w:r>
          </w:p>
        </w:tc>
      </w:tr>
      <w:tr>
        <w:trPr>
          <w:trHeight w:val="566"/>
        </w:trPr>
        <w:tc>
          <w:tcPr>
            <w:tcW w:w="234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20" w:type="dxa"/>
            <w:vAlign w:val="bottom"/>
          </w:tcPr>
          <w:p>
            <w:pPr>
              <w:spacing w:after="0"/>
              <w:rPr>
                <w:sz w:val="24"/>
                <w:szCs w:val="24"/>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w w:val="93"/>
              </w:rPr>
              <w:t>Restricted stock unit vesting acceleration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62,050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18,891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18,891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18,891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18,891</w:t>
            </w: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80,941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18,891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18,891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18,891</w:t>
            </w:r>
          </w:p>
        </w:tc>
      </w:tr>
      <w:tr>
        <w:trPr>
          <w:trHeight w:val="702"/>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27"/>
        </w:trPr>
        <w:tc>
          <w:tcPr>
            <w:tcW w:w="1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3320" w:type="dxa"/>
            <w:vAlign w:val="bottom"/>
          </w:tcPr>
          <w:p>
            <w:pPr>
              <w:ind w:left="1400"/>
              <w:spacing w:after="0"/>
              <w:rPr>
                <w:sz w:val="20"/>
                <w:szCs w:val="20"/>
                <w:color w:val="auto"/>
              </w:rPr>
            </w:pPr>
            <w:r>
              <w:rPr>
                <w:rFonts w:ascii="Arial" w:cs="Arial" w:eastAsia="Arial" w:hAnsi="Arial"/>
                <w:sz w:val="18"/>
                <w:szCs w:val="18"/>
                <w:color w:val="auto"/>
              </w:rPr>
              <w:t>Benefit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0" w:type="dxa"/>
            <w:vAlign w:val="bottom"/>
            <w:shd w:val="clear" w:color="auto" w:fill="CCEEFF"/>
          </w:tcPr>
          <w:p>
            <w:pPr>
              <w:spacing w:after="0"/>
              <w:rPr>
                <w:sz w:val="22"/>
                <w:szCs w:val="22"/>
                <w:color w:val="auto"/>
              </w:rPr>
            </w:pPr>
          </w:p>
        </w:tc>
        <w:tc>
          <w:tcPr>
            <w:tcW w:w="33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23,255</w:t>
            </w: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23,255</w:t>
            </w:r>
          </w:p>
        </w:tc>
      </w:tr>
      <w:tr>
        <w:trPr>
          <w:trHeight w:val="566"/>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Matthew J. Kurtenbach</w:t>
            </w:r>
          </w:p>
        </w:tc>
        <w:tc>
          <w:tcPr>
            <w:tcW w:w="120" w:type="dxa"/>
            <w:vAlign w:val="bottom"/>
          </w:tcPr>
          <w:p>
            <w:pPr>
              <w:spacing w:after="0"/>
              <w:rPr>
                <w:sz w:val="24"/>
                <w:szCs w:val="24"/>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Restricted stock unit vesting acceleration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62,050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32,390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32,390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32,390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32,390</w:t>
            </w:r>
          </w:p>
        </w:tc>
      </w:tr>
      <w:tr>
        <w:trPr>
          <w:trHeight w:val="27"/>
        </w:trPr>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94,440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32,390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32,390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32,390</w:t>
            </w:r>
          </w:p>
        </w:tc>
      </w:tr>
      <w:tr>
        <w:trPr>
          <w:trHeight w:val="311"/>
        </w:trPr>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0" w:type="dxa"/>
            <w:vAlign w:val="bottom"/>
            <w:shd w:val="clear" w:color="auto" w:fill="CCEEFF"/>
          </w:tcPr>
          <w:p>
            <w:pPr>
              <w:spacing w:after="0"/>
              <w:rPr>
                <w:sz w:val="23"/>
                <w:szCs w:val="23"/>
                <w:color w:val="auto"/>
              </w:rPr>
            </w:pPr>
          </w:p>
        </w:tc>
        <w:tc>
          <w:tcPr>
            <w:tcW w:w="33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22,154</w:t>
            </w: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22,154</w:t>
            </w:r>
          </w:p>
        </w:tc>
      </w:tr>
      <w:tr>
        <w:trPr>
          <w:trHeight w:val="20"/>
        </w:trPr>
        <w:tc>
          <w:tcPr>
            <w:tcW w:w="1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jc w:val="both"/>
        <w:ind w:left="660" w:hanging="328"/>
        <w:spacing w:after="0" w:line="25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option awards, consists of the difference between the $7.30 per share closing price of the common stock as reported on The NASDAQ Global Select Market as of April 26, 2019, which was the last business day of fiscal 2019, and the exercise price of the option multiplied by the number of shares subject to the option.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pension arrangements, post-retirement health coverage or non-qualified defined contribution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Analysis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has established the non-equity incentive program to be based on the same Company-wide measure for each executive. As previously described, the Committee has selected operating margin as the Company-wide measure. Basing the program on the same Company-wide measure for all the executives minimizes the risks associated with individual formulas based on individual actions. The non-equity incentive program is the only formula-based incentive-compensation program in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Item 402(u) of Regulation S-K and Section 953(b) of the Dodd-Frank Wall Street Reform and Consumer Protection Act, we are providing the following information with respect to fiscal 2019:</w:t>
      </w:r>
    </w:p>
    <w:p>
      <w:pPr>
        <w:spacing w:after="0" w:line="17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annual total compensation of the median employee of our Company (which excludes our CEO) was $48,585;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annual total compensation of our CEO was $516,234.</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this information, a reasonable estimate of the ratio of the annual total compensations of our CEO and the median employee for fiscal 2018 was approximately 11 to 1.</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fiscal 2019, we used the same median employee that was identified in fiscal 2018. In fiscal 2018, to identify the median employee’s total annual compensation, we first identified all employees worldwide as of March 9, 2018, including all full-time, part-time, temporary and student employees, and excluding our CEO. We then determined a consistently applied compensation measure by calculating each employee’s total compensation as the annualized value of their current base hourly or salary rate. Compensation paid in currencies other than U.S. dollars were converted to United States dollars based on average exchange rates for the period ended February 24, 2018. We used this calculated annual compensation to identify the median employee.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determined that we could use in our fiscal 2019 CEO pay ratio analysis the same median employee that we identified in fiscal 2018 because there has been no change in either our employee population or our employee compensation arrangements that we believe would significantly impact our fiscal 2019 pay ratio disclosure. Similarly, there has been no change in our median employee's circumstances that we reasonably believe would result in a significant change to our fiscal 2019 pay ratio disclosure.</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08"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identified median employee received $47,320 of base pay in fiscal 2019. We then calculated the median employee's annual total compensation on the same basis that we used to calculate the total compensation of our Named Executive Officers set forth in the Summary Compensation Table, which added $1,265 to the median employee's base pay consisting of matching contributions made by the Company under the 401(k) Plan for the 2018 fiscal year and overtime. Thus, our median employee's annual total compensation was $48,585.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pay ratio reported above is calculated in a manner consistent with SEC rules and guidance, based on our internal records and the methodology described above. In addition, the rules for identifying the "median employee" and calculating the pay ratio allow companies to apply various methodologies and assumptions. As a result, the compensation for our median employee and the pay ratio reported by us should not be used as a comparison to the information reported by other companies.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Audit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 Committee is responsible for the oversight of our financial reporting process, our system of internal control over financial reporting, and the audit process. Management has the primary responsibility for the financial statements and the reporting process, including the systems of internal control over financial reporting, which it reviews with the Audit Committee. In this context, the Audit Committee has met and held discussions with management and our Independent Auditor with respect to the overall scope and plans for the reviews of our interim consolidated financial statements and the audits of our annual consolidated financial statements and internal control over financial reporting. The Audit Committee has the sole authority and responsibility to select, evaluate and, when it deems it to be appropriate, replace the Independent Auditor. The Audit Committee is also responsible for overseeing the Company’s policies and procedures with respect to related party transactions.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Audit Committee has established procedures for the receipt, retention and treatment of complaints received by us regarding accounting controls or auditing matters and the confidential, anonymous submission by our employees of any accounting, internal accounting controls or auditing matters and the confidential, anonymous submission by our employees of any concerns regarding questionable accounting or auditing matters. The Audit Committee operates under a formal written charter that has been adopted by the Board of Directors and is available on the Company’s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The charter was last amended effective March 1, 2018.</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composed of three Directors who are independent as provided in Rule 5605(a)(2) of the NASDAQ Listing Rules and Rule 10A-3 under the Securities Exchange Act of 1934. The members of the Audit Committee are appointed annually by the Board of Directors. The Audit Committee members are not professional accountants or auditors, and their role is not intended to duplicate or certify the activities of our management or the Independent Auditor, nor can the Audit Committee certify that the Independent Auditor is "independent" under applicable rules. The Audit Committee serves a Board-level oversight role in which it provides advice, counsel and direction to management and the Independent Auditor on the basis of the information it receives, discussions with management and the Independent Auditor, and the experience of the Audit Committee’s members in business, financial accounting and audit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membership of the Audit Committee for fiscal 2019, together with appointment dates and attendance at meetings, is set forth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Members</w:t>
            </w:r>
          </w:p>
        </w:tc>
        <w:tc>
          <w:tcPr>
            <w:tcW w:w="3420" w:type="dxa"/>
            <w:vAlign w:val="bottom"/>
          </w:tcPr>
          <w:p>
            <w:pPr>
              <w:ind w:left="840"/>
              <w:spacing w:after="0"/>
              <w:rPr>
                <w:sz w:val="20"/>
                <w:szCs w:val="20"/>
                <w:color w:val="auto"/>
              </w:rPr>
            </w:pPr>
            <w:r>
              <w:rPr>
                <w:rFonts w:ascii="Arial" w:cs="Arial" w:eastAsia="Arial" w:hAnsi="Arial"/>
                <w:sz w:val="18"/>
                <w:szCs w:val="18"/>
                <w:b w:val="1"/>
                <w:bCs w:val="1"/>
                <w:color w:val="auto"/>
              </w:rPr>
              <w:t>Committee Member since</w:t>
            </w:r>
          </w:p>
        </w:tc>
        <w:tc>
          <w:tcPr>
            <w:tcW w:w="3780" w:type="dxa"/>
            <w:vAlign w:val="bottom"/>
          </w:tcPr>
          <w:p>
            <w:pPr>
              <w:ind w:left="600"/>
              <w:spacing w:after="0"/>
              <w:rPr>
                <w:sz w:val="20"/>
                <w:szCs w:val="20"/>
                <w:color w:val="auto"/>
              </w:rPr>
            </w:pPr>
            <w:r>
              <w:rPr>
                <w:rFonts w:ascii="Arial" w:cs="Arial" w:eastAsia="Arial" w:hAnsi="Arial"/>
                <w:sz w:val="18"/>
                <w:szCs w:val="18"/>
                <w:b w:val="1"/>
                <w:bCs w:val="1"/>
                <w:color w:val="auto"/>
                <w:w w:val="92"/>
              </w:rPr>
              <w:t>Attendance at full meetings during 2019</w:t>
            </w:r>
          </w:p>
        </w:tc>
      </w:tr>
      <w:tr>
        <w:trPr>
          <w:trHeight w:val="27"/>
        </w:trPr>
        <w:tc>
          <w:tcPr>
            <w:tcW w:w="23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76"/>
        </w:trPr>
        <w:tc>
          <w:tcPr>
            <w:tcW w:w="2360" w:type="dxa"/>
            <w:vAlign w:val="bottom"/>
          </w:tcPr>
          <w:p>
            <w:pPr>
              <w:ind w:left="40"/>
              <w:spacing w:after="0" w:line="276" w:lineRule="exact"/>
              <w:rPr>
                <w:sz w:val="20"/>
                <w:szCs w:val="20"/>
                <w:color w:val="auto"/>
              </w:rPr>
            </w:pPr>
            <w:r>
              <w:rPr>
                <w:rFonts w:ascii="Arial" w:cs="Arial" w:eastAsia="Arial" w:hAnsi="Arial"/>
                <w:sz w:val="18"/>
                <w:szCs w:val="18"/>
                <w:color w:val="auto"/>
              </w:rPr>
              <w:t xml:space="preserve">John L. Mulligan </w:t>
            </w:r>
            <w:r>
              <w:rPr>
                <w:rFonts w:ascii="Arial" w:cs="Arial" w:eastAsia="Arial" w:hAnsi="Arial"/>
                <w:sz w:val="25"/>
                <w:szCs w:val="25"/>
                <w:color w:val="auto"/>
                <w:vertAlign w:val="superscript"/>
              </w:rPr>
              <w:t>(1)</w:t>
            </w:r>
          </w:p>
        </w:tc>
        <w:tc>
          <w:tcPr>
            <w:tcW w:w="3420" w:type="dxa"/>
            <w:vAlign w:val="bottom"/>
          </w:tcPr>
          <w:p>
            <w:pPr>
              <w:ind w:left="840"/>
              <w:spacing w:after="0"/>
              <w:rPr>
                <w:sz w:val="20"/>
                <w:szCs w:val="20"/>
                <w:color w:val="auto"/>
              </w:rPr>
            </w:pPr>
            <w:r>
              <w:rPr>
                <w:rFonts w:ascii="Arial" w:cs="Arial" w:eastAsia="Arial" w:hAnsi="Arial"/>
                <w:sz w:val="18"/>
                <w:szCs w:val="18"/>
                <w:color w:val="auto"/>
              </w:rPr>
              <w:t>1993</w:t>
            </w:r>
          </w:p>
        </w:tc>
        <w:tc>
          <w:tcPr>
            <w:tcW w:w="3780" w:type="dxa"/>
            <w:vAlign w:val="bottom"/>
          </w:tcPr>
          <w:p>
            <w:pPr>
              <w:ind w:left="600"/>
              <w:spacing w:after="0"/>
              <w:rPr>
                <w:sz w:val="20"/>
                <w:szCs w:val="20"/>
                <w:color w:val="auto"/>
              </w:rPr>
            </w:pPr>
            <w:r>
              <w:rPr>
                <w:rFonts w:ascii="Arial" w:cs="Arial" w:eastAsia="Arial" w:hAnsi="Arial"/>
                <w:sz w:val="18"/>
                <w:szCs w:val="18"/>
                <w:color w:val="auto"/>
              </w:rPr>
              <w:t>4/6</w:t>
            </w:r>
          </w:p>
        </w:tc>
      </w:tr>
      <w:tr>
        <w:trPr>
          <w:trHeight w:val="230"/>
        </w:trPr>
        <w:tc>
          <w:tcPr>
            <w:tcW w:w="2360" w:type="dxa"/>
            <w:vAlign w:val="bottom"/>
          </w:tcPr>
          <w:p>
            <w:pPr>
              <w:ind w:left="40"/>
              <w:spacing w:after="0"/>
              <w:rPr>
                <w:sz w:val="20"/>
                <w:szCs w:val="20"/>
                <w:color w:val="auto"/>
              </w:rPr>
            </w:pPr>
            <w:r>
              <w:rPr>
                <w:rFonts w:ascii="Arial" w:cs="Arial" w:eastAsia="Arial" w:hAnsi="Arial"/>
                <w:sz w:val="18"/>
                <w:szCs w:val="18"/>
                <w:color w:val="auto"/>
              </w:rPr>
              <w:t>Kevin P. McDermott</w:t>
            </w:r>
          </w:p>
        </w:tc>
        <w:tc>
          <w:tcPr>
            <w:tcW w:w="3420" w:type="dxa"/>
            <w:vAlign w:val="bottom"/>
          </w:tcPr>
          <w:p>
            <w:pPr>
              <w:ind w:left="840"/>
              <w:spacing w:after="0"/>
              <w:rPr>
                <w:sz w:val="20"/>
                <w:szCs w:val="20"/>
                <w:color w:val="auto"/>
              </w:rPr>
            </w:pPr>
            <w:r>
              <w:rPr>
                <w:rFonts w:ascii="Arial" w:cs="Arial" w:eastAsia="Arial" w:hAnsi="Arial"/>
                <w:sz w:val="18"/>
                <w:szCs w:val="18"/>
                <w:color w:val="auto"/>
              </w:rPr>
              <w:t>2016</w:t>
            </w:r>
          </w:p>
        </w:tc>
        <w:tc>
          <w:tcPr>
            <w:tcW w:w="3780" w:type="dxa"/>
            <w:vAlign w:val="bottom"/>
          </w:tcPr>
          <w:p>
            <w:pPr>
              <w:ind w:left="600"/>
              <w:spacing w:after="0"/>
              <w:rPr>
                <w:sz w:val="20"/>
                <w:szCs w:val="20"/>
                <w:color w:val="auto"/>
              </w:rPr>
            </w:pPr>
            <w:r>
              <w:rPr>
                <w:rFonts w:ascii="Arial" w:cs="Arial" w:eastAsia="Arial" w:hAnsi="Arial"/>
                <w:sz w:val="18"/>
                <w:szCs w:val="18"/>
                <w:color w:val="auto"/>
              </w:rPr>
              <w:t>6/6</w:t>
            </w:r>
          </w:p>
        </w:tc>
      </w:tr>
      <w:tr>
        <w:trPr>
          <w:trHeight w:val="270"/>
        </w:trPr>
        <w:tc>
          <w:tcPr>
            <w:tcW w:w="2360" w:type="dxa"/>
            <w:vAlign w:val="bottom"/>
          </w:tcPr>
          <w:p>
            <w:pPr>
              <w:ind w:left="40"/>
              <w:spacing w:after="0"/>
              <w:rPr>
                <w:sz w:val="20"/>
                <w:szCs w:val="20"/>
                <w:color w:val="auto"/>
              </w:rPr>
            </w:pPr>
            <w:r>
              <w:rPr>
                <w:rFonts w:ascii="Arial" w:cs="Arial" w:eastAsia="Arial" w:hAnsi="Arial"/>
                <w:sz w:val="18"/>
                <w:szCs w:val="18"/>
                <w:color w:val="auto"/>
              </w:rPr>
              <w:t>John P. Friel</w:t>
            </w:r>
          </w:p>
        </w:tc>
        <w:tc>
          <w:tcPr>
            <w:tcW w:w="3420" w:type="dxa"/>
            <w:vAlign w:val="bottom"/>
          </w:tcPr>
          <w:p>
            <w:pPr>
              <w:ind w:left="840"/>
              <w:spacing w:after="0"/>
              <w:rPr>
                <w:sz w:val="20"/>
                <w:szCs w:val="20"/>
                <w:color w:val="auto"/>
              </w:rPr>
            </w:pPr>
            <w:r>
              <w:rPr>
                <w:rFonts w:ascii="Arial" w:cs="Arial" w:eastAsia="Arial" w:hAnsi="Arial"/>
                <w:sz w:val="18"/>
                <w:szCs w:val="18"/>
                <w:color w:val="auto"/>
              </w:rPr>
              <w:t>2016</w:t>
            </w:r>
          </w:p>
        </w:tc>
        <w:tc>
          <w:tcPr>
            <w:tcW w:w="3780" w:type="dxa"/>
            <w:vAlign w:val="bottom"/>
          </w:tcPr>
          <w:p>
            <w:pPr>
              <w:ind w:left="600"/>
              <w:spacing w:after="0"/>
              <w:rPr>
                <w:sz w:val="20"/>
                <w:szCs w:val="20"/>
                <w:color w:val="auto"/>
              </w:rPr>
            </w:pPr>
            <w:r>
              <w:rPr>
                <w:rFonts w:ascii="Arial" w:cs="Arial" w:eastAsia="Arial" w:hAnsi="Arial"/>
                <w:sz w:val="18"/>
                <w:szCs w:val="18"/>
                <w:color w:val="auto"/>
              </w:rPr>
              <w:t>5/6</w:t>
            </w:r>
          </w:p>
        </w:tc>
      </w:tr>
      <w:tr>
        <w:trPr>
          <w:trHeight w:val="270"/>
        </w:trPr>
        <w:tc>
          <w:tcPr>
            <w:tcW w:w="2360" w:type="dxa"/>
            <w:vAlign w:val="bottom"/>
          </w:tcPr>
          <w:p>
            <w:pPr>
              <w:ind w:left="40"/>
              <w:spacing w:after="0"/>
              <w:rPr>
                <w:sz w:val="20"/>
                <w:szCs w:val="20"/>
                <w:color w:val="auto"/>
              </w:rPr>
            </w:pPr>
            <w:r>
              <w:rPr>
                <w:rFonts w:ascii="Arial" w:cs="Arial" w:eastAsia="Arial" w:hAnsi="Arial"/>
                <w:sz w:val="18"/>
                <w:szCs w:val="18"/>
                <w:color w:val="auto"/>
              </w:rPr>
              <w:t>James B. Morgan</w:t>
            </w:r>
          </w:p>
        </w:tc>
        <w:tc>
          <w:tcPr>
            <w:tcW w:w="3420" w:type="dxa"/>
            <w:vAlign w:val="bottom"/>
          </w:tcPr>
          <w:p>
            <w:pPr>
              <w:ind w:left="840"/>
              <w:spacing w:after="0"/>
              <w:rPr>
                <w:sz w:val="20"/>
                <w:szCs w:val="20"/>
                <w:color w:val="auto"/>
              </w:rPr>
            </w:pPr>
            <w:r>
              <w:rPr>
                <w:rFonts w:ascii="Arial" w:cs="Arial" w:eastAsia="Arial" w:hAnsi="Arial"/>
                <w:sz w:val="18"/>
                <w:szCs w:val="18"/>
                <w:color w:val="auto"/>
              </w:rPr>
              <w:t>2017</w:t>
            </w:r>
          </w:p>
        </w:tc>
        <w:tc>
          <w:tcPr>
            <w:tcW w:w="3780" w:type="dxa"/>
            <w:vAlign w:val="bottom"/>
          </w:tcPr>
          <w:p>
            <w:pPr>
              <w:ind w:left="600"/>
              <w:spacing w:after="0"/>
              <w:rPr>
                <w:sz w:val="20"/>
                <w:szCs w:val="20"/>
                <w:color w:val="auto"/>
              </w:rPr>
            </w:pPr>
            <w:r>
              <w:rPr>
                <w:rFonts w:ascii="Arial" w:cs="Arial" w:eastAsia="Arial" w:hAnsi="Arial"/>
                <w:sz w:val="18"/>
                <w:szCs w:val="18"/>
                <w:color w:val="auto"/>
              </w:rPr>
              <w:t>6/6</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 Retired from the Board effective September 7, 2018.</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Audit Committee has reviewed and discussed with management and the Independent Auditor our audited consolidated financial statements as of and for the fiscal year ended April 27, 2019 and the results of management's assessment and the Independent Auditor's audit of the effectiveness of the Company's internal control over financial reporting; the significant accounting policies, including their quality and acceptability, applied by management in the preparation of our financial statements, as well as alternative treatments; and management's and the Independent Auditor's judgment with respect to risk assessment. We have discussed with our Independent Auditor the matters required by the standards of the Public Company Accounting Oversight Board ("PCAOB"), including PCAOB Auditing Standards No. 1301,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the rules of the Securities and Exchange Commission, and other applicable regulations. We have also received from the Independent Auditor the written disclosures and the letter required by applicable requirements of PCAOB Rule 3526, </w:t>
      </w:r>
      <w:r>
        <w:rPr>
          <w:rFonts w:ascii="Arial" w:cs="Arial" w:eastAsia="Arial" w:hAnsi="Arial"/>
          <w:sz w:val="17"/>
          <w:szCs w:val="17"/>
          <w:i w:val="1"/>
          <w:iCs w:val="1"/>
          <w:color w:val="auto"/>
        </w:rPr>
        <w:t>Communications with Audit Committees Concerning Independence</w:t>
      </w:r>
      <w:r>
        <w:rPr>
          <w:rFonts w:ascii="Arial" w:cs="Arial" w:eastAsia="Arial" w:hAnsi="Arial"/>
          <w:sz w:val="17"/>
          <w:szCs w:val="17"/>
          <w:color w:val="auto"/>
        </w:rPr>
        <w:t>, regarding the Independent Auditor's independence; and reviewed and pre-approved fees charged by the Independent Auditor and considered whether the Independent Auditor's provision of non-audit services to us is compatible with its independence. The Audit Committee also met in executive session following each of the formal Audit Committee meetings with representatives of our Independent Auditor.</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recognizes the importance of maintaining the independence of the Company's Independent Auditor, both in fact and appearance. Each year, the Audit Committee evaluates the qualifications, performance and independence of the Company's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Independent Auditor and determines whether to re-engage such firm. In doing so, the Audit Committee considers, among other things, the quality and efficiency of the services provided by the Independent Auditor, its capabilities and its technical expertise, its knowledge of the Company's operations and industry, and relevant information concerning its independence. Based on this evaluation, the Audit Committee of the Board of Directors recommended the appointment of Deloitte &amp; Touche, LLP as our Independent Auditor to perform reviews of our interim consolidated financial statements and to perform audits of our annual consolidated financial statements and of our internal control over financial reporting for fiscal 2020.</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our audited consolidated financial statements for the fiscal year ended April 27, 2019 be included in our Annual Report on Form 10-K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Kevin P. McDermott,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P. Friel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adopted a procedure called "householding," which has been approved by the SEC. Under this procedure, we are delivering only one copy of our Annual Report, this Proxy Statement and our Notice of Internet Availability of Proxy Materials to multiple shareholders who have requested paper copies of the Annual Report and Proxy Statement and who share the same address, unless we have received contrary instructions from one or more of the shareholders. Shareholders who participate in householding will continue to be able to access and receive separate proxy cards or voting instruction cards. In addition, some banks, brokers and other intermediaries may be participating in this practice of householding our Annual Report, this Proxy Statement and our Notice of Internet Availability of Proxy Materials. This practice benefits us and our shareholders because it reduces the volume of duplicate information received at a shareholder’s address and helps reduce our expenses. Shareholders who share an address and receive multiple copies of our Annual Report, this Proxy Statement and our Notice of Internet Availability of Proxy Materials may request only one copy of these materials by contacting their bank, broker or other nominee record holder or by contacting the Company as described in the next paragraph.</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that have previously received a single set of our Annual Report, this Proxy Statement and our Notice of Internet Availability of Proxy Materials may request their own copies this fiscal year or in future years by contacting their bank, broker or other nominee record holder or by contacting the Company as described in the next sentence. We will also deliver promptly separate paper copies of our Annual Report, this Proxy Statement and our Notice of Internet Availability of Proxy Materials to any shareholder upon written request sent to Daktronics, Inc., 201 Daktronics Drive, Brookings, South Dakota 57006, Attention: Investor Relations, or upon verbal request by calling (605) 692-0200.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Annual Report to Shareholders for the fiscal year ended April 27, 2019, including financial statements, is being mailed with this Proxy Statement. The Annual Report to Shareholders is not incorporated in this Proxy Statement and is not deemed to be a part of this Proxy Statement.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Annual Report to Shareholders for the fiscal year ended April 27, 2019 can also be accessed on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xml:space="preserve"> by selecting "Menu", then "Investor" and then "Annual Reports and Proxy" under the heading "Financial Information." Any person whose proxy is solicited by this Proxy Statement will be provided, upon request and without charge, with a copy of our Annual Report on Form 10-K for the fiscal year ended April 27, 2019. Please submit such requests to Daktronics, Inc., 201 Daktronics Drive, Brookings, South Dakota 57006, Attention: Investor Relations, or by calling (605) 692-0200.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7983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219"/>
          </w:cols>
          <w:pgMar w:left="240" w:top="125" w:right="1440"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7983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31</w:t>
      </w:r>
    </w:p>
    <w:sectPr>
      <w:pgSz w:w="11900" w:h="16838" w:orient="portrait"/>
      <w:cols w:equalWidth="0" w:num="1">
        <w:col w:w="10219"/>
      </w:cols>
      <w:pgMar w:left="24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upperLetter"/>
      <w:start w:val="24"/>
    </w:lvl>
  </w:abstractNum>
  <w:abstractNum w:abstractNumId="2">
    <w:nsid w:val="7C83E458"/>
    <w:multiLevelType w:val="hybridMultilevel"/>
    <w:lvl w:ilvl="0">
      <w:lvlJc w:val="left"/>
      <w:lvlText w:val="[%1]"/>
      <w:numFmt w:val="upperLetter"/>
      <w:start w:val="24"/>
    </w:lvl>
  </w:abstractNum>
  <w:abstractNum w:abstractNumId="3">
    <w:nsid w:val="257130A3"/>
    <w:multiLevelType w:val="hybridMultilevel"/>
    <w:lvl w:ilvl="0">
      <w:lvlJc w:val="left"/>
      <w:lvlText w:val="1"/>
      <w:numFmt w:val="bullet"/>
      <w:start w:val="1"/>
    </w:lvl>
  </w:abstractNum>
  <w:abstractNum w:abstractNumId="4">
    <w:nsid w:val="62BBD95A"/>
    <w:multiLevelType w:val="hybridMultilevel"/>
    <w:lvl w:ilvl="0">
      <w:lvlJc w:val="left"/>
      <w:lvlText w:val="2"/>
      <w:numFmt w:val="bullet"/>
      <w:start w:val="1"/>
    </w:lvl>
  </w:abstractNum>
  <w:abstractNum w:abstractNumId="5">
    <w:nsid w:val="436C6125"/>
    <w:multiLevelType w:val="hybridMultilevel"/>
    <w:lvl w:ilvl="0">
      <w:lvlJc w:val="left"/>
      <w:lvlText w:val="3"/>
      <w:numFmt w:val="bullet"/>
      <w:start w:val="1"/>
    </w:lvl>
  </w:abstractNum>
  <w:abstractNum w:abstractNumId="6">
    <w:nsid w:val="628C895D"/>
    <w:multiLevelType w:val="hybridMultilevel"/>
    <w:lvl w:ilvl="0">
      <w:lvlJc w:val="left"/>
      <w:lvlText w:val="4"/>
      <w:numFmt w:val="bullet"/>
      <w:start w:val="1"/>
    </w:lvl>
  </w:abstractNum>
  <w:abstractNum w:abstractNumId="7">
    <w:nsid w:val="333AB105"/>
    <w:multiLevelType w:val="hybridMultilevel"/>
    <w:lvl w:ilvl="0">
      <w:lvlJc w:val="left"/>
      <w:lvlText w:val="5"/>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bullet"/>
      <w:start w:val="1"/>
    </w:lvl>
  </w:abstractNum>
  <w:abstractNum w:abstractNumId="10">
    <w:nsid w:val="2D1D5AE9"/>
    <w:multiLevelType w:val="hybridMultilevel"/>
    <w:lvl w:ilvl="0">
      <w:lvlJc w:val="left"/>
      <w:lvlText w:val="2"/>
      <w:numFmt w:val="bullet"/>
      <w:start w:val="1"/>
    </w:lvl>
  </w:abstractNum>
  <w:abstractNum w:abstractNumId="11">
    <w:nsid w:val="6763845E"/>
    <w:multiLevelType w:val="hybridMultilevel"/>
    <w:lvl w:ilvl="0">
      <w:lvlJc w:val="left"/>
      <w:lvlText w:val="3"/>
      <w:numFmt w:val="bullet"/>
      <w:start w:val="1"/>
    </w:lvl>
  </w:abstractNum>
  <w:abstractNum w:abstractNumId="12">
    <w:nsid w:val="75A2A8D4"/>
    <w:multiLevelType w:val="hybridMultilevel"/>
    <w:lvl w:ilvl="0">
      <w:lvlJc w:val="left"/>
      <w:lvlText w:val="4"/>
      <w:numFmt w:val="bullet"/>
      <w:start w:val="1"/>
    </w:lvl>
  </w:abstractNum>
  <w:abstractNum w:abstractNumId="13">
    <w:nsid w:val="8EDBDAB"/>
    <w:multiLevelType w:val="hybridMultilevel"/>
    <w:lvl w:ilvl="0">
      <w:lvlJc w:val="left"/>
      <w:lvlText w:val="%1."/>
      <w:numFmt w:val="decimal"/>
      <w:start w:val="2"/>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lvl w:ilvl="1">
      <w:lvlJc w:val="left"/>
      <w:lvlText w:val="(%2)"/>
      <w:numFmt w:val="decimal"/>
      <w:start w:val="1"/>
    </w:lvl>
  </w:abstractNum>
  <w:abstractNum w:abstractNumId="17">
    <w:nsid w:val="189A769B"/>
    <w:multiLevelType w:val="hybridMultilevel"/>
    <w:lvl w:ilvl="0">
      <w:lvlJc w:val="left"/>
      <w:lvlText w:val="(%1)"/>
      <w:numFmt w:val="decimal"/>
      <w:start w:val="9"/>
    </w:lvl>
  </w:abstractNum>
  <w:abstractNum w:abstractNumId="18">
    <w:nsid w:val="54E49EB4"/>
    <w:multiLevelType w:val="hybridMultilevel"/>
    <w:lvl w:ilvl="0">
      <w:lvlJc w:val="left"/>
      <w:lvlText w:val="(%1)"/>
      <w:numFmt w:val="lowerRoman"/>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lowerRoman"/>
      <w:start w:val="2"/>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2019-11-30T23:59:31Z</dcterms:created>
  <dcterms:modified xsi:type="dcterms:W3CDTF">2019-11-30T23:59:31Z</dcterms:modified>
</cp:coreProperties>
</file>