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1900"/>
        <w:spacing w:after="0"/>
        <w:rPr>
          <w:sz w:val="20"/>
          <w:szCs w:val="20"/>
          <w:color w:val="auto"/>
        </w:rPr>
      </w:pPr>
      <w:r>
        <w:rPr>
          <w:rFonts w:ascii="Arial" w:cs="Arial" w:eastAsia="Arial" w:hAnsi="Arial"/>
          <w:sz w:val="18"/>
          <w:szCs w:val="18"/>
          <w:b w:val="1"/>
          <w:bCs w:val="1"/>
          <w:i w:val="1"/>
          <w:iCs w:val="1"/>
          <w:color w:val="auto"/>
        </w:rPr>
        <w:t>(Mark One)</w:t>
      </w:r>
    </w:p>
    <w:p>
      <w:pPr>
        <w:spacing w:after="0" w:line="225" w:lineRule="exact"/>
        <w:rPr>
          <w:sz w:val="24"/>
          <w:szCs w:val="24"/>
          <w:color w:val="auto"/>
        </w:rPr>
      </w:pPr>
    </w:p>
    <w:p>
      <w:pPr>
        <w:ind w:left="4660" w:right="1940" w:hanging="2331"/>
        <w:spacing w:after="0" w:line="519" w:lineRule="auto"/>
        <w:tabs>
          <w:tab w:leader="none" w:pos="275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REPORT PURSUANT TO SECTION 13 OR 15(d) OF THE SECURITIES </w:t>
      </w:r>
      <w:r>
        <w:rPr>
          <w:rFonts w:ascii="Arial" w:cs="Arial" w:eastAsia="Arial" w:hAnsi="Arial"/>
          <w:sz w:val="18"/>
          <w:szCs w:val="18"/>
          <w:b w:val="1"/>
          <w:bCs w:val="1"/>
          <w:color w:val="auto"/>
        </w:rPr>
        <w:t>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left="4660" w:right="1920" w:hanging="2525"/>
        <w:spacing w:after="0" w:line="501"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625" w:right="439" w:bottom="0" w:gutter="0" w:footer="0" w:header="0"/>
        </w:sectPr>
      </w:pP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South Dakota</w:t>
      </w:r>
    </w:p>
    <w:p>
      <w:pPr>
        <w:spacing w:after="0" w:line="21" w:lineRule="exact"/>
        <w:rPr>
          <w:sz w:val="24"/>
          <w:szCs w:val="24"/>
          <w:color w:val="auto"/>
        </w:rPr>
      </w:pPr>
    </w:p>
    <w:p>
      <w:pPr>
        <w:ind w:left="24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580"/>
        <w:spacing w:after="0"/>
        <w:rPr>
          <w:sz w:val="20"/>
          <w:szCs w:val="20"/>
          <w:color w:val="auto"/>
        </w:rPr>
      </w:pPr>
      <w:r>
        <w:rPr>
          <w:rFonts w:ascii="Arial" w:cs="Arial" w:eastAsia="Arial" w:hAnsi="Arial"/>
          <w:sz w:val="18"/>
          <w:szCs w:val="18"/>
          <w:b w:val="1"/>
          <w:bCs w:val="1"/>
          <w:color w:val="auto"/>
        </w:rPr>
        <w:t>46-0306862</w:t>
      </w:r>
    </w:p>
    <w:p>
      <w:pPr>
        <w:spacing w:after="0" w:line="21" w:lineRule="exact"/>
        <w:rPr>
          <w:sz w:val="24"/>
          <w:szCs w:val="24"/>
          <w:color w:val="auto"/>
        </w:rPr>
      </w:pPr>
    </w:p>
    <w:p>
      <w:pPr>
        <w:jc w:val="center"/>
        <w:ind w:right="25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58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6280" w:space="720"/>
            <w:col w:w="4220"/>
          </w:cols>
          <w:pgMar w:left="240" w:top="625" w:right="439" w:bottom="0" w:gutter="0" w:footer="0" w:header="0"/>
          <w:type w:val="continuous"/>
        </w:sectPr>
      </w:pPr>
    </w:p>
    <w:p>
      <w:pPr>
        <w:spacing w:after="0" w:line="36"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00" w:space="300"/>
            <w:col w:w="4320"/>
          </w:cols>
          <w:pgMar w:left="240" w:top="625" w:right="439" w:bottom="0" w:gutter="0" w:footer="0" w:header="0"/>
          <w:type w:val="continuous"/>
        </w:sectPr>
      </w:pP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(605) 697-4000</w:t>
      </w:r>
    </w:p>
    <w:p>
      <w:pPr>
        <w:sectPr>
          <w:pgSz w:w="11900" w:h="16838" w:orient="portrait"/>
          <w:cols w:equalWidth="0" w:num="1">
            <w:col w:w="11220"/>
          </w:cols>
          <w:pgMar w:left="240" w:top="625" w:right="439" w:bottom="0" w:gutter="0" w:footer="0" w:header="0"/>
          <w:type w:val="continuous"/>
        </w:sectPr>
      </w:pP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656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 X ] No [ ]</w:t>
      </w:r>
    </w:p>
    <w:p>
      <w:pPr>
        <w:sectPr>
          <w:pgSz w:w="11900" w:h="16838" w:orient="portrait"/>
          <w:cols w:equalWidth="0" w:num="1">
            <w:col w:w="11220"/>
          </w:cols>
          <w:pgMar w:left="240" w:top="625" w:right="439" w:bottom="0" w:gutter="0" w:footer="0" w:header="0"/>
          <w:type w:val="continuous"/>
        </w:sectPr>
      </w:pP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an accelerated filer (as defined in Rule 12b-2 of the Exchange Act).</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Yes [ X] No [ ]</w:t>
      </w:r>
    </w:p>
    <w:p>
      <w:pPr>
        <w:spacing w:after="0" w:line="200" w:lineRule="exact"/>
        <w:rPr>
          <w:sz w:val="24"/>
          <w:szCs w:val="24"/>
          <w:color w:val="auto"/>
        </w:rPr>
      </w:pPr>
    </w:p>
    <w:p>
      <w:pPr>
        <w:sectPr>
          <w:pgSz w:w="11900" w:h="16838" w:orient="portrait"/>
          <w:cols w:equalWidth="0" w:num="2">
            <w:col w:w="8300" w:space="720"/>
            <w:col w:w="2200"/>
          </w:cols>
          <w:pgMar w:left="240" w:top="625" w:right="439" w:bottom="0" w:gutter="0" w:footer="0" w:header="0"/>
          <w:type w:val="continuous"/>
        </w:sectPr>
      </w:pP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February 22, 2005 was 19,054,398.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DAKTRONICS, INC. AND SUBSIDIARIES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 10-Q</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 Ended January 29, 2005</w:t>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TABLE OF CONTENTS</w:t>
      </w:r>
    </w:p>
    <w:p>
      <w:pPr>
        <w:spacing w:after="0" w:line="312"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84"/>
        </w:trPr>
        <w:tc>
          <w:tcPr>
            <w:tcW w:w="8020" w:type="dxa"/>
            <w:vAlign w:val="bottom"/>
            <w:gridSpan w:val="10"/>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FORWARD–LOOKING STATEMENT</w:t>
              </w:r>
            </w:hyperlink>
          </w:p>
        </w:tc>
        <w:tc>
          <w:tcPr>
            <w:tcW w:w="1520" w:type="dxa"/>
            <w:vAlign w:val="bottom"/>
          </w:tcPr>
          <w:p>
            <w:pPr>
              <w:jc w:val="right"/>
              <w:spacing w:after="0" w:line="184" w:lineRule="exact"/>
              <w:rPr>
                <w:sz w:val="20"/>
                <w:szCs w:val="20"/>
                <w:color w:val="auto"/>
              </w:rPr>
            </w:pPr>
            <w:r>
              <w:rPr>
                <w:rFonts w:ascii="Arial" w:cs="Arial" w:eastAsia="Arial" w:hAnsi="Arial"/>
                <w:sz w:val="18"/>
                <w:szCs w:val="18"/>
                <w:color w:val="auto"/>
              </w:rPr>
              <w:t>2</w:t>
            </w:r>
          </w:p>
        </w:tc>
      </w:tr>
      <w:tr>
        <w:trPr>
          <w:trHeight w:val="439"/>
        </w:trPr>
        <w:tc>
          <w:tcPr>
            <w:tcW w:w="514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88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r>
      <w:tr>
        <w:trPr>
          <w:trHeight w:val="196"/>
        </w:trPr>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240" w:type="dxa"/>
            <w:vAlign w:val="bottom"/>
            <w:tcBorders>
              <w:top w:val="single" w:sz="8" w:color="0000EE"/>
            </w:tcBorders>
          </w:tcPr>
          <w:p>
            <w:pPr>
              <w:spacing w:after="0"/>
              <w:rPr>
                <w:sz w:val="17"/>
                <w:szCs w:val="17"/>
                <w:color w:val="auto"/>
              </w:rPr>
            </w:pPr>
          </w:p>
        </w:tc>
        <w:tc>
          <w:tcPr>
            <w:tcW w:w="498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7180" w:type="dxa"/>
            <w:vAlign w:val="bottom"/>
            <w:gridSpan w:val="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JANUARY 29, 2005 AND MAY 1, 2004</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718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CONSOLIDATED STATEMENTS OF INCOME FOR THE THREE AND NINE MONTHS ENDED</w:t>
              </w:r>
            </w:hyperlink>
          </w:p>
        </w:tc>
        <w:tc>
          <w:tcPr>
            <w:tcW w:w="15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0" w:type="dxa"/>
            <w:vAlign w:val="bottom"/>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JANUARY 29, 2005 AND JANUARY 31, 2004</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7180" w:type="dxa"/>
            <w:vAlign w:val="bottom"/>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NINE MONTHS ENDED</w:t>
              </w:r>
            </w:hyperlink>
          </w:p>
        </w:tc>
        <w:tc>
          <w:tcPr>
            <w:tcW w:w="15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JANUARY 29, 2005 AND JANUARY 31, 2004</w:t>
              </w:r>
            </w:hyperlink>
          </w:p>
        </w:tc>
        <w:tc>
          <w:tcPr>
            <w:tcW w:w="62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NOTES TO THE CONSOLIDATED FINANCIAL STATEMENTS</w:t>
              </w:r>
            </w:hyperlink>
          </w:p>
        </w:tc>
        <w:tc>
          <w:tcPr>
            <w:tcW w:w="2420" w:type="dxa"/>
            <w:vAlign w:val="bottom"/>
            <w:gridSpan w:val="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bl>
    <w:p>
      <w:pPr>
        <w:sectPr>
          <w:pgSz w:w="11900" w:h="16838" w:orient="portrait"/>
          <w:cols w:equalWidth="0" w:num="1">
            <w:col w:w="11220"/>
          </w:cols>
          <w:pgMar w:left="240" w:top="625"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72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6"/>
              </w:rPr>
              <w:t>ITEM 2. MANAGEMENT'S DISCUSSION AND ANALYSIS OF FINANCIAL CONDITION AND</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RESULTS OF OPERATIONS</w:t>
            </w:r>
          </w:p>
        </w:tc>
        <w:tc>
          <w:tcPr>
            <w:tcW w:w="4220" w:type="dxa"/>
            <w:vAlign w:val="bottom"/>
            <w:gridSpan w:val="6"/>
          </w:tcPr>
          <w:p>
            <w:pPr>
              <w:spacing w:after="0"/>
              <w:rPr>
                <w:sz w:val="17"/>
                <w:szCs w:val="17"/>
                <w:color w:val="auto"/>
              </w:rPr>
            </w:pPr>
          </w:p>
        </w:tc>
        <w:tc>
          <w:tcPr>
            <w:tcW w:w="2340" w:type="dxa"/>
            <w:vAlign w:val="bottom"/>
          </w:tcPr>
          <w:p>
            <w:pPr>
              <w:spacing w:after="0"/>
              <w:rPr>
                <w:sz w:val="17"/>
                <w:szCs w:val="17"/>
                <w:color w:val="auto"/>
              </w:rPr>
            </w:pPr>
          </w:p>
        </w:tc>
      </w:tr>
      <w:tr>
        <w:trPr>
          <w:trHeight w:val="196"/>
        </w:trPr>
        <w:tc>
          <w:tcPr>
            <w:tcW w:w="67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ITEM 3. QUANTITATIVE AND QUALITATIVE DISCLOSURES ABOUT MARKET RISK</w:t>
            </w:r>
          </w:p>
        </w:tc>
        <w:tc>
          <w:tcPr>
            <w:tcW w:w="5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2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
              <w:r>
                <w:rPr>
                  <w:rFonts w:ascii="Arial" w:cs="Arial" w:eastAsia="Arial" w:hAnsi="Arial"/>
                  <w:sz w:val="18"/>
                  <w:szCs w:val="18"/>
                  <w:color w:val="0000EE"/>
                  <w:w w:val="93"/>
                </w:rPr>
                <w:t>ITEM 4. CONTROLS AND PROCEDURES</w:t>
              </w:r>
            </w:hyperlink>
          </w:p>
        </w:tc>
        <w:tc>
          <w:tcPr>
            <w:tcW w:w="39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39"/>
        </w:trPr>
        <w:tc>
          <w:tcPr>
            <w:tcW w:w="2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 OTHER INFORMATION</w:t>
              </w:r>
            </w:hyperlink>
          </w:p>
        </w:tc>
        <w:tc>
          <w:tcPr>
            <w:tcW w:w="4440" w:type="dxa"/>
            <w:vAlign w:val="bottom"/>
            <w:gridSpan w:val="7"/>
          </w:tcPr>
          <w:p>
            <w:pPr>
              <w:spacing w:after="0"/>
              <w:rPr>
                <w:sz w:val="24"/>
                <w:szCs w:val="24"/>
                <w:color w:val="auto"/>
              </w:rPr>
            </w:pPr>
          </w:p>
        </w:tc>
        <w:tc>
          <w:tcPr>
            <w:tcW w:w="2340" w:type="dxa"/>
            <w:vAlign w:val="bottom"/>
          </w:tcPr>
          <w:p>
            <w:pPr>
              <w:spacing w:after="0"/>
              <w:rPr>
                <w:sz w:val="24"/>
                <w:szCs w:val="24"/>
                <w:color w:val="auto"/>
              </w:rPr>
            </w:pPr>
          </w:p>
        </w:tc>
      </w:tr>
      <w:tr>
        <w:trPr>
          <w:trHeight w:val="196"/>
        </w:trPr>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1. LEGAL PROCEEDINGS</w:t>
              </w:r>
            </w:hyperlink>
          </w:p>
        </w:tc>
        <w:tc>
          <w:tcPr>
            <w:tcW w:w="466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200" w:type="dxa"/>
            <w:vAlign w:val="bottom"/>
            <w:gridSpan w:val="1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2. UNREGISTERED SALES OF EQUITY SECURITIES AND 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3.</w:t>
              </w:r>
            </w:hyperlink>
          </w:p>
        </w:tc>
        <w:tc>
          <w:tcPr>
            <w:tcW w:w="5960" w:type="dxa"/>
            <w:vAlign w:val="bottom"/>
            <w:tcBorders>
              <w:top w:val="single" w:sz="8" w:color="0000EE"/>
            </w:tcBorders>
            <w:gridSpan w:val="10"/>
          </w:tcPr>
          <w:p>
            <w:pPr>
              <w:ind w:left="4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DEFAULTS UPON SENIOR SECURITIES</w:t>
              </w:r>
            </w:hyperlink>
          </w:p>
        </w:tc>
        <w:tc>
          <w:tcPr>
            <w:tcW w:w="58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6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p>
        </w:tc>
        <w:tc>
          <w:tcPr>
            <w:tcW w:w="5200" w:type="dxa"/>
            <w:vAlign w:val="bottom"/>
            <w:tcBorders>
              <w:bottom w:val="single" w:sz="8" w:color="0000EE"/>
            </w:tcBorders>
            <w:gridSpan w:val="9"/>
          </w:tcPr>
          <w:p>
            <w:pPr>
              <w:ind w:left="40"/>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SUBMISSION OF MATTERS TO A VOTE OF SECURITY HOLDERS</w:t>
              </w:r>
            </w:hyperlink>
          </w:p>
        </w:tc>
        <w:tc>
          <w:tcPr>
            <w:tcW w:w="13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660" w:type="dxa"/>
            <w:vAlign w:val="bottom"/>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6540" w:type="dxa"/>
            <w:vAlign w:val="bottom"/>
            <w:gridSpan w:val="12"/>
          </w:tcPr>
          <w:p>
            <w:pPr>
              <w:ind w:left="4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6.</w:t>
              </w:r>
            </w:hyperlink>
          </w:p>
        </w:tc>
        <w:tc>
          <w:tcPr>
            <w:tcW w:w="1880" w:type="dxa"/>
            <w:vAlign w:val="bottom"/>
            <w:tcBorders>
              <w:top w:val="single" w:sz="8" w:color="0000EE"/>
            </w:tcBorders>
            <w:gridSpan w:val="4"/>
          </w:tcPr>
          <w:p>
            <w:pPr>
              <w:ind w:left="4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466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11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4"/>
              </w:rPr>
              <w:t>SIGNATURES</w:t>
            </w:r>
          </w:p>
        </w:tc>
        <w:tc>
          <w:tcPr>
            <w:tcW w:w="360" w:type="dxa"/>
            <w:vAlign w:val="bottom"/>
            <w:tcBorders>
              <w:top w:val="single" w:sz="8" w:color="0000EE"/>
            </w:tcBorders>
          </w:tcPr>
          <w:p>
            <w:pPr>
              <w:spacing w:after="0"/>
              <w:rPr>
                <w:sz w:val="24"/>
                <w:szCs w:val="24"/>
                <w:color w:val="auto"/>
              </w:rPr>
            </w:pPr>
          </w:p>
        </w:tc>
        <w:tc>
          <w:tcPr>
            <w:tcW w:w="5700" w:type="dxa"/>
            <w:vAlign w:val="bottom"/>
            <w:gridSpan w:val="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31.1</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EXECUTIVE OFFICER REQUIRED BY RULE 13a-14(a)</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OR RULE 15d-14(a) OF THE SECURITIES EXCHANGE ACT OF 1934,</w:t>
      </w:r>
    </w:p>
    <w:p>
      <w:pPr>
        <w:spacing w:after="0" w:line="9" w:lineRule="exact"/>
        <w:rPr>
          <w:sz w:val="20"/>
          <w:szCs w:val="20"/>
          <w:color w:val="auto"/>
        </w:rPr>
      </w:pPr>
    </w:p>
    <w:p>
      <w:pPr>
        <w:ind w:left="1580" w:right="3740" w:hanging="53"/>
        <w:spacing w:after="0" w:line="250" w:lineRule="auto"/>
        <w:rPr>
          <w:sz w:val="20"/>
          <w:szCs w:val="20"/>
          <w:color w:val="auto"/>
        </w:rPr>
      </w:pPr>
      <w:r>
        <w:rPr>
          <w:rFonts w:ascii="Arial" w:cs="Arial" w:eastAsia="Arial" w:hAnsi="Arial"/>
          <w:sz w:val="18"/>
          <w:szCs w:val="18"/>
          <w:color w:val="auto"/>
        </w:rPr>
        <w:t>AS ADOPTED PURSUANT TO SECTION 302 OF THE SARBANES-OXLEY ACT OF 2002</w:t>
      </w:r>
    </w:p>
    <w:p>
      <w:pPr>
        <w:spacing w:after="0" w:line="1" w:lineRule="exact"/>
        <w:rPr>
          <w:sz w:val="20"/>
          <w:szCs w:val="20"/>
          <w:color w:val="auto"/>
        </w:rPr>
      </w:pPr>
    </w:p>
    <w:p>
      <w:pPr>
        <w:jc w:val="both"/>
        <w:ind w:left="1520" w:right="3740" w:hanging="691"/>
        <w:spacing w:after="0" w:line="250" w:lineRule="auto"/>
        <w:rPr>
          <w:sz w:val="20"/>
          <w:szCs w:val="20"/>
          <w:color w:val="auto"/>
        </w:rPr>
      </w:pPr>
      <w:r>
        <w:rPr>
          <w:rFonts w:ascii="Arial" w:cs="Arial" w:eastAsia="Arial" w:hAnsi="Arial"/>
          <w:sz w:val="18"/>
          <w:szCs w:val="18"/>
          <w:u w:val="single" w:color="auto"/>
          <w:color w:val="0000EE"/>
        </w:rPr>
        <w:t>Ex. 31.2</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FINANCIAL OFFICER REQUIRED BY RULE</w:t>
      </w:r>
      <w:r>
        <w:rPr>
          <w:rFonts w:ascii="Arial" w:cs="Arial" w:eastAsia="Arial" w:hAnsi="Arial"/>
          <w:sz w:val="18"/>
          <w:szCs w:val="18"/>
          <w:color w:val="0000EE"/>
        </w:rPr>
        <w:t xml:space="preserve"> </w:t>
      </w:r>
      <w:r>
        <w:rPr>
          <w:rFonts w:ascii="Arial" w:cs="Arial" w:eastAsia="Arial" w:hAnsi="Arial"/>
          <w:sz w:val="18"/>
          <w:szCs w:val="18"/>
          <w:color w:val="000000"/>
        </w:rPr>
        <w:t>13a-14(a) OR RULE 15d-14(a) OF THE SECURITIES EXCHANGE ACT OF 1934, AS ADOPTED PURSUANT TO SECTION 302 OF THE SARBANES-OXLEY ACT OF 2002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32.1</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EXECUTIVE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0000EE"/>
        </w:rPr>
        <w:t>Ex. 32.2</w:t>
      </w:r>
      <w:r>
        <w:rPr>
          <w:rFonts w:ascii="Arial" w:cs="Arial" w:eastAsia="Arial" w:hAnsi="Arial"/>
          <w:sz w:val="18"/>
          <w:szCs w:val="18"/>
          <w:color w:val="0000EE"/>
        </w:rPr>
        <w:t xml:space="preserve">  </w:t>
      </w:r>
      <w:r>
        <w:rPr>
          <w:rFonts w:ascii="Arial" w:cs="Arial" w:eastAsia="Arial" w:hAnsi="Arial"/>
          <w:sz w:val="18"/>
          <w:szCs w:val="18"/>
          <w:color w:val="000000"/>
        </w:rPr>
        <w:t>CERTIFICATION OF THE CHIEF FINANCIAL OFFICER PURSUANT TO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30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May 1, 2004 in the section entitled “Item 7. Management’s Discussion and Analysis of Financial Condition and Results of Operations – Business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632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January 29,</w:t>
            </w:r>
          </w:p>
        </w:tc>
        <w:tc>
          <w:tcPr>
            <w:tcW w:w="60" w:type="dxa"/>
            <w:vAlign w:val="bottom"/>
          </w:tcPr>
          <w:p>
            <w:pPr>
              <w:spacing w:after="0"/>
              <w:rPr>
                <w:sz w:val="12"/>
                <w:szCs w:val="12"/>
                <w:color w:val="auto"/>
              </w:rPr>
            </w:pPr>
          </w:p>
        </w:tc>
        <w:tc>
          <w:tcPr>
            <w:tcW w:w="660" w:type="dxa"/>
            <w:vAlign w:val="bottom"/>
          </w:tcPr>
          <w:p>
            <w:pPr>
              <w:jc w:val="center"/>
              <w:ind w:left="72"/>
              <w:spacing w:after="0" w:line="147" w:lineRule="exact"/>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680" w:type="dxa"/>
            <w:vAlign w:val="bottom"/>
          </w:tcPr>
          <w:p>
            <w:pPr>
              <w:jc w:val="center"/>
              <w:ind w:left="136"/>
              <w:spacing w:after="0" w:line="149" w:lineRule="exact"/>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2"/>
                <w:szCs w:val="12"/>
                <w:color w:val="auto"/>
              </w:rPr>
            </w:pPr>
          </w:p>
        </w:tc>
        <w:tc>
          <w:tcPr>
            <w:tcW w:w="720" w:type="dxa"/>
            <w:vAlign w:val="bottom"/>
            <w:gridSpan w:val="2"/>
          </w:tcPr>
          <w:p>
            <w:pPr>
              <w:jc w:val="center"/>
              <w:ind w:left="134"/>
              <w:spacing w:after="0" w:line="149" w:lineRule="exact"/>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174"/>
        </w:trPr>
        <w:tc>
          <w:tcPr>
            <w:tcW w:w="63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15"/>
                <w:szCs w:val="15"/>
                <w:color w:val="auto"/>
              </w:rPr>
            </w:pPr>
          </w:p>
        </w:tc>
        <w:tc>
          <w:tcPr>
            <w:tcW w:w="660" w:type="dxa"/>
            <w:vAlign w:val="bottom"/>
          </w:tcPr>
          <w:p>
            <w:pPr>
              <w:jc w:val="center"/>
              <w:ind w:left="72"/>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$ 25,830</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$ 16,255</w:t>
            </w:r>
          </w:p>
        </w:tc>
        <w:tc>
          <w:tcPr>
            <w:tcW w:w="0" w:type="dxa"/>
            <w:vAlign w:val="bottom"/>
          </w:tcPr>
          <w:p>
            <w:pPr>
              <w:spacing w:after="0"/>
              <w:rPr>
                <w:sz w:val="1"/>
                <w:szCs w:val="1"/>
                <w:color w:val="auto"/>
              </w:rPr>
            </w:pPr>
          </w:p>
        </w:tc>
      </w:tr>
      <w:tr>
        <w:trPr>
          <w:trHeight w:val="216"/>
        </w:trPr>
        <w:tc>
          <w:tcPr>
            <w:tcW w:w="632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of $953 at January 29, 2005 and $1,131 at May 1, 2004</w:t>
            </w:r>
          </w:p>
        </w:tc>
        <w:tc>
          <w:tcPr>
            <w:tcW w:w="680" w:type="dxa"/>
            <w:vAlign w:val="bottom"/>
          </w:tcPr>
          <w:p>
            <w:pPr>
              <w:jc w:val="right"/>
              <w:spacing w:after="0"/>
              <w:rPr>
                <w:sz w:val="20"/>
                <w:szCs w:val="20"/>
                <w:color w:val="auto"/>
              </w:rPr>
            </w:pPr>
            <w:r>
              <w:rPr>
                <w:rFonts w:ascii="Arial" w:cs="Arial" w:eastAsia="Arial" w:hAnsi="Arial"/>
                <w:sz w:val="18"/>
                <w:szCs w:val="18"/>
                <w:color w:val="auto"/>
              </w:rPr>
              <w:t>27,571</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680" w:type="dxa"/>
            <w:vAlign w:val="bottom"/>
          </w:tcPr>
          <w:p>
            <w:pPr>
              <w:jc w:val="right"/>
              <w:spacing w:after="0"/>
              <w:rPr>
                <w:sz w:val="20"/>
                <w:szCs w:val="20"/>
                <w:color w:val="auto"/>
              </w:rPr>
            </w:pPr>
            <w:r>
              <w:rPr>
                <w:rFonts w:ascii="Arial" w:cs="Arial" w:eastAsia="Arial" w:hAnsi="Arial"/>
                <w:sz w:val="18"/>
                <w:szCs w:val="18"/>
                <w:color w:val="auto"/>
              </w:rPr>
              <w:t>3,759</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680" w:type="dxa"/>
            <w:vAlign w:val="bottom"/>
          </w:tcPr>
          <w:p>
            <w:pPr>
              <w:jc w:val="right"/>
              <w:spacing w:after="0"/>
              <w:rPr>
                <w:sz w:val="20"/>
                <w:szCs w:val="20"/>
                <w:color w:val="auto"/>
              </w:rPr>
            </w:pPr>
            <w:r>
              <w:rPr>
                <w:rFonts w:ascii="Arial" w:cs="Arial" w:eastAsia="Arial" w:hAnsi="Arial"/>
                <w:sz w:val="18"/>
                <w:szCs w:val="18"/>
                <w:color w:val="auto"/>
              </w:rPr>
              <w:t>22,375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680" w:type="dxa"/>
            <w:vAlign w:val="bottom"/>
          </w:tcPr>
          <w:p>
            <w:pPr>
              <w:jc w:val="right"/>
              <w:spacing w:after="0"/>
              <w:rPr>
                <w:sz w:val="20"/>
                <w:szCs w:val="20"/>
                <w:color w:val="auto"/>
              </w:rPr>
            </w:pPr>
            <w:r>
              <w:rPr>
                <w:rFonts w:ascii="Arial" w:cs="Arial" w:eastAsia="Arial" w:hAnsi="Arial"/>
                <w:sz w:val="18"/>
                <w:szCs w:val="18"/>
                <w:color w:val="auto"/>
              </w:rPr>
              <w:t>12,707</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12,862</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jc w:val="right"/>
              <w:spacing w:after="0"/>
              <w:rPr>
                <w:sz w:val="20"/>
                <w:szCs w:val="20"/>
                <w:color w:val="auto"/>
              </w:rPr>
            </w:pPr>
            <w:r>
              <w:rPr>
                <w:rFonts w:ascii="Arial" w:cs="Arial" w:eastAsia="Arial" w:hAnsi="Arial"/>
                <w:sz w:val="18"/>
                <w:szCs w:val="18"/>
                <w:color w:val="auto"/>
              </w:rPr>
              <w:t>6,020</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16"/>
        </w:trPr>
        <w:tc>
          <w:tcPr>
            <w:tcW w:w="632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680" w:type="dxa"/>
            <w:vAlign w:val="bottom"/>
          </w:tcPr>
          <w:p>
            <w:pPr>
              <w:jc w:val="right"/>
              <w:spacing w:after="0"/>
              <w:rPr>
                <w:sz w:val="20"/>
                <w:szCs w:val="20"/>
                <w:color w:val="auto"/>
              </w:rPr>
            </w:pPr>
            <w:r>
              <w:rPr>
                <w:rFonts w:ascii="Arial" w:cs="Arial" w:eastAsia="Arial" w:hAnsi="Arial"/>
                <w:sz w:val="18"/>
                <w:szCs w:val="18"/>
                <w:color w:val="auto"/>
              </w:rPr>
              <w:t>1,575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2"/>
        </w:trPr>
        <w:tc>
          <w:tcPr>
            <w:tcW w:w="6320" w:type="dxa"/>
            <w:vAlign w:val="bottom"/>
          </w:tcPr>
          <w:p>
            <w:pPr>
              <w:ind w:left="100"/>
              <w:spacing w:after="0"/>
              <w:rPr>
                <w:sz w:val="20"/>
                <w:szCs w:val="20"/>
                <w:color w:val="auto"/>
              </w:rPr>
            </w:pPr>
            <w:r>
              <w:rPr>
                <w:rFonts w:ascii="Arial" w:cs="Arial" w:eastAsia="Arial" w:hAnsi="Arial"/>
                <w:sz w:val="18"/>
                <w:szCs w:val="18"/>
                <w:color w:val="auto"/>
              </w:rPr>
              <w:t>Rental equipment available for sale</w:t>
            </w:r>
          </w:p>
        </w:tc>
        <w:tc>
          <w:tcPr>
            <w:tcW w:w="680" w:type="dxa"/>
            <w:vAlign w:val="bottom"/>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104,071</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87,127</w:t>
            </w: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320" w:type="dxa"/>
            <w:vAlign w:val="bottom"/>
          </w:tcPr>
          <w:p>
            <w:pPr>
              <w:ind w:left="80"/>
              <w:spacing w:after="0"/>
              <w:rPr>
                <w:sz w:val="20"/>
                <w:szCs w:val="20"/>
                <w:color w:val="auto"/>
              </w:rPr>
            </w:pPr>
            <w:r>
              <w:rPr>
                <w:rFonts w:ascii="Arial" w:cs="Arial" w:eastAsia="Arial" w:hAnsi="Arial"/>
                <w:sz w:val="18"/>
                <w:szCs w:val="18"/>
                <w:color w:val="auto"/>
              </w:rPr>
              <w:t>Advertising rights, net</w:t>
            </w:r>
          </w:p>
        </w:tc>
        <w:tc>
          <w:tcPr>
            <w:tcW w:w="680" w:type="dxa"/>
            <w:vAlign w:val="bottom"/>
          </w:tcPr>
          <w:p>
            <w:pPr>
              <w:jc w:val="right"/>
              <w:spacing w:after="0"/>
              <w:rPr>
                <w:sz w:val="20"/>
                <w:szCs w:val="20"/>
                <w:color w:val="auto"/>
              </w:rPr>
            </w:pPr>
            <w:r>
              <w:rPr>
                <w:rFonts w:ascii="Arial" w:cs="Arial" w:eastAsia="Arial" w:hAnsi="Arial"/>
                <w:sz w:val="18"/>
                <w:szCs w:val="18"/>
                <w:color w:val="auto"/>
              </w:rPr>
              <w:t>1,319</w:t>
            </w: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2"/>
        </w:trPr>
        <w:tc>
          <w:tcPr>
            <w:tcW w:w="6320" w:type="dxa"/>
            <w:vAlign w:val="bottom"/>
          </w:tcPr>
          <w:p>
            <w:pPr>
              <w:ind w:left="100"/>
              <w:spacing w:after="0"/>
              <w:rPr>
                <w:sz w:val="20"/>
                <w:szCs w:val="20"/>
                <w:color w:val="auto"/>
              </w:rPr>
            </w:pPr>
            <w:r>
              <w:rPr>
                <w:rFonts w:ascii="Arial" w:cs="Arial" w:eastAsia="Arial" w:hAnsi="Arial"/>
                <w:sz w:val="18"/>
                <w:szCs w:val="18"/>
                <w:color w:val="auto"/>
              </w:rPr>
              <w:t>Long term receivables, less current maturities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9,263</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bl>
    <w:p>
      <w:pPr>
        <w:sectPr>
          <w:pgSz w:w="11900" w:h="16838" w:orient="portrait"/>
          <w:cols w:equalWidth="0" w:num="1">
            <w:col w:w="11340"/>
          </w:cols>
          <w:pgMar w:left="240" w:top="108"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Goodwill, net of accumulated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Intangible and other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14,019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13,758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18,147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Demonstration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Transportation equipment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3,577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58,658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30,090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28,568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$146,658</w:t>
            </w:r>
          </w:p>
        </w:tc>
        <w:tc>
          <w:tcPr>
            <w:tcW w:w="2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126,236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2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7"/>
              </w:rPr>
              <w:t>DAKTRONICS, INC. AND SUBSIDIARIES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72"/>
              <w:spacing w:after="0"/>
              <w:rPr>
                <w:sz w:val="20"/>
                <w:szCs w:val="20"/>
                <w:color w:val="auto"/>
              </w:rPr>
            </w:pPr>
            <w:r>
              <w:rPr>
                <w:rFonts w:ascii="Arial" w:cs="Arial" w:eastAsia="Arial" w:hAnsi="Arial"/>
                <w:sz w:val="18"/>
                <w:szCs w:val="18"/>
                <w:b w:val="1"/>
                <w:bCs w:val="1"/>
                <w:color w:val="auto"/>
                <w:w w:val="95"/>
              </w:rPr>
              <w:t>CONSOLIDATED BALANCE SHEETS</w:t>
            </w:r>
            <w:r>
              <w:rPr>
                <w:rFonts w:ascii="Arial" w:cs="Arial" w:eastAsia="Arial" w:hAnsi="Arial"/>
                <w:sz w:val="18"/>
                <w:szCs w:val="18"/>
                <w:color w:val="auto"/>
                <w:w w:val="95"/>
              </w:rPr>
              <w:t>(continued)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jc w:val="center"/>
              <w:ind w:left="3332"/>
              <w:spacing w:after="0"/>
              <w:rPr>
                <w:sz w:val="20"/>
                <w:szCs w:val="20"/>
                <w:color w:val="auto"/>
              </w:rPr>
            </w:pPr>
            <w:r>
              <w:rPr>
                <w:rFonts w:ascii="Arial" w:cs="Arial" w:eastAsia="Arial" w:hAnsi="Arial"/>
                <w:sz w:val="18"/>
                <w:szCs w:val="18"/>
                <w:color w:val="auto"/>
                <w:w w:val="86"/>
              </w:rPr>
              <w:t>(in thousands, except share data)</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January 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vMerge w:val="restart"/>
          </w:tcPr>
          <w:p>
            <w:pPr>
              <w:jc w:val="center"/>
              <w:ind w:right="1760"/>
              <w:spacing w:after="0"/>
              <w:rPr>
                <w:sz w:val="20"/>
                <w:szCs w:val="20"/>
                <w:color w:val="auto"/>
              </w:rPr>
            </w:pPr>
            <w:r>
              <w:rPr>
                <w:rFonts w:ascii="Arial" w:cs="Arial" w:eastAsia="Arial" w:hAnsi="Arial"/>
                <w:sz w:val="14"/>
                <w:szCs w:val="14"/>
                <w:b w:val="1"/>
                <w:bCs w:val="1"/>
                <w:color w:val="auto"/>
                <w:w w:val="93"/>
              </w:rPr>
              <w:t>May 1,</w:t>
            </w:r>
          </w:p>
        </w:tc>
        <w:tc>
          <w:tcPr>
            <w:tcW w:w="0" w:type="dxa"/>
            <w:vAlign w:val="bottom"/>
          </w:tcPr>
          <w:p>
            <w:pPr>
              <w:spacing w:after="0"/>
              <w:rPr>
                <w:sz w:val="1"/>
                <w:szCs w:val="1"/>
                <w:color w:val="auto"/>
              </w:rPr>
            </w:pPr>
          </w:p>
        </w:tc>
      </w:tr>
      <w:tr>
        <w:trPr>
          <w:trHeight w:val="138"/>
        </w:trPr>
        <w:tc>
          <w:tcPr>
            <w:tcW w:w="7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4"/>
          </w:tcPr>
          <w:p>
            <w:pPr>
              <w:jc w:val="center"/>
              <w:ind w:right="176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6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Notes payable, bank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13,372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12,586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Accrued expenses and warranty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11,781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9,911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Current maturities of long-term marketing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6,761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2,829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Deferred maintenance revenue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1,813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9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39,762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35,410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1,148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marketing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383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Long-term warranty obligations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988</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2,043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60" w:type="dxa"/>
            <w:vAlign w:val="bottom"/>
            <w:gridSpan w:val="2"/>
          </w:tcPr>
          <w:p>
            <w:pPr>
              <w:ind w:left="18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45,533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39,972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Common stock, no par value, authorized 60,000,000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shares, 19,032,730 and 18,886,492 shares issued at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840"/>
              <w:spacing w:after="0"/>
              <w:rPr>
                <w:sz w:val="20"/>
                <w:szCs w:val="20"/>
                <w:color w:val="auto"/>
              </w:rPr>
            </w:pPr>
            <w:r>
              <w:rPr>
                <w:rFonts w:ascii="Arial" w:cs="Arial" w:eastAsia="Arial" w:hAnsi="Arial"/>
                <w:sz w:val="18"/>
                <w:szCs w:val="18"/>
                <w:color w:val="auto"/>
              </w:rPr>
              <w:t>January 29, 2005 and May 1, 2004,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16,406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2,274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80,351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67,677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Treasury stock, at cost, 19,680 shares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60" w:type="dxa"/>
            <w:vAlign w:val="bottom"/>
            <w:gridSpan w:val="2"/>
          </w:tcPr>
          <w:p>
            <w:pPr>
              <w:ind w:left="174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4"/>
          </w:tcPr>
          <w:p>
            <w:pPr>
              <w:jc w:val="right"/>
              <w:ind w:right="17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101,125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86,264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146,658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126,236</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960" w:type="dxa"/>
            <w:vAlign w:val="bottom"/>
            <w:gridSpan w:val="2"/>
          </w:tcPr>
          <w:p>
            <w:pPr>
              <w:ind w:left="1660"/>
              <w:spacing w:after="0"/>
              <w:rPr>
                <w:sz w:val="20"/>
                <w:szCs w:val="20"/>
                <w:color w:val="auto"/>
              </w:rPr>
            </w:pPr>
            <w:r>
              <w:rPr>
                <w:rFonts w:ascii="Arial" w:cs="Arial" w:eastAsia="Arial" w:hAnsi="Arial"/>
                <w:sz w:val="18"/>
                <w:szCs w:val="18"/>
                <w:color w:val="auto"/>
              </w:rPr>
              <w:t>See notes to consolidated financial statements.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794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6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80" w:type="dxa"/>
            <w:vAlign w:val="bottom"/>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-6881495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-6881495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-6881495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-6881495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-415290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-415290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-415290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-415290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31" w:right="239" w:bottom="0" w:gutter="0" w:footer="0" w:header="0"/>
        </w:sectPr>
      </w:pPr>
    </w:p>
    <w:bookmarkStart w:id="3" w:name="page4"/>
    <w:bookmarkEnd w:id="3"/>
    <w:tbl>
      <w:tblPr>
        <w:tblLayout w:type="fixed"/>
        <w:tblInd w:w="16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88"/>
              </w:rPr>
              <w:t>Three Months Ended</w:t>
            </w:r>
          </w:p>
        </w:tc>
        <w:tc>
          <w:tcPr>
            <w:tcW w:w="720" w:type="dxa"/>
            <w:vAlign w:val="bottom"/>
            <w:gridSpan w:val="2"/>
          </w:tcPr>
          <w:p>
            <w:pPr>
              <w:spacing w:after="0"/>
              <w:rPr>
                <w:sz w:val="14"/>
                <w:szCs w:val="14"/>
                <w:color w:val="auto"/>
              </w:rPr>
            </w:pPr>
          </w:p>
        </w:tc>
        <w:tc>
          <w:tcPr>
            <w:tcW w:w="68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w w:val="78"/>
              </w:rPr>
              <w:t>January</w:t>
            </w: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5"/>
              </w:rPr>
              <w:t>Nine Months Ended</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tcPr>
          <w:p>
            <w:pPr>
              <w:spacing w:after="0"/>
              <w:rPr>
                <w:sz w:val="11"/>
                <w:szCs w:val="11"/>
                <w:color w:val="auto"/>
              </w:rPr>
            </w:pPr>
          </w:p>
        </w:tc>
        <w:tc>
          <w:tcPr>
            <w:tcW w:w="1280" w:type="dxa"/>
            <w:vAlign w:val="bottom"/>
            <w:gridSpan w:val="4"/>
          </w:tcPr>
          <w:p>
            <w:pPr>
              <w:ind w:left="300"/>
              <w:spacing w:after="0" w:line="129" w:lineRule="exact"/>
              <w:rPr>
                <w:sz w:val="20"/>
                <w:szCs w:val="20"/>
                <w:color w:val="auto"/>
              </w:rPr>
            </w:pPr>
            <w:r>
              <w:rPr>
                <w:rFonts w:ascii="Arial" w:cs="Arial" w:eastAsia="Arial" w:hAnsi="Arial"/>
                <w:sz w:val="14"/>
                <w:szCs w:val="14"/>
                <w:b w:val="1"/>
                <w:bCs w:val="1"/>
                <w:color w:val="auto"/>
              </w:rPr>
              <w:t>January 29,</w:t>
            </w:r>
          </w:p>
        </w:tc>
        <w:tc>
          <w:tcPr>
            <w:tcW w:w="1300" w:type="dxa"/>
            <w:vAlign w:val="bottom"/>
            <w:gridSpan w:val="4"/>
          </w:tcPr>
          <w:p>
            <w:pPr>
              <w:ind w:left="300"/>
              <w:spacing w:after="0" w:line="129" w:lineRule="exact"/>
              <w:rPr>
                <w:sz w:val="20"/>
                <w:szCs w:val="20"/>
                <w:color w:val="auto"/>
              </w:rPr>
            </w:pPr>
            <w:r>
              <w:rPr>
                <w:rFonts w:ascii="Arial" w:cs="Arial" w:eastAsia="Arial" w:hAnsi="Arial"/>
                <w:sz w:val="14"/>
                <w:szCs w:val="14"/>
                <w:b w:val="1"/>
                <w:bCs w:val="1"/>
                <w:color w:val="auto"/>
              </w:rPr>
              <w:t>January 31,</w:t>
            </w:r>
          </w:p>
        </w:tc>
        <w:tc>
          <w:tcPr>
            <w:tcW w:w="680" w:type="dxa"/>
            <w:vAlign w:val="bottom"/>
            <w:gridSpan w:val="2"/>
            <w:vMerge w:val="continue"/>
          </w:tcPr>
          <w:p>
            <w:pPr>
              <w:spacing w:after="0"/>
              <w:rPr>
                <w:sz w:val="11"/>
                <w:szCs w:val="11"/>
                <w:color w:val="auto"/>
              </w:rPr>
            </w:pPr>
          </w:p>
        </w:tc>
        <w:tc>
          <w:tcPr>
            <w:tcW w:w="6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29,</w:t>
            </w:r>
          </w:p>
        </w:tc>
        <w:tc>
          <w:tcPr>
            <w:tcW w:w="1100" w:type="dxa"/>
            <w:vAlign w:val="bottom"/>
            <w:gridSpan w:val="4"/>
          </w:tcPr>
          <w:p>
            <w:pPr>
              <w:jc w:val="center"/>
              <w:ind w:left="21"/>
              <w:spacing w:after="0" w:line="12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40" w:type="dxa"/>
            <w:vAlign w:val="bottom"/>
            <w:gridSpan w:val="3"/>
          </w:tcPr>
          <w:p>
            <w:pPr>
              <w:jc w:val="right"/>
              <w:ind w:right="202"/>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0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right"/>
              <w:ind w:right="206"/>
              <w:spacing w:after="0" w:line="149" w:lineRule="exact"/>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2"/>
                <w:szCs w:val="12"/>
                <w:color w:val="auto"/>
              </w:rPr>
            </w:pPr>
          </w:p>
        </w:tc>
        <w:tc>
          <w:tcPr>
            <w:tcW w:w="1040" w:type="dxa"/>
            <w:vAlign w:val="bottom"/>
            <w:gridSpan w:val="3"/>
          </w:tcPr>
          <w:p>
            <w:pPr>
              <w:jc w:val="center"/>
              <w:ind w:left="81"/>
              <w:spacing w:after="0" w:line="149"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15"/>
                <w:szCs w:val="15"/>
                <w:color w:val="auto"/>
              </w:rPr>
            </w:pPr>
          </w:p>
        </w:tc>
        <w:tc>
          <w:tcPr>
            <w:tcW w:w="1280" w:type="dxa"/>
            <w:vAlign w:val="bottom"/>
            <w:gridSpan w:val="4"/>
          </w:tcPr>
          <w:p>
            <w:pPr>
              <w:ind w:left="300"/>
              <w:spacing w:after="0"/>
              <w:rPr>
                <w:sz w:val="20"/>
                <w:szCs w:val="20"/>
                <w:color w:val="auto"/>
              </w:rPr>
            </w:pPr>
            <w:r>
              <w:rPr>
                <w:rFonts w:ascii="Arial" w:cs="Arial" w:eastAsia="Arial" w:hAnsi="Arial"/>
                <w:sz w:val="14"/>
                <w:szCs w:val="14"/>
                <w:b w:val="1"/>
                <w:bCs w:val="1"/>
                <w:color w:val="auto"/>
              </w:rPr>
              <w:t>(13 weeks)</w:t>
            </w:r>
          </w:p>
        </w:tc>
        <w:tc>
          <w:tcPr>
            <w:tcW w:w="1300" w:type="dxa"/>
            <w:vAlign w:val="bottom"/>
            <w:gridSpan w:val="4"/>
          </w:tcPr>
          <w:p>
            <w:pPr>
              <w:ind w:left="300"/>
              <w:spacing w:after="0"/>
              <w:rPr>
                <w:sz w:val="20"/>
                <w:szCs w:val="20"/>
                <w:color w:val="auto"/>
              </w:rPr>
            </w:pPr>
            <w:r>
              <w:rPr>
                <w:rFonts w:ascii="Arial" w:cs="Arial" w:eastAsia="Arial" w:hAnsi="Arial"/>
                <w:sz w:val="14"/>
                <w:szCs w:val="14"/>
                <w:b w:val="1"/>
                <w:bCs w:val="1"/>
                <w:color w:val="auto"/>
              </w:rPr>
              <w:t>(13 weeks)</w:t>
            </w:r>
          </w:p>
        </w:tc>
        <w:tc>
          <w:tcPr>
            <w:tcW w:w="1300" w:type="dxa"/>
            <w:vAlign w:val="bottom"/>
            <w:gridSpan w:val="4"/>
          </w:tcPr>
          <w:p>
            <w:pPr>
              <w:ind w:left="300"/>
              <w:spacing w:after="0"/>
              <w:rPr>
                <w:sz w:val="20"/>
                <w:szCs w:val="20"/>
                <w:color w:val="auto"/>
              </w:rPr>
            </w:pPr>
            <w:r>
              <w:rPr>
                <w:rFonts w:ascii="Arial" w:cs="Arial" w:eastAsia="Arial" w:hAnsi="Arial"/>
                <w:sz w:val="14"/>
                <w:szCs w:val="14"/>
                <w:b w:val="1"/>
                <w:bCs w:val="1"/>
                <w:color w:val="auto"/>
              </w:rPr>
              <w:t>(39 weeks)</w:t>
            </w:r>
          </w:p>
        </w:tc>
        <w:tc>
          <w:tcPr>
            <w:tcW w:w="1100" w:type="dxa"/>
            <w:vAlign w:val="bottom"/>
            <w:gridSpan w:val="4"/>
          </w:tcPr>
          <w:p>
            <w:pPr>
              <w:jc w:val="center"/>
              <w:ind w:left="21"/>
              <w:spacing w:after="0"/>
              <w:rPr>
                <w:sz w:val="20"/>
                <w:szCs w:val="20"/>
                <w:color w:val="auto"/>
              </w:rPr>
            </w:pPr>
            <w:r>
              <w:rPr>
                <w:rFonts w:ascii="Arial" w:cs="Arial" w:eastAsia="Arial" w:hAnsi="Arial"/>
                <w:sz w:val="14"/>
                <w:szCs w:val="14"/>
                <w:b w:val="1"/>
                <w:bCs w:val="1"/>
                <w:color w:val="auto"/>
                <w:w w:val="84"/>
              </w:rPr>
              <w:t>(39 weeks)</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940" w:type="dxa"/>
            <w:vAlign w:val="bottom"/>
          </w:tcPr>
          <w:p>
            <w:pPr>
              <w:spacing w:after="0"/>
              <w:rPr>
                <w:sz w:val="20"/>
                <w:szCs w:val="20"/>
                <w:color w:val="auto"/>
              </w:rPr>
            </w:pPr>
            <w:r>
              <w:rPr>
                <w:rFonts w:ascii="Arial" w:cs="Arial" w:eastAsia="Arial" w:hAnsi="Arial"/>
                <w:sz w:val="18"/>
                <w:szCs w:val="18"/>
                <w:color w:val="auto"/>
              </w:rPr>
              <w:t>Net sales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50,818</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44,745</w:t>
            </w:r>
          </w:p>
        </w:tc>
        <w:tc>
          <w:tcPr>
            <w:tcW w:w="24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169,000</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151,969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35,457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29,996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113,527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97,914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15,361</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14,749</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55,473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54,055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8,186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6,819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22,913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7,292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6,858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Product design and development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1,893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7,622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13,167</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11,233</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37,827</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32,730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3,516</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17,646</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21,325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(160)</w:t>
            </w:r>
          </w:p>
        </w:tc>
        <w:tc>
          <w:tcPr>
            <w:tcW w:w="4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(171)</w:t>
            </w: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before income taxes</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300"/>
              <w:spacing w:after="0"/>
              <w:rPr>
                <w:sz w:val="20"/>
                <w:szCs w:val="20"/>
                <w:color w:val="auto"/>
              </w:rPr>
            </w:pPr>
            <w:r>
              <w:rPr>
                <w:rFonts w:ascii="Arial" w:cs="Arial" w:eastAsia="Arial" w:hAnsi="Arial"/>
                <w:sz w:val="18"/>
                <w:szCs w:val="18"/>
                <w:b w:val="1"/>
                <w:bCs w:val="1"/>
                <w:color w:val="auto"/>
              </w:rPr>
              <w:t>and minority interest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2,339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3,918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18,760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22,216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6,085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before minority</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940" w:type="dxa"/>
            <w:vAlign w:val="bottom"/>
          </w:tcPr>
          <w:p>
            <w:pPr>
              <w:ind w:left="300"/>
              <w:spacing w:after="0"/>
              <w:rPr>
                <w:sz w:val="20"/>
                <w:szCs w:val="20"/>
                <w:color w:val="auto"/>
              </w:rPr>
            </w:pPr>
            <w:r>
              <w:rPr>
                <w:rFonts w:ascii="Arial" w:cs="Arial" w:eastAsia="Arial" w:hAnsi="Arial"/>
                <w:sz w:val="18"/>
                <w:szCs w:val="18"/>
                <w:b w:val="1"/>
                <w:bCs w:val="1"/>
                <w:color w:val="auto"/>
              </w:rPr>
              <w:t>interest</w:t>
            </w:r>
          </w:p>
        </w:tc>
        <w:tc>
          <w:tcPr>
            <w:tcW w:w="5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2,455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2,573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12,675</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13,624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940" w:type="dxa"/>
            <w:vAlign w:val="bottom"/>
          </w:tcPr>
          <w:p>
            <w:pPr>
              <w:ind w:left="100"/>
              <w:spacing w:after="0"/>
              <w:rPr>
                <w:sz w:val="20"/>
                <w:szCs w:val="20"/>
                <w:color w:val="auto"/>
              </w:rPr>
            </w:pPr>
            <w:r>
              <w:rPr>
                <w:rFonts w:ascii="Arial" w:cs="Arial" w:eastAsia="Arial" w:hAnsi="Arial"/>
                <w:sz w:val="18"/>
                <w:szCs w:val="18"/>
                <w:color w:val="auto"/>
              </w:rPr>
              <w:t>Minority interest in income of</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20"/>
              <w:spacing w:after="0"/>
              <w:rPr>
                <w:sz w:val="20"/>
                <w:szCs w:val="20"/>
                <w:color w:val="auto"/>
              </w:rPr>
            </w:pPr>
            <w:r>
              <w:rPr>
                <w:rFonts w:ascii="Arial" w:cs="Arial" w:eastAsia="Arial" w:hAnsi="Arial"/>
                <w:sz w:val="18"/>
                <w:szCs w:val="18"/>
                <w:color w:val="auto"/>
              </w:rPr>
              <w:t>subsidiary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0"/>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4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2,455</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2,616</w:t>
            </w:r>
          </w:p>
        </w:tc>
        <w:tc>
          <w:tcPr>
            <w:tcW w:w="24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12,675</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13,593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9"/>
                <w:szCs w:val="19"/>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40" w:type="dxa"/>
            <w:vAlign w:val="bottom"/>
          </w:tcPr>
          <w:p>
            <w:pPr>
              <w:ind w:left="100"/>
              <w:spacing w:after="0"/>
              <w:rPr>
                <w:sz w:val="20"/>
                <w:szCs w:val="20"/>
                <w:color w:val="auto"/>
              </w:rPr>
            </w:pPr>
            <w:r>
              <w:rPr>
                <w:rFonts w:ascii="Arial" w:cs="Arial" w:eastAsia="Arial" w:hAnsi="Arial"/>
                <w:sz w:val="18"/>
                <w:szCs w:val="18"/>
                <w:color w:val="auto"/>
              </w:rPr>
              <w:t>Diluted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-734695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-734695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-734695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-734695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-734695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-734695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-734695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-734695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-306070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-306070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-306070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-306070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-306070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78"/>
              </w:rPr>
              <w:t>January</w:t>
            </w:r>
          </w:p>
        </w:tc>
        <w:tc>
          <w:tcPr>
            <w:tcW w:w="52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29,</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January</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78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(39 weeks)</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(39 weeks)</w:t>
            </w: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12,675</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$ 13,593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provided by operating activities: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Loss on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Minority interest in income of subsidiary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(178)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(32)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1,387</w:t>
            </w:r>
          </w:p>
        </w:tc>
        <w:tc>
          <w:tcPr>
            <w:tcW w:w="320" w:type="dxa"/>
            <w:vAlign w:val="bottom"/>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19,398</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(8,235)</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Cash consideration paid for acquired businesses</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(1,024 )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(9,180)</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110"/>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4" w:right="1440" w:bottom="0" w:gutter="0" w:footer="0" w:header="0"/>
        </w:sectPr>
      </w:pPr>
    </w:p>
    <w:bookmarkStart w:id="4" w:name="page5"/>
    <w:bookmarkEnd w:id="4"/>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(5,495)</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Payments on notes payable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Proceeds from issuance of long-term debt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(4,952)</w:t>
            </w: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9,575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100"/>
              <w:spacing w:after="0"/>
              <w:rPr>
                <w:sz w:val="20"/>
                <w:szCs w:val="20"/>
                <w:color w:val="auto"/>
              </w:rPr>
            </w:pPr>
            <w:r>
              <w:rPr>
                <w:rFonts w:ascii="Arial" w:cs="Arial" w:eastAsia="Arial" w:hAnsi="Arial"/>
                <w:sz w:val="18"/>
                <w:szCs w:val="18"/>
                <w:color w:val="auto"/>
              </w:rPr>
              <w:t>Beginning</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16,255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0" w:type="dxa"/>
            <w:vAlign w:val="bottom"/>
          </w:tcPr>
          <w:p>
            <w:pPr>
              <w:ind w:left="100"/>
              <w:spacing w:after="0"/>
              <w:rPr>
                <w:sz w:val="20"/>
                <w:szCs w:val="20"/>
                <w:color w:val="auto"/>
              </w:rPr>
            </w:pPr>
            <w:r>
              <w:rPr>
                <w:rFonts w:ascii="Arial" w:cs="Arial" w:eastAsia="Arial" w:hAnsi="Arial"/>
                <w:sz w:val="18"/>
                <w:szCs w:val="18"/>
                <w:color w:val="auto"/>
              </w:rPr>
              <w:t>Ending</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25,830</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46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46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80"/>
              <w:spacing w:after="0"/>
              <w:rPr>
                <w:sz w:val="20"/>
                <w:szCs w:val="20"/>
                <w:color w:val="auto"/>
              </w:rPr>
            </w:pPr>
            <w:r>
              <w:rPr>
                <w:rFonts w:ascii="Arial" w:cs="Arial" w:eastAsia="Arial" w:hAnsi="Arial"/>
                <w:sz w:val="18"/>
                <w:szCs w:val="18"/>
                <w:color w:val="auto"/>
              </w:rPr>
              <w:t>Tax benefits related to exercise of stock options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-1191895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-1191895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-1191895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-1191895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6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DAKTRONICS, INC. AND SUBSIDIARIES</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NOTES TO THE CONSOLIDATED FINANCIAL STATEMENTS</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May 1, 2004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May 1, 2004,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consolidated financial statements include the accounts of our wholly owned subsidiaries, Daktronics GmbH, Star Circuits, Inc., Sports Link, Ltd., MSC Technologies, Inc., Daktronics, UK, Ltd, Daktronics HK, Ltd. and Daktronics Canada, Inc. Investments in affiliates owned 50% or less are accounted for by the equity method. Intercompany balances and transactions have been eliminated in consolidation.</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Certain reclassifications have been made to the fiscal year 2004 financial statements to conform to the presentation used in the fiscal year 2005 financial statements. The reclassifications had no effect on shareholders’ equity or net income as previously reported.</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reserves for doubtful accounts and estimated effective annual tax rates. Changes in estimates are reflected in the periods in which they become known. During the third quarter of fiscal year 2005, we revised our estimate of our effective income tax rate to reflect the greater impact of research and development tax credits, based on an amended federal income tax return for fiscal year 2001 and a change in estimated research and development credits for the year ended April 30, 2005. This change resulted in an increase in net income of approximately $800 or approximately $.04 per share on a fully diluted basis.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1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xml:space="preserve"> At January 29, 2005, we had four stock-based employee compensation plans, which are described more fully in our Annual Report on Form 10-K. We account for these plans under the recognition and measurement principles of APB Opinion No. 25, “Accounting for Stock Issued to Employees</w:t>
      </w:r>
      <w:r>
        <w:rPr>
          <w:rFonts w:ascii="Arial" w:cs="Arial" w:eastAsia="Arial" w:hAnsi="Arial"/>
          <w:sz w:val="18"/>
          <w:szCs w:val="18"/>
          <w:i w:val="1"/>
          <w:iCs w:val="1"/>
          <w:color w:val="auto"/>
        </w:rPr>
        <w:t>”,</w:t>
      </w:r>
      <w:r>
        <w:rPr>
          <w:rFonts w:ascii="Arial" w:cs="Arial" w:eastAsia="Arial" w:hAnsi="Arial"/>
          <w:sz w:val="18"/>
          <w:szCs w:val="18"/>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Statement of Financial Accounting Standards (“SFAS”) No. 123, “Accounting for Stock-Based Compensation,” to stock-based compensation.</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nine months ended February 29, 2005 consisted of the following:</w:t>
      </w:r>
    </w:p>
    <w:p>
      <w:pPr>
        <w:sectPr>
          <w:pgSz w:w="11900" w:h="16838" w:orient="portrait"/>
          <w:cols w:equalWidth="0" w:num="1">
            <w:col w:w="11420"/>
          </w:cols>
          <w:pgMar w:left="240" w:top="13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74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29,</w:t>
            </w:r>
          </w:p>
        </w:tc>
        <w:tc>
          <w:tcPr>
            <w:tcW w:w="96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5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ind w:left="220"/>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2,455</w:t>
            </w:r>
          </w:p>
        </w:tc>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2,616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12,675</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13,593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Deduct: Total stock-based method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employee compensation expense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determined under fair value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based method for all awards, net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rPr>
              <w:t>of related tax effects</w:t>
            </w:r>
          </w:p>
        </w:tc>
        <w:tc>
          <w:tcPr>
            <w:tcW w:w="180" w:type="dxa"/>
            <w:vAlign w:val="bottom"/>
          </w:tcPr>
          <w:p>
            <w:pPr>
              <w:spacing w:after="0"/>
              <w:rPr>
                <w:sz w:val="19"/>
                <w:szCs w:val="19"/>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34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12,142</w:t>
            </w:r>
          </w:p>
        </w:tc>
        <w:tc>
          <w:tcPr>
            <w:tcW w:w="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13,272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as reported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Basic – pro forma</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Diluted – as reported</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40"/>
              <w:spacing w:after="0"/>
              <w:rPr>
                <w:sz w:val="20"/>
                <w:szCs w:val="20"/>
                <w:color w:val="auto"/>
              </w:rPr>
            </w:pPr>
            <w:r>
              <w:rPr>
                <w:rFonts w:ascii="Arial" w:cs="Arial" w:eastAsia="Arial" w:hAnsi="Arial"/>
                <w:sz w:val="18"/>
                <w:szCs w:val="18"/>
                <w:color w:val="auto"/>
              </w:rPr>
              <w:t>Diluted – pro forma</w:t>
            </w: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-765810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-765810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-765810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-765810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-765810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-765810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-765810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-765810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 xml:space="preserve"> In connection with certain sales of equipment, we have agreed to accept a specified level of recourse on the money owed by our customers to other financial institutions. At January 29, 2005 and at May 1, 2004, we were contingently liable on such recourse agreements in the amount of $250.</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nine months ended January 29, 2005 consisted of the following:</w:t>
      </w:r>
    </w:p>
    <w:p>
      <w:pPr>
        <w:sectPr>
          <w:pgSz w:w="11900" w:h="16838" w:orient="portrait"/>
          <w:cols w:equalWidth="0" w:num="1">
            <w:col w:w="11420"/>
          </w:cols>
          <w:pgMar w:left="240" w:top="26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127"/>
        <w:spacing w:after="0" w:line="254" w:lineRule="auto"/>
        <w:rPr>
          <w:sz w:val="20"/>
          <w:szCs w:val="20"/>
          <w:color w:val="auto"/>
        </w:rPr>
      </w:pPr>
      <w:r>
        <w:rPr>
          <w:rFonts w:ascii="Arial" w:cs="Arial" w:eastAsia="Arial" w:hAnsi="Arial"/>
          <w:sz w:val="18"/>
          <w:szCs w:val="18"/>
          <w:color w:val="auto"/>
        </w:rPr>
        <w:t>Beginning accrued warranty costs Warranties issued during the period Settlements made during the period Changes in accrued warranty costs for pre-existing warranties during the period, including expirations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566"/>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83820</wp:posOffset>
            </wp:positionV>
            <wp:extent cx="11576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25" w:lineRule="exact"/>
        <w:rPr>
          <w:sz w:val="20"/>
          <w:szCs w:val="20"/>
          <w:color w:val="auto"/>
        </w:rPr>
      </w:pPr>
    </w:p>
    <w:p>
      <w:pPr>
        <w:ind w:left="1226" w:hanging="1226"/>
        <w:spacing w:after="0"/>
        <w:tabs>
          <w:tab w:leader="none" w:pos="1226" w:val="left"/>
        </w:tabs>
        <w:numPr>
          <w:ilvl w:val="0"/>
          <w:numId w:val="3"/>
        </w:numPr>
        <w:rPr>
          <w:rFonts w:ascii="Arial" w:cs="Arial" w:eastAsia="Arial" w:hAnsi="Arial"/>
          <w:sz w:val="18"/>
          <w:szCs w:val="18"/>
          <w:color w:val="auto"/>
        </w:rPr>
      </w:pPr>
      <w:r>
        <w:rPr>
          <w:rFonts w:ascii="Arial" w:cs="Arial" w:eastAsia="Arial" w:hAnsi="Arial"/>
          <w:sz w:val="18"/>
          <w:szCs w:val="18"/>
          <w:color w:val="auto"/>
        </w:rPr>
        <w:t>4,184</w:t>
      </w:r>
    </w:p>
    <w:p>
      <w:pPr>
        <w:spacing w:after="0" w:line="15" w:lineRule="exact"/>
        <w:rPr>
          <w:rFonts w:ascii="Arial" w:cs="Arial" w:eastAsia="Arial" w:hAnsi="Arial"/>
          <w:sz w:val="18"/>
          <w:szCs w:val="18"/>
          <w:color w:val="auto"/>
        </w:rPr>
      </w:pPr>
    </w:p>
    <w:p>
      <w:pPr>
        <w:ind w:left="1226"/>
        <w:spacing w:after="0"/>
        <w:rPr>
          <w:rFonts w:ascii="Arial" w:cs="Arial" w:eastAsia="Arial" w:hAnsi="Arial"/>
          <w:sz w:val="18"/>
          <w:szCs w:val="18"/>
          <w:color w:val="auto"/>
        </w:rPr>
      </w:pPr>
      <w:r>
        <w:rPr>
          <w:rFonts w:ascii="Arial" w:cs="Arial" w:eastAsia="Arial" w:hAnsi="Arial"/>
          <w:sz w:val="18"/>
          <w:szCs w:val="18"/>
          <w:color w:val="auto"/>
        </w:rPr>
        <w:t>2,509</w:t>
      </w:r>
    </w:p>
    <w:p>
      <w:pPr>
        <w:spacing w:after="0" w:line="9" w:lineRule="exact"/>
        <w:rPr>
          <w:sz w:val="20"/>
          <w:szCs w:val="20"/>
          <w:color w:val="auto"/>
        </w:rPr>
      </w:pPr>
    </w:p>
    <w:p>
      <w:pPr>
        <w:jc w:val="right"/>
        <w:ind w:right="5060"/>
        <w:spacing w:after="0"/>
        <w:rPr>
          <w:sz w:val="20"/>
          <w:szCs w:val="20"/>
          <w:color w:val="auto"/>
        </w:rPr>
      </w:pPr>
      <w:r>
        <w:rPr>
          <w:rFonts w:ascii="Arial" w:cs="Arial" w:eastAsia="Arial" w:hAnsi="Arial"/>
          <w:sz w:val="18"/>
          <w:szCs w:val="18"/>
          <w:color w:val="auto"/>
        </w:rPr>
        <w:t>(3,087)</w:t>
      </w:r>
    </w:p>
    <w:p>
      <w:pPr>
        <w:spacing w:after="0" w:line="200" w:lineRule="exact"/>
        <w:rPr>
          <w:sz w:val="20"/>
          <w:szCs w:val="20"/>
          <w:color w:val="auto"/>
        </w:rPr>
      </w:pPr>
    </w:p>
    <w:p>
      <w:pPr>
        <w:spacing w:after="0" w:line="235" w:lineRule="exact"/>
        <w:rPr>
          <w:sz w:val="20"/>
          <w:szCs w:val="20"/>
          <w:color w:val="auto"/>
        </w:rPr>
      </w:pPr>
    </w:p>
    <w:p>
      <w:pPr>
        <w:ind w:left="1226"/>
        <w:spacing w:after="0"/>
        <w:rPr>
          <w:sz w:val="20"/>
          <w:szCs w:val="20"/>
          <w:color w:val="auto"/>
        </w:rPr>
      </w:pPr>
      <w:r>
        <w:rPr>
          <w:rFonts w:ascii="Arial" w:cs="Arial" w:eastAsia="Arial" w:hAnsi="Arial"/>
          <w:sz w:val="18"/>
          <w:szCs w:val="18"/>
          <w:color w:val="auto"/>
        </w:rPr>
        <w:t>1,295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80010</wp:posOffset>
            </wp:positionV>
            <wp:extent cx="1106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9" w:lineRule="exact"/>
        <w:rPr>
          <w:sz w:val="20"/>
          <w:szCs w:val="20"/>
          <w:color w:val="auto"/>
        </w:rPr>
      </w:pPr>
    </w:p>
    <w:p>
      <w:pPr>
        <w:ind w:left="1226" w:hanging="1226"/>
        <w:spacing w:after="0"/>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4,901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111061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694"/>
            <w:col w:w="6746"/>
          </w:cols>
          <w:pgMar w:left="240" w:top="262" w:right="239" w:bottom="0" w:gutter="0" w:footer="0" w:header="0"/>
          <w:type w:val="continuous"/>
        </w:sectPr>
      </w:pPr>
    </w:p>
    <w:p>
      <w:pPr>
        <w:spacing w:after="0" w:line="26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various sales and service locations and various equipment, primarily, office equipment. Rental expense for operating leases amounted to $911 and $891 for the nine months ended January 29, 2005 and January 31, 2004, respectively. Future minimum payments under noncancelable operating leases, excluding executory costs such as management and maintenance fees, with initial or remaining terms of one year or more consisted of the following at January 29, 2005:</w:t>
      </w:r>
    </w:p>
    <w:p>
      <w:pPr>
        <w:spacing w:after="0" w:line="174" w:lineRule="exact"/>
        <w:rPr>
          <w:sz w:val="20"/>
          <w:szCs w:val="20"/>
          <w:color w:val="auto"/>
        </w:rPr>
      </w:pPr>
    </w:p>
    <w:tbl>
      <w:tblPr>
        <w:tblLayout w:type="fixed"/>
        <w:tblInd w:w="5420" w:type="dxa"/>
        <w:tblCellMar>
          <w:top w:w="0" w:type="dxa"/>
          <w:left w:w="0" w:type="dxa"/>
          <w:bottom w:w="0" w:type="dxa"/>
          <w:right w:w="0" w:type="dxa"/>
        </w:tblCellMar>
      </w:tblPr>
      <w:tr>
        <w:trPr>
          <w:trHeight w:val="207"/>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Fiscal Year</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461</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16"/>
        </w:trPr>
        <w:tc>
          <w:tcPr>
            <w:tcW w:w="7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22"/>
        </w:trPr>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110"/>
        </w:trPr>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1,857</w:t>
            </w:r>
          </w:p>
        </w:tc>
      </w:tr>
      <w:tr>
        <w:trPr>
          <w:trHeight w:val="120"/>
        </w:trPr>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January 29, 2005, we were obligated to purchase inventory and advertising rights through fiscal year 2009 as follows:</w:t>
      </w:r>
    </w:p>
    <w:p>
      <w:pPr>
        <w:spacing w:after="0" w:line="163"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r>
      <w:tr>
        <w:trPr>
          <w:trHeight w:val="20"/>
        </w:trPr>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1,391</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22"/>
        </w:trPr>
        <w:tc>
          <w:tcPr>
            <w:tcW w:w="8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110"/>
        </w:trPr>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r>
      <w:tr>
        <w:trPr>
          <w:trHeight w:val="316"/>
        </w:trPr>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2,444</w:t>
            </w:r>
          </w:p>
        </w:tc>
      </w:tr>
      <w:tr>
        <w:trPr>
          <w:trHeight w:val="120"/>
        </w:trPr>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2" w:right="239" w:bottom="0" w:gutter="0" w:footer="0" w:header="0"/>
          <w:type w:val="continuous"/>
        </w:sectPr>
      </w:pPr>
    </w:p>
    <w:bookmarkStart w:id="6" w:name="page7"/>
    <w:bookmarkEnd w:id="6"/>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November 2004, the Financial Accounting Standards Board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is no longer an alternative. SFAS No. 123R must be adopted no later than the first interim or annual period beginning after June 15, 2005, irrespective of the entity’s fiscal year. Early adoption will be permitted in periods in which financial statements have not yet been issued. We expect to adopt SFAS No. 123R on August 1, 2006, the beginning of our second quarter of fiscal 2006.</w:t>
      </w:r>
    </w:p>
    <w:p>
      <w:pPr>
        <w:spacing w:after="0" w:line="172"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2 to our consolidated financial statements. SFAS No.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w:t>
      </w:r>
    </w:p>
    <w:p>
      <w:pPr>
        <w:spacing w:after="0" w:line="186" w:lineRule="exact"/>
        <w:rPr>
          <w:sz w:val="20"/>
          <w:szCs w:val="20"/>
          <w:color w:val="auto"/>
        </w:rPr>
      </w:pPr>
    </w:p>
    <w:p>
      <w:pPr>
        <w:ind w:right="40" w:firstLine="395"/>
        <w:spacing w:after="0" w:line="314" w:lineRule="auto"/>
        <w:rPr>
          <w:sz w:val="20"/>
          <w:szCs w:val="20"/>
          <w:color w:val="auto"/>
        </w:rPr>
      </w:pPr>
      <w:r>
        <w:rPr>
          <w:rFonts w:ascii="Arial" w:cs="Arial" w:eastAsia="Arial" w:hAnsi="Arial"/>
          <w:sz w:val="15"/>
          <w:szCs w:val="15"/>
          <w:i w:val="1"/>
          <w:iCs w:val="1"/>
          <w:color w:val="auto"/>
        </w:rPr>
        <w:t xml:space="preserve">Long-term receivables and advertising rights: </w:t>
      </w:r>
      <w:r>
        <w:rPr>
          <w:rFonts w:ascii="Arial" w:cs="Arial" w:eastAsia="Arial" w:hAnsi="Arial"/>
          <w:sz w:val="15"/>
          <w:szCs w:val="15"/>
          <w:color w:val="auto"/>
        </w:rPr>
        <w:t>We occasionally sell and install our products at facilities in exchange for the rights to retain future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generated at the facility.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5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$1,319 as of January 29, 2005 and $1,415 as of May 1, 2004.</w:t>
      </w:r>
    </w:p>
    <w:p>
      <w:pPr>
        <w:spacing w:after="0" w:line="225" w:lineRule="exact"/>
        <w:rPr>
          <w:sz w:val="20"/>
          <w:szCs w:val="20"/>
          <w:color w:val="auto"/>
        </w:rPr>
      </w:pPr>
    </w:p>
    <w:p>
      <w:pPr>
        <w:jc w:val="both"/>
        <w:ind w:right="8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ratably as net sales over the term of the contracts, which varies from one to 10 years.</w:t>
      </w:r>
    </w:p>
    <w:p>
      <w:pPr>
        <w:spacing w:after="0" w:line="11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sell our proprietary software bundled with displays and certain other products. Pursuant to American Institute of Certified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Derivatives: </w:t>
      </w:r>
      <w:r>
        <w:rPr>
          <w:rFonts w:ascii="Arial" w:cs="Arial" w:eastAsia="Arial" w:hAnsi="Arial"/>
          <w:sz w:val="16"/>
          <w:szCs w:val="16"/>
          <w:color w:val="auto"/>
        </w:rPr>
        <w:t>SFAS No. 133, “Accounting for Derivative Instruments and Hedging Activities” , requires companies to recognize all of its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either assets or liabilities in the statement of financial position at fair value. The accounting for changes in the fair value of a derivative instrument depends on whether it has been designated and qualifies as part of a hedging relationship and also on the type of hedging relationship. For those derivative instruments that are designated and qualify as hedging instruments, a company must designate the hedging instrument, based upon the exposure being hedged, as a fair value hedge, cash flow hedge or hedge of a net investment in a foreign operation.</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For derivative instruments that are designated and qualify as a fair value hedge (that is,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are recognized in the same line item associated with the hedged item in current earnings during the period of the change in fair values. For derivative instruments that are designated and qualify as a cash flow hedge (that is, hedging the exposure to variability in expected future cash flows that is attributable to a particular risk), the effective portion of the gain or loss on the derivative instrument is reported as a component of other</w:t>
      </w:r>
    </w:p>
    <w:p>
      <w:pPr>
        <w:sectPr>
          <w:pgSz w:w="11900" w:h="16949" w:orient="portrait"/>
          <w:cols w:equalWidth="0" w:num="1">
            <w:col w:w="11420"/>
          </w:cols>
          <w:pgMar w:left="240" w:top="908" w:right="239" w:bottom="0" w:gutter="0" w:footer="0" w:header="0"/>
        </w:sectPr>
      </w:pPr>
    </w:p>
    <w:bookmarkStart w:id="7" w:name="page8"/>
    <w:bookmarkEnd w:id="7"/>
    <w:p>
      <w:pPr>
        <w:spacing w:after="0" w:line="71" w:lineRule="exact"/>
        <w:rPr>
          <w:sz w:val="20"/>
          <w:szCs w:val="20"/>
          <w:color w:val="auto"/>
        </w:rPr>
      </w:pPr>
    </w:p>
    <w:p>
      <w:pPr>
        <w:jc w:val="both"/>
        <w:ind w:right="140"/>
        <w:spacing w:after="0" w:line="312" w:lineRule="auto"/>
        <w:rPr>
          <w:sz w:val="20"/>
          <w:szCs w:val="20"/>
          <w:color w:val="auto"/>
        </w:rPr>
      </w:pPr>
      <w:r>
        <w:rPr>
          <w:rFonts w:ascii="Arial" w:cs="Arial" w:eastAsia="Arial" w:hAnsi="Arial"/>
          <w:sz w:val="15"/>
          <w:szCs w:val="15"/>
          <w:color w:val="auto"/>
        </w:rPr>
        <w:t>comprehensive income and reclassified into earnings in the same line item associated with the forecasted transaction in the same period or periods during which the hedged transaction affects earnings. The remaining gain or loss on the derivative instrument in excess of the cumulative change in the present value of future cash flows of the hedged item, if any, is recognized in other income/expense in current earnings during the period of change. For derivative instruments that are designated and qualify as a hedge of a net investment in a foreign currency, the gain or loss is reported in other comprehensive income as part of the cumulative translation adjustment to the extent it is effective. Any ineffective portions of net investment hedges are recognized in other income/expense in current earnings during the period of change. For derivative instruments not designated as hedging instruments, the gain or loss is recognized in other income/expense in current earnings during the period of change. Currently, we have not designated any hedges as fair value hedges or as hedges of a net investment in a foreign currency.</w:t>
      </w:r>
    </w:p>
    <w:p>
      <w:pPr>
        <w:spacing w:after="0" w:line="159"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Cash Flow Hedging Strategy — To protect against the reduction in value of forecasted foreign currency cash flows resulting from certain expected export sales,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During the nine months ended January 29, 2005, we did not recognize any gains or losses related to the ineffective portion of our hedging instruments, and gains of $0.01 million related to the portion of hedging instruments excluded from the assessment of hedge effectiveness. There were no cash flow hedges that were discontinued during the first three quarters of fiscal year 2005.</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expect to reclassify $30 of net gains on derivative instruments from accumulated other comprehensive income to earnings during the next twelve months due to actual export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three and nine months ended January 29, 2005 and January 31, 2004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2"/>
          </w:tcPr>
          <w:p>
            <w:pPr>
              <w:jc w:val="right"/>
              <w:ind w:right="2080"/>
              <w:spacing w:after="0"/>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5"/>
                <w:szCs w:val="15"/>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2"/>
          </w:tcPr>
          <w:p>
            <w:pPr>
              <w:jc w:val="right"/>
              <w:ind w:right="2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three months ended January 29, 2005:</w:t>
            </w:r>
          </w:p>
        </w:tc>
        <w:tc>
          <w:tcPr>
            <w:tcW w:w="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18,998,527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1,197,720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right"/>
              <w:ind w:right="17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20,196,247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three months ended January 31, 2004:</w:t>
            </w: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18,750,366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1,261,890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right"/>
              <w:ind w:right="17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20,012,256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nine months ended January 29, 2005:</w:t>
            </w: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18,940,130</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1,240,298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right"/>
              <w:ind w:right="17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20,180,428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0.63</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vMerge w:val="restart"/>
          </w:tcPr>
          <w:p>
            <w:pPr>
              <w:ind w:left="1660"/>
              <w:spacing w:after="0"/>
              <w:rPr>
                <w:sz w:val="20"/>
                <w:szCs w:val="20"/>
                <w:color w:val="auto"/>
              </w:rPr>
            </w:pPr>
            <w:r>
              <w:rPr>
                <w:rFonts w:ascii="Arial" w:cs="Arial" w:eastAsia="Arial" w:hAnsi="Arial"/>
                <w:sz w:val="18"/>
                <w:szCs w:val="18"/>
                <w:color w:val="auto"/>
              </w:rPr>
              <w:t>For the nine months ended January 31, 2004:</w:t>
            </w: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18,655,109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9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202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1,210,622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2"/>
          </w:tcPr>
          <w:p>
            <w:pPr>
              <w:jc w:val="right"/>
              <w:ind w:right="17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19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19,865,731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82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86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106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-3152775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-3152775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-3152775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-3152775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-3152775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-3152775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-2166620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-2166620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-2166620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-2166620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-2166620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-2166620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-1180465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-1180465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-1180465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-1180465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-1180465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-1180465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-194310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-194310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-194310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-194310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-194310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-194310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 — Adoption of SFAS No. 142</w:t>
      </w:r>
    </w:p>
    <w:p>
      <w:pPr>
        <w:spacing w:after="0" w:line="312"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86"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Goodwill, net of accumulated amortization, was $2,630 at January 29, 2005 and $1,411 at May 1, 2004. Accumulated amortization was $178 at January 29, 2005 and $125 at May 1, 2004. We performed our annual impairment analysis of goodwill as of October 30, 2004. The result of this analysis indicated that no goodwill impairment existed as of that date.</w:t>
      </w:r>
    </w:p>
    <w:p>
      <w:pPr>
        <w:spacing w:after="0" w:line="194"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As required by SFAS No. 142, intangibles with finite lives continue to be amortized. Included in intangible assets are a non-compete agreement and a patent license. Intangible assets before accumulated amortization were $550 at January 29, 2005 and $540 at May 1, 2004. Accumulated amortization was $513 and $483 at January 29, 2005 and May 1, 2004, respectively. The net value of intangible assets is included as a component of intangible and other assets in the</w:t>
      </w:r>
    </w:p>
    <w:p>
      <w:pPr>
        <w:sectPr>
          <w:pgSz w:w="11900" w:h="16909" w:orient="portrait"/>
          <w:cols w:equalWidth="0" w:num="1">
            <w:col w:w="11420"/>
          </w:cols>
          <w:pgMar w:left="240" w:top="131" w:right="239" w:bottom="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t>accompanying consolidated balance sheets. Estimated amortization expense based on intangibles as of May 1, 2004 was $41 and $28 for the fiscal years 2005 and 2006,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4"/>
                <w:szCs w:val="14"/>
                <w:color w:val="auto"/>
              </w:rPr>
            </w:pPr>
          </w:p>
        </w:tc>
        <w:tc>
          <w:tcPr>
            <w:tcW w:w="1260" w:type="dxa"/>
            <w:vAlign w:val="bottom"/>
          </w:tcPr>
          <w:p>
            <w:pPr>
              <w:jc w:val="right"/>
              <w:ind w:right="499"/>
              <w:spacing w:after="0"/>
              <w:rPr>
                <w:sz w:val="20"/>
                <w:szCs w:val="20"/>
                <w:color w:val="auto"/>
              </w:rPr>
            </w:pPr>
            <w:r>
              <w:rPr>
                <w:rFonts w:ascii="Arial" w:cs="Arial" w:eastAsia="Arial" w:hAnsi="Arial"/>
                <w:sz w:val="14"/>
                <w:szCs w:val="14"/>
                <w:b w:val="1"/>
                <w:bCs w:val="1"/>
                <w:color w:val="auto"/>
              </w:rPr>
              <w:t>May 1,</w:t>
            </w:r>
          </w:p>
        </w:tc>
      </w:tr>
      <w:tr>
        <w:trPr>
          <w:trHeight w:val="174"/>
        </w:trPr>
        <w:tc>
          <w:tcPr>
            <w:tcW w:w="3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579"/>
              <w:spacing w:after="0"/>
              <w:rPr>
                <w:sz w:val="20"/>
                <w:szCs w:val="20"/>
                <w:color w:val="auto"/>
              </w:rPr>
            </w:pPr>
            <w:r>
              <w:rPr>
                <w:rFonts w:ascii="Arial" w:cs="Arial" w:eastAsia="Arial" w:hAnsi="Arial"/>
                <w:sz w:val="14"/>
                <w:szCs w:val="14"/>
                <w:b w:val="1"/>
                <w:bCs w:val="1"/>
                <w:color w:val="auto"/>
              </w:rPr>
              <w:t>2004</w:t>
            </w:r>
          </w:p>
        </w:tc>
      </w:tr>
      <w:tr>
        <w:trPr>
          <w:trHeight w:val="95"/>
        </w:trPr>
        <w:tc>
          <w:tcPr>
            <w:tcW w:w="38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r>
      <w:tr>
        <w:trPr>
          <w:trHeight w:val="309"/>
        </w:trPr>
        <w:tc>
          <w:tcPr>
            <w:tcW w:w="3840" w:type="dxa"/>
            <w:vAlign w:val="bottom"/>
          </w:tcPr>
          <w:p>
            <w:pPr>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8,781</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6,952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6,599</w:t>
            </w:r>
          </w:p>
        </w:tc>
      </w:tr>
      <w:tr>
        <w:trPr>
          <w:trHeight w:val="110"/>
        </w:trPr>
        <w:tc>
          <w:tcPr>
            <w:tcW w:w="38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384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22,375</w:t>
            </w:r>
          </w:p>
        </w:tc>
        <w:tc>
          <w:tcPr>
            <w:tcW w:w="8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16,604</w:t>
            </w:r>
          </w:p>
        </w:tc>
      </w:tr>
      <w:tr>
        <w:trPr>
          <w:trHeight w:val="120"/>
        </w:trPr>
        <w:tc>
          <w:tcPr>
            <w:tcW w:w="38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312"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United States</w:t>
            </w:r>
          </w:p>
        </w:tc>
        <w:tc>
          <w:tcPr>
            <w:tcW w:w="2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560" w:type="dxa"/>
            <w:vAlign w:val="bottom"/>
            <w:vMerge w:val="restart"/>
          </w:tcPr>
          <w:p>
            <w:pPr>
              <w:spacing w:after="0"/>
              <w:rPr>
                <w:sz w:val="20"/>
                <w:szCs w:val="20"/>
                <w:color w:val="auto"/>
              </w:rPr>
            </w:pPr>
            <w:r>
              <w:rPr>
                <w:rFonts w:ascii="Arial" w:cs="Arial" w:eastAsia="Arial" w:hAnsi="Arial"/>
                <w:sz w:val="18"/>
                <w:szCs w:val="18"/>
                <w:color w:val="auto"/>
              </w:rPr>
              <w:t>Net sales for the nine months ended:</w:t>
            </w: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5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January 29, 2005</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152,692</w:t>
            </w:r>
          </w:p>
        </w:tc>
        <w:tc>
          <w:tcPr>
            <w:tcW w:w="1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16,308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169,000</w:t>
            </w:r>
          </w:p>
        </w:tc>
        <w:tc>
          <w:tcPr>
            <w:tcW w:w="0" w:type="dxa"/>
            <w:vAlign w:val="bottom"/>
          </w:tcPr>
          <w:p>
            <w:pPr>
              <w:spacing w:after="0"/>
              <w:rPr>
                <w:sz w:val="1"/>
                <w:szCs w:val="1"/>
                <w:color w:val="auto"/>
              </w:rPr>
            </w:pPr>
          </w:p>
        </w:tc>
      </w:tr>
      <w:tr>
        <w:trPr>
          <w:trHeight w:val="222"/>
        </w:trPr>
        <w:tc>
          <w:tcPr>
            <w:tcW w:w="4560" w:type="dxa"/>
            <w:vAlign w:val="bottom"/>
          </w:tcPr>
          <w:p>
            <w:pPr>
              <w:ind w:left="260"/>
              <w:spacing w:after="0"/>
              <w:rPr>
                <w:sz w:val="20"/>
                <w:szCs w:val="20"/>
                <w:color w:val="auto"/>
              </w:rPr>
            </w:pPr>
            <w:r>
              <w:rPr>
                <w:rFonts w:ascii="Arial" w:cs="Arial" w:eastAsia="Arial" w:hAnsi="Arial"/>
                <w:sz w:val="18"/>
                <w:szCs w:val="18"/>
                <w:color w:val="auto"/>
              </w:rPr>
              <w:t>January 31, 2004</w:t>
            </w:r>
          </w:p>
        </w:tc>
        <w:tc>
          <w:tcPr>
            <w:tcW w:w="900" w:type="dxa"/>
            <w:vAlign w:val="bottom"/>
          </w:tcPr>
          <w:p>
            <w:pPr>
              <w:jc w:val="right"/>
              <w:spacing w:after="0"/>
              <w:rPr>
                <w:sz w:val="20"/>
                <w:szCs w:val="20"/>
                <w:color w:val="auto"/>
              </w:rPr>
            </w:pPr>
            <w:r>
              <w:rPr>
                <w:rFonts w:ascii="Arial" w:cs="Arial" w:eastAsia="Arial" w:hAnsi="Arial"/>
                <w:sz w:val="18"/>
                <w:szCs w:val="18"/>
                <w:color w:val="auto"/>
              </w:rPr>
              <w:t>130,881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151,969</w:t>
            </w:r>
          </w:p>
        </w:tc>
        <w:tc>
          <w:tcPr>
            <w:tcW w:w="0" w:type="dxa"/>
            <w:vAlign w:val="bottom"/>
          </w:tcPr>
          <w:p>
            <w:pPr>
              <w:spacing w:after="0"/>
              <w:rPr>
                <w:sz w:val="1"/>
                <w:szCs w:val="1"/>
                <w:color w:val="auto"/>
              </w:rPr>
            </w:pPr>
          </w:p>
        </w:tc>
      </w:tr>
      <w:tr>
        <w:trPr>
          <w:trHeight w:val="426"/>
        </w:trPr>
        <w:tc>
          <w:tcPr>
            <w:tcW w:w="4560" w:type="dxa"/>
            <w:vAlign w:val="bottom"/>
          </w:tcPr>
          <w:p>
            <w:pPr>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January 29, 2005</w:t>
            </w:r>
          </w:p>
        </w:tc>
        <w:tc>
          <w:tcPr>
            <w:tcW w:w="900" w:type="dxa"/>
            <w:vAlign w:val="bottom"/>
          </w:tcPr>
          <w:p>
            <w:pPr>
              <w:jc w:val="right"/>
              <w:spacing w:after="0"/>
              <w:rPr>
                <w:sz w:val="20"/>
                <w:szCs w:val="20"/>
                <w:color w:val="auto"/>
              </w:rPr>
            </w:pPr>
            <w:r>
              <w:rPr>
                <w:rFonts w:ascii="Arial" w:cs="Arial" w:eastAsia="Arial" w:hAnsi="Arial"/>
                <w:sz w:val="18"/>
                <w:szCs w:val="18"/>
                <w:color w:val="auto"/>
              </w:rPr>
              <w:t>30,201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33,324</w:t>
            </w:r>
          </w:p>
        </w:tc>
        <w:tc>
          <w:tcPr>
            <w:tcW w:w="0" w:type="dxa"/>
            <w:vAlign w:val="bottom"/>
          </w:tcPr>
          <w:p>
            <w:pPr>
              <w:spacing w:after="0"/>
              <w:rPr>
                <w:sz w:val="1"/>
                <w:szCs w:val="1"/>
                <w:color w:val="auto"/>
              </w:rPr>
            </w:pPr>
          </w:p>
        </w:tc>
      </w:tr>
      <w:tr>
        <w:trPr>
          <w:trHeight w:val="222"/>
        </w:trPr>
        <w:tc>
          <w:tcPr>
            <w:tcW w:w="4560" w:type="dxa"/>
            <w:vAlign w:val="bottom"/>
          </w:tcPr>
          <w:p>
            <w:pPr>
              <w:ind w:left="260"/>
              <w:spacing w:after="0"/>
              <w:rPr>
                <w:sz w:val="20"/>
                <w:szCs w:val="20"/>
                <w:color w:val="auto"/>
              </w:rPr>
            </w:pPr>
            <w:r>
              <w:rPr>
                <w:rFonts w:ascii="Arial" w:cs="Arial" w:eastAsia="Arial" w:hAnsi="Arial"/>
                <w:sz w:val="18"/>
                <w:szCs w:val="18"/>
                <w:color w:val="auto"/>
              </w:rPr>
              <w:t>January 31, 2004</w:t>
            </w:r>
          </w:p>
        </w:tc>
        <w:tc>
          <w:tcPr>
            <w:tcW w:w="900" w:type="dxa"/>
            <w:vAlign w:val="bottom"/>
          </w:tcPr>
          <w:p>
            <w:pPr>
              <w:jc w:val="right"/>
              <w:spacing w:after="0"/>
              <w:rPr>
                <w:sz w:val="20"/>
                <w:szCs w:val="20"/>
                <w:color w:val="auto"/>
              </w:rPr>
            </w:pPr>
            <w:r>
              <w:rPr>
                <w:rFonts w:ascii="Arial" w:cs="Arial" w:eastAsia="Arial" w:hAnsi="Arial"/>
                <w:sz w:val="18"/>
                <w:szCs w:val="18"/>
                <w:color w:val="auto"/>
              </w:rPr>
              <w:t>28,690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29,573</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Equipment Held for Sale</w:t>
      </w:r>
    </w:p>
    <w:p>
      <w:pPr>
        <w:spacing w:after="0" w:line="31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During the second quarter of fiscal year 2005, we entered into a plan to sell the rental equipment owned by a wholly owned subsidiary to allow us to focus more on sales of our new line of ProTour™ displays and to provide deeper support of the display rental market. As a result, this equipment was classified in the balance sheet as rental equipment held for sale, and based on our analysis of recoverability, no loss has been recognized related to the equipment, in accordance with SFAS No.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Acquisitions</w:t>
      </w:r>
    </w:p>
    <w:p>
      <w:pPr>
        <w:spacing w:after="0" w:line="31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November 30, 2004, we acquired all of the assets and assumed certain liabilities of Dodge Electronics, Inc. (“Dodge”), and on December 14, 2004, we acquired 100% of the outstanding stock of European Timing Systems, Ltd. Both acquisitions were paid for in cash, and the related acquisition agreements contain provisions for contingent consideration based on the gross profit of future transactions connected with each business. The amount of the contingent consideration is not expected to be significant and will be treated as compensation expense as it becomes earned. No amounts have been paid through January 29, 2005. We are also currently leasing facilities in Topeka, Kansas from the seller of Dodge for term of up to 5 years.</w:t>
      </w:r>
    </w:p>
    <w:p>
      <w:pPr>
        <w:spacing w:after="0" w:line="170"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aggregate cost of these acquisitions was approximately $1,024. Goodwill in the amount of $1,126 was recognized, and that amount is expected to be fully deductible for tax purposes. Because these transactions are not material to us, no pro forma disclosures have been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99"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ectPr>
          <w:pgSz w:w="11900" w:h="16838" w:orient="portrait"/>
          <w:cols w:equalWidth="0" w:num="1">
            <w:col w:w="11400"/>
          </w:cols>
          <w:pgMar w:left="240" w:top="131" w:right="259" w:bottom="0" w:gutter="0" w:footer="0" w:header="0"/>
        </w:sectPr>
      </w:pPr>
    </w:p>
    <w:bookmarkStart w:id="9" w:name="page10"/>
    <w:bookmarkEnd w:id="9"/>
    <w:p>
      <w:pPr>
        <w:ind w:right="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2005 and 2004 each contains 52 weeks.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estimatable.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As of January 29, 2005, we had an allowance for doubtful accounts balance of approximately $1.0 million.</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have created a reserve for warranties on our products equal to our estimate of the actual costs to be incurred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As of January 29, 2005, we had approximately $4.9 million reserved for these costs.</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We have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As of January 29, 2005, approximately $0.06 million in additional expense was provided for. In determining if additional reserves are necessary, we examine cost trends on the contracts and other information and compare that to the deferred revenue.</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i w:val="1"/>
          <w:iCs w:val="1"/>
          <w:color w:val="auto"/>
        </w:rPr>
        <w:t xml:space="preserve">Inventory. </w:t>
      </w:r>
      <w:r>
        <w:rPr>
          <w:rFonts w:ascii="Arial" w:cs="Arial" w:eastAsia="Arial" w:hAnsi="Arial"/>
          <w:sz w:val="15"/>
          <w:szCs w:val="15"/>
          <w:color w:val="auto"/>
        </w:rPr>
        <w:t>Inventories are stated at the lower of cost or market. Market refers to the current replacement cost, except that market may not exceed the net</w:t>
      </w:r>
      <w:r>
        <w:rPr>
          <w:rFonts w:ascii="Arial" w:cs="Arial" w:eastAsia="Arial" w:hAnsi="Arial"/>
          <w:sz w:val="15"/>
          <w:szCs w:val="15"/>
          <w:i w:val="1"/>
          <w:iCs w:val="1"/>
          <w:color w:val="auto"/>
        </w:rPr>
        <w:t xml:space="preserve"> </w:t>
      </w:r>
      <w:r>
        <w:rPr>
          <w:rFonts w:ascii="Arial" w:cs="Arial" w:eastAsia="Arial" w:hAnsi="Arial"/>
          <w:sz w:val="15"/>
          <w:szCs w:val="15"/>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All other inventory is valued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29,</w:t>
            </w:r>
          </w:p>
        </w:tc>
        <w:tc>
          <w:tcPr>
            <w:tcW w:w="9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January 31,</w:t>
            </w:r>
          </w:p>
        </w:tc>
        <w:tc>
          <w:tcPr>
            <w:tcW w:w="560" w:type="dxa"/>
            <w:vAlign w:val="bottom"/>
            <w:vMerge w:val="continue"/>
          </w:tcPr>
          <w:p>
            <w:pPr>
              <w:spacing w:after="0"/>
              <w:rPr>
                <w:sz w:val="11"/>
                <w:szCs w:val="11"/>
                <w:color w:val="auto"/>
              </w:rPr>
            </w:pPr>
          </w:p>
        </w:tc>
        <w:tc>
          <w:tcPr>
            <w:tcW w:w="5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29,</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720" w:type="dxa"/>
            <w:vAlign w:val="bottom"/>
          </w:tcPr>
          <w:p>
            <w:pPr>
              <w:jc w:val="right"/>
              <w:ind w:right="18"/>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8"/>
                <w:szCs w:val="18"/>
                <w:color w:val="auto"/>
              </w:rPr>
              <w:t>Income before income taxes and</w:t>
            </w: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Arial" w:cs="Arial" w:eastAsia="Arial" w:hAnsi="Arial"/>
                <w:sz w:val="18"/>
                <w:szCs w:val="18"/>
                <w:color w:val="auto"/>
              </w:rPr>
              <w:t>minority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Minority interest in income of subsidiary</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Net sales increased 11.2% to $169.0 million for nine months ended January 29, 2005 as compared to $152.0 million for the same period in fiscal year 2004. Net sales increased 14.3% to $50.8 million for the quarter ended January 29, 2005 as compared to $44.7 million for the same period in fiscal year 2004. For the nine months and quarter ended January 29, 2005, net sales increased in all three markets, with the commercial market continuing to see the greatest percentage growth rates. Net sales for the quarter ended January 29, 2005 were up domestically but down on an international basis. For the quarter, all three markets were up double digit percentages, while on a year to date basis in fiscal 2005, the sports and transportation businesses are up only slightly. As a percent of overall net sales, standard product orders were approximately 35% of net sales for the third quarter of fiscal year 2005 as compared to approximately 34% for the third quarter of fiscal year 2004.</w:t>
      </w:r>
    </w:p>
    <w:p>
      <w:pPr>
        <w:spacing w:after="0" w:line="17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Within the sports markets, the increase in net sales in the third quarter of fiscal year 2005 as compared to the third quarter of fiscal year 2004 was the result of a significant increase in sales to the mid-sized facilities, which had sales of more than double the same period one year ago. This increase was offset by a decline in net sales to professional sports facilities, which included the effects of two larger baseball stadium transactions in last year’s period and a decline in sales outside the United States. The small facilities business also increased; however, the rate of increase was less than expected. Net sales were also impacted during the quarter by delays in booking orders from original expectations as orders for a few professional baseball facilities were booked at the end of the quarter or early in the fourth quarter of the fiscal year.</w:t>
      </w:r>
    </w:p>
    <w:p>
      <w:pPr>
        <w:spacing w:after="0" w:line="17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growth in the smaller and mid-sized facilities portion of the sports market includes higher sales of both standard products and custom display systems and is due to opportunities for additional displays in facilities and the expanding markets for our products. In addition, we benefit from our network of sales and service offices throughout the country, giving us the ability to serve our customers more effectively, which enhances sales. We believe that the effects of the economy have a lesser impact on our sports market as compared to our other markets, since our products are generally revenue generation tools (through advertising) for facilities and the sports business in general is more resistant to negative factors in the economy as a whole.</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Net sales in the sports market internationally were down for the third quarter of fiscal 2005 and more significantly year to date in fiscal year 2005 as compared to the same periods in fiscal year 2004. We believe this is a reflection of the inherent volatility of large orders and the timing of when orders are booked, and over the next quarter we expect international sales could pick up depending on our success in the timing of some larger orders, including some for which we have already received non-binding commitments.</w:t>
      </w:r>
    </w:p>
    <w:p>
      <w:pPr>
        <w:spacing w:after="0" w:line="197" w:lineRule="exact"/>
        <w:rPr>
          <w:sz w:val="20"/>
          <w:szCs w:val="20"/>
          <w:color w:val="auto"/>
        </w:rPr>
      </w:pPr>
    </w:p>
    <w:p>
      <w:pPr>
        <w:ind w:right="60" w:firstLine="351"/>
        <w:spacing w:after="0" w:line="308" w:lineRule="auto"/>
        <w:rPr>
          <w:sz w:val="20"/>
          <w:szCs w:val="20"/>
          <w:color w:val="auto"/>
        </w:rPr>
      </w:pPr>
      <w:r>
        <w:rPr>
          <w:rFonts w:ascii="Arial" w:cs="Arial" w:eastAsia="Arial" w:hAnsi="Arial"/>
          <w:sz w:val="15"/>
          <w:szCs w:val="15"/>
          <w:color w:val="auto"/>
        </w:rPr>
        <w:t>In terms of orders in the sports markets, generally the same factors noted above relating to net sales cause similar changes in components of order bookings, although timing of large orders tends to cause differing short term results. For the third quarter of fiscal year 2005, order bookings were up by more than 15% in the sports market as compared to the third quarter of fiscal 2004. We are optimistic that transactions that were delayed in the third quarter of fiscal 2005 will be booked in the fourth quarter. These orders, combined with estimates for other orders in the fourth quarter, could cause bookings for the year to reach our original goals set at the beginning of the fiscal year. This expectation is subject to the risks of timing of the orders and the risk of a competitive environment. We continued to see solid performances in professional sports and mid-sized institutions as compared to the same periods one year ago. We believe that the growth in the sports market over the long-term is driven by new product development, new uses for existing products, an expanding market as our products become more affordable to more institutions, growth internationally, and our overall product offerings, which we believe are the most complete systems in the marketplace. We also expect that net sales in professional sports facilities will be down for fiscal year 2005 as compared to fiscal year 2004 as a result of a lower number of expected new and renovated facilities. We expect net sales in the small and mid-sized sports facilities to be higher for the entire fiscal year.</w:t>
      </w:r>
    </w:p>
    <w:p>
      <w:pPr>
        <w:spacing w:after="0" w:line="16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Net sales in the commercial market grew during the third quarter and first nine months of fiscal year 2005 as compared to the same periods of fiscal year 2004. Sales of custom video systems and standard products were both strong. The growing acceptance of our standard Galaxy® display product line, sales to national account customers and an increasing demand for large video systems continues to fuel growth as well as the improved economic conditions and the greater acceptance of LED technologies for advertising. The commercial market of our business has experienced the greatest percentage growth both for the third fiscal quarter of 2005 and year to date in fiscal 2005 as compared to the same periods in fiscal 2004. On an international basis, sales were up for the quarter and year to date as compared to the last fiscal year, mostly due to a number of orders booked earlier in the year in Europe and the Middle East. Sales in other parts of the world in general are down. We attribute this decline more to the inherent volatility of large orders. During the third quarter of the fiscal year 2005, we were also affected by delays in booking, primarily with respect to two orders which we expected to have booked during the quarter and are now expected to book in the fourth quarter.</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Order bookings in the commercial market were also up significantly for the third quarter of fiscal year 2005 and year to date as compared to the same periods of fiscal year 2004, in spite of the delay in bookings described above. Although sales and orders in the commercial market depend to a large degree on current economic conditions, we have been able to grow the business due to our product offerings and growing acceptance and demand for the products, our international expansion, our network of sales and service offices throughout the United States, the development of resellers, primarily in the United States, and the integrated offerings we provide. As we continue to penetrate the opportunities in the commercial market, including national accounts and business outside of the United States, and further develop our regional sales force, we expect the trend of increasing standard order volume and large video systems to continue at double-digit percentage growth rates.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Net sales in the transportation markets increased by more than 15% during the third quarter of fiscal year 2005 as compared to the same period of fiscal 2004 primarily as a result of the strong order bookings in the preceding quarters. For the nine months ended January 29, 2005, net sales in the transportation market are now up slightly as compared to the same period in fiscal 2004. Overall order bookings in the transportation market were down for the quarter as compared to the same quarter one year ago, but year to date, they remain up slightly. We expect that for fiscal year 2005, the transportation market will increase as compared to fiscal year 2004 in orders and net sales.</w:t>
      </w:r>
    </w:p>
    <w:p>
      <w:pPr>
        <w:sectPr>
          <w:pgSz w:w="11900" w:h="16838" w:orient="portrait"/>
          <w:cols w:equalWidth="0" w:num="1">
            <w:col w:w="11420"/>
          </w:cols>
          <w:pgMar w:left="240" w:top="131" w:right="239" w:bottom="0" w:gutter="0" w:footer="0" w:header="0"/>
        </w:sectPr>
      </w:pPr>
    </w:p>
    <w:bookmarkStart w:id="11" w:name="page12"/>
    <w:bookmarkEnd w:id="11"/>
    <w:p>
      <w:pPr>
        <w:ind w:right="160" w:firstLine="348"/>
        <w:spacing w:after="0" w:line="306" w:lineRule="auto"/>
        <w:rPr>
          <w:sz w:val="20"/>
          <w:szCs w:val="20"/>
          <w:color w:val="auto"/>
        </w:rPr>
      </w:pPr>
      <w:r>
        <w:rPr>
          <w:rFonts w:ascii="Arial" w:cs="Arial" w:eastAsia="Arial" w:hAnsi="Arial"/>
          <w:sz w:val="16"/>
          <w:szCs w:val="16"/>
          <w:color w:val="auto"/>
        </w:rPr>
        <w:t>We occasionally sell products in exchange for the advertising revenues generated from use of products. These sales represented 3.8% and 2.5% of net sales for the third quarter and nine months ended January 29, 2005. The gross profit percent on these transactions have typically been higher than the gross profit percent on other transactions of similar size, although the selling expenses associated with these transactions are typically higher.</w:t>
      </w:r>
    </w:p>
    <w:p>
      <w:pPr>
        <w:spacing w:after="0" w:line="16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order backlog as of January 29, 2005 was approximately $53 million as compared to $43 million as of January 31, 2004 and $50 million at the beginning of the third quarter of fiscal year 2005. Historically, our backlog varies due to the timing of large orders. The increase in backlog for the third quarter of fiscal year 2005 was across all three markets. As compared to the beginning of the third quarter of fiscal year 2005, the backlog declined in the commercial market and increased in the sports and transportation market. The changes were the result of the combination of the changes in orders and net sales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Gross profit increased 4.1% to $15.4 million for the third quarter of fiscal 2005 as compared to $14.7 million for the third quarter of fiscal year 2004. For the nine months ended January 29, 2005, gross profit increased 2.6% to $55.5 million compared to $54.1 million for the nine months ended January 31, 2004. As a percent of net sales, gross profit was 30.2% and 32.8% for three and nine months ended January 29, 2005 as compared to 33.0% and 35.6% for the three and nine months ended January 31, 2004. The gross margin percentage declined in the third quarter of fiscal 2005 as compared to the third quarter of fiscal year 2004 due to fewer raw materials price declines, the decline in on-site favorable variances, higher freight costs, delays in order bookings, causing more expediting of parts, and the overall competitive environment. We strive towards higher gross margins as a percent of net sales, although depending on the actual mix, performance on larger projects and level of future sales, margin percentages may not increase and are likely to decrease from the levels of last fiscal year in the short-term. We expect that margins will remain the same or higher during the fourth quarter of fiscal year 2005 and into the first half of fiscal 2006 than they were in the third quarter of the current fiscal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17.2% from $11.2 million in the third quarter of fiscal year 2004 to $13.2 million in the third quarter of fiscal year 2005. As a percent of net sales, operating expenses increased from 25.1% of net sales to 25.9% of net sales. For the nine months ended January 29, 2005, operating expenses increased 15.6% from $32.7 million for the nine months ended January 31, 2004 to $37.8 million for the nine months ended January 29, 2005.</w:t>
      </w:r>
    </w:p>
    <w:p>
      <w:pPr>
        <w:spacing w:after="0" w:line="16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 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39"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Selling expenses increased 20.0% to $8.2 million for three months ended January 29, 2005 as compared to $6.8 million for the same period in fiscal year 2004. Selling expenses increased 16.3% to $22.9 million for the nine months ended January 29, 2005 from $19.7 million for the same period in fiscal year 2004. Selling expenses increased to 16.1% of net sales for the third quarter of fiscal year 2005 from 15.3% of net sales for the third quarter of fiscal year 2004. For the nine months ended January 29, 2005, selling expenses were 13.6% of net sales as compared to 13.0% of net sales for the nine months ended January 31, 2004.</w:t>
      </w:r>
    </w:p>
    <w:p>
      <w:pPr>
        <w:spacing w:after="0" w:line="152"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Selling expenses for the quarter and the nine months ended January 29, 2005 were higher as a result of an increase in personnel costs as we continued to build our sales infrastructure in certain markets, including commercial products, digital signage and sports marketing, costs related to the two acquisitions in the third quarter, higher depreciation costs related to demonstration equipment as we developed and expanded our product base, higher costs of trade shows, primarily international, increased commission expense, and higher travel costs due to the increased level of net sales. We expect selling expense to increase slightly for the fourth quarter of fiscal 2005. As a percentage of net sales, selling expenses for the year are expected to be higher than the fiscal year 2004 level primarily due to the lower than expected level of sales for fiscal 2005.</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 related costs for administration departments, amortization of intangibles and supplies.</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General and administrative expenses were $2.5 million for the third quarter of fiscal year 2005 and fiscal year 2004. General and administrative expenses increased 6.3% to $7.3 million for the nine months ended January 29, 2005 as compared to $6.9 million for the nine months ended January 31, 2004. General and administrative expenses decreased to 4.8% as a percent of net sales for the third quarter of fiscal year 2005 from 5.6% of net sales for the third quarter of fiscal year 2004. For the nine months ended January 29, 2005, general and administrative expenses were 4.3% of net sales as compared to 4.5% of net sales for the nine months ended January 31, 2004.</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increase for the first nine months of fiscal year 2005 as compared to the third quarter of fiscal year 2004 was due to increases in costs primarily within our human resources and information systems departments due to our growth, information systems maintenance and support costs, training costs and higher costs of audit fees. These increases were offset by lower professional fees, excluding the audit fees, shareholder relations costs and equipment rental costs arising due to purchasing of equipment previously subject to rental arrangements. We expect that general and administrative costs will increase slightly in the fourth quarter of fiscal 2005. This estimate could change as a result of the effort expended to comply with the requirements of the Sarbanes-Oxley Act. In addition, it is likely that higher professional fees will be incurred in connection with the analysis we are performing on research and development tax credits, which is more fully described below.</w:t>
      </w:r>
    </w:p>
    <w:p>
      <w:pPr>
        <w:spacing w:after="0" w:line="201" w:lineRule="exact"/>
        <w:rPr>
          <w:sz w:val="20"/>
          <w:szCs w:val="20"/>
          <w:color w:val="auto"/>
        </w:rPr>
      </w:pPr>
    </w:p>
    <w:p>
      <w:pPr>
        <w:ind w:right="500" w:firstLine="395"/>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related costs, and costs of supplies.</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Product design and development expenses increased 33.2% to $2.5 million for the three months ended January 29, 2005 compared to $1.9 million for the same period in fiscal year 2004. Product design and development expenses increased 23.4% to $7.6 million for the nine months ended January 29, 2005 as compared to $6.2 million for the nine months ended January 31, 2004. Product design and development expense was 5.0% of net sales for the third quarter of fiscal year 2005 and 4.3% of net sales for third quarter 2004. For the nine months ended January 29, 2005, product design and development expenses were 4.5% of net sales for the third quarter of fiscal 2005 as compared to 4.1% of net sales for the nine months ended January 31, 2004.</w:t>
      </w:r>
    </w:p>
    <w:p>
      <w:pPr>
        <w:spacing w:after="0" w:line="170"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Generally, product design and development expenses increase during times when our engineering resources are not dedicated to long-term contracts, as the same personnel who work on research and development also work on long-term contracts. During the third quarter of fiscal 2005, we invested in a number of critical initiatives, including development of our new ProTour™ line of video displays, our Vplay® controller, a new generation of our ProStar® technology, our</w:t>
      </w:r>
    </w:p>
    <w:p>
      <w:pPr>
        <w:sectPr>
          <w:pgSz w:w="11900" w:h="16838" w:orient="portrait"/>
          <w:cols w:equalWidth="0" w:num="1">
            <w:col w:w="11420"/>
          </w:cols>
          <w:pgMar w:left="240" w:top="131" w:right="239" w:bottom="0" w:gutter="0" w:footer="0" w:header="0"/>
        </w:sectPr>
      </w:pPr>
    </w:p>
    <w:bookmarkStart w:id="12" w:name="page13"/>
    <w:bookmarkEnd w:id="12"/>
    <w:p>
      <w:pPr>
        <w:ind w:right="280"/>
        <w:spacing w:after="0" w:line="268" w:lineRule="auto"/>
        <w:rPr>
          <w:sz w:val="20"/>
          <w:szCs w:val="20"/>
          <w:color w:val="auto"/>
        </w:rPr>
      </w:pPr>
      <w:r>
        <w:rPr>
          <w:rFonts w:ascii="Arial" w:cs="Arial" w:eastAsia="Arial" w:hAnsi="Arial"/>
          <w:sz w:val="18"/>
          <w:szCs w:val="18"/>
          <w:color w:val="auto"/>
        </w:rPr>
        <w:t>Galaxy® product line and software related to the Vanguard® product line. We expect that product design and development expenses will approximate 4.0% to 4.5% of net sales for the 2005 fourth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312"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 in long-term receivables. We also invest excess cash in short-term temporary cash investments that generate interest income. Interest income resulting from these long-term receivables increased 41.5% to $0.4 million for the three months ended January 29, 2005 as compared to $0.3 million for the third quarter of fiscal year 2004. For the nine months ended January 29, 2005, interest income increased 37.3% to $1.0 million from $0.7 million for the nine months ended January 31, 2004. The increase for both periods of time was the result of higher average levels of temporary cash investments and long-term receivables outstanding during the respective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12"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Interest expense is comprised primarily of interest costs on our notes payable and long-term debt. As a result of the low levels of debt outstanding, the change in interest expense for the third quarter of fiscal year 2005 as compared to the same period in fiscal year 2004 was not significant. On a year to date basis, interest expense has declined 60.1% to $0.2 million from $0.4 million due to the lower levels of debt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1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Other income (expense), net, decreased to ($0.2) million for the third quarter of fiscal year 2005 as compared to $0.2 in the third quarter of fiscal year 2004. For the first nine months of fiscal year 2005, other income (expense), net, decreased to $0.3 million from $0.6 million for the same period in fiscal year 2004. The decrease for the third quarter resulted primarily from a write-down on an investment we made in a startup technology display business a number of years ago. The year to date decline resulted primarily from the decrease in gains on sales of mobile displays by the company’s video rental display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Income taxes decreased 108.6% to a benefit of $0.1 million in the third quarter of fiscal year 2005 as compared to an expense of $1.3 million in the third quarter of fiscal year 2004. For the first nine months of fiscal year 2005, income taxes decreased 29.2% to $6.1 million as compared to $8.6 million for the first nine months of fiscal year 2004. The decrease was due to the lower pre-tax income and the benefits associated with research and development tax credits. During the third quarter of fiscal year 2005, we reviewed our prior years’ claims for research and development tax credits and concluded that additional research and development expenses qualified for the credit. As a result, we amended our return for fiscal year 2001, realizing an additional research and development tax credit of approximately $0.4 million. In addition, during the third quarter, we recognized $0.4 million of benefits related to the current fiscal year research and development credits.. The effective rate (benefit) of (5.0%) in the third quarter of fiscal year 2005 compares to an effective rate of 34.3% in the third quarter of fiscal year 2004. Year to date, the effective rate is approximately 32.4% as compared to 38.7% for the first nine months of fiscal year 2004. During the fourth quarter of fiscal year 2005, we expect to realize additional benefits for fiscal years 2002, 2003, and 2004, which could total more than $1.0 million. As a result of the arrangement for computing these benefits, we have entered into a contingent fee arrangement with a public accounting firm, other than our independent auditors. To the extent there are benefits, those benefits would be offset partially through higher professional fees. In the absence of the benefits of prior years, we estimate that the actual effective tax rate for fiscal year 2005 would be approximately 36%.</w:t>
      </w:r>
    </w:p>
    <w:p>
      <w:pPr>
        <w:spacing w:after="0" w:line="178"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Over the course of the last three years, the World Trade Organization (“WTO”) has ruled that the provisions contained in the FSC Repeal and Extraterritorial Income Exclusion Act of 2000 (“ETI”) are prohibited export subsidies under the rules of the WTO. Federal legislation was recently signed into law that repealed ETI in the future in favor of a deduction relating to income attributable to domestic production activities. We have not yet fully evaluated the provisions of this new legislation; however, the ETI is being phased out over time beginning in calendar year 2005, when the ETI benefits get reduced to 80%. The new provisions will allow a deduction that could reduce taxable income by 9.0%, or 9.0% of qualified production activities income, whichever is less. The full benefit of this provision will not be achieved until 2010. We do not expect this, however, to have a material impact on our effective tax rates for fiscal year 2005. The effects on future years are being evaluated.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Working capital was $64.7 million at January 29, 2005 and $51.8 million at May 1, 2004.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Cash provided by operations for the nine months ended January 29, 2005 was $19.4 million. Net income of $12.7 million plus depreciation and amortization of $5.5 million, an increase in accounts payable and accrued expenses, billings in excess of costs and estimated earnings and customer deposits and a decrease in long term receivables was offset by increase in inventory, deferred and current income taxes, and the effects of changes in various other operating assets and liabilities. The changes in operating assets and liabilities were related to the growth we experienced during the first half of the year, higher inventory levels in preparation for expected standard product and custom orders in the fourth quarter. The decline in long-term receivables resulted from the sale of receivables on a non-recourse basis.</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Cash used by investing activities consisted of $8.2 million for purchases of property and equipment for the nine months ended January 29, 2005. During the first nine months of fiscal year 2005, the Company invested approximately $0.5 million in transportation equipment, $2.0 million in manufacturing equipment, $1.7 million in information systems infrastructure, including software, $1.4 million in product demonstration equipment and $1.3 million in building expansion and improvements. These investments were made to support our continued growth and to replace obsolete equipment. During the third quarter of fiscal 2005, we made two acquisitions totaling approximately $1.1 million in cash for operating assets in the case of Dodge Electronics, and 100% of the outstanding stock in the case of European Timing Systems, Ltd. Included in the acquisitions was approximately $1.1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Cash used by financing activities included a $1.3 million net reduction of long-term debt arrangements and short-term notes payable offset by $0.5 million in proceeds from the exercise of stock options.</w:t>
      </w:r>
    </w:p>
    <w:p>
      <w:pPr>
        <w:sectPr>
          <w:pgSz w:w="11900" w:h="16838" w:orient="portrait"/>
          <w:cols w:equalWidth="0" w:num="1">
            <w:col w:w="11420"/>
          </w:cols>
          <w:pgMar w:left="240" w:top="131" w:right="239" w:bottom="0" w:gutter="0" w:footer="0" w:header="0"/>
        </w:sectPr>
      </w:pPr>
    </w:p>
    <w:bookmarkStart w:id="13" w:name="page14"/>
    <w:bookmarkEnd w:id="13"/>
    <w:p>
      <w:pPr>
        <w:spacing w:after="0" w:line="1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67"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color w:val="auto"/>
        </w:rPr>
        <w:t>Our product development activities include the enhancement of existing products and the development of new products from existing technologies. Product design and development expenses were $2.5 million for the quarter ended January 29, 2005.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52"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have a credit agreement with a bank that provides for a $20.0 million line of credit, which includes up to $5.0 million for standby letters of credit. The interest rate on the line of credit is equal to LIBOR plus 1.55% (4.1% at January 29, 2005) and is due on October 1, 2005. As of January 29, 2005, no advances under the line of credit were outstanding. Six standby letters of credit were issued and outstanding for approximately $1.0 million as of January 29, 2005. The credit agreement is unsecured and requires us to meet certain covenants, including the maintenance of tangible net worth of at least $40 million, a minimum liquidity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(5.5% at January 29, 2005). As of January 29, 2005, $0.1 million had been drawn under the line. The lines are secured primarily by accounts receivables, inventory and other assets of the subsidiary.</w:t>
      </w:r>
    </w:p>
    <w:p>
      <w:pPr>
        <w:spacing w:after="0" w:line="172"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January 29, 2005, we had approximately $7.3 million of bonded work outstanding against this line.</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believe that under our current growth estimates over the next year, we have sufficient capacity under our lines of credit. Beyond that time, we may need to increase the amount of our credit facilities depending on various factors. We anticipate that we will be able to obtain any needed funds under 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Through January 29, 2005, most of our net sales were denominated in United States dollars, and our exposure to foreign currency exchange rate changes was not significant. Net sales originating outside the United States for the third quarter of fiscal year 2005 were 9.6% of total net sales. We operate in Canada through a wholly owned subsidiary. Sales of the Canadian subsidiary comprised 1.9% of net sales in the third quarter of fiscal year 2005. If we believed that currency risk in Canada was significant, we would utilize foreign exchange hedging contracts to manage our exposure to the Canadian dollar.</w:t>
      </w:r>
    </w:p>
    <w:p>
      <w:pPr>
        <w:spacing w:after="0" w:line="167"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expect net sales to international markets in the future to increase as a percentage of net sales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January 29, 2005, our outstanding debt approximated $1.5 million, substantially all of which was in fixed rate obligations. Each 100 basis point increase or decrease in interest rates would have an insignificant annual effect on variable rate debt interest based on the balances of such debt as of January 29, 2005. For fixed rate debt, interest rate changes affect its fair market value but do not affect earnings or cash flows.</w:t>
      </w:r>
    </w:p>
    <w:p>
      <w:pPr>
        <w:spacing w:after="0" w:line="167"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January 29, 2005, our outstanding long-term receivables were approximately $13.0 million. Each 25 basis point increase in interest rates would have an associated annual opportunity cost of approximately $0.1 million.</w:t>
      </w:r>
    </w:p>
    <w:p>
      <w:pPr>
        <w:spacing w:after="0" w:line="19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three quarters ending April 30, 2005 and subsequent fiscal years.</w:t>
      </w:r>
    </w:p>
    <w:p>
      <w:pPr>
        <w:spacing w:after="0" w:line="180" w:lineRule="exact"/>
        <w:rPr>
          <w:sz w:val="20"/>
          <w:szCs w:val="20"/>
          <w:color w:val="auto"/>
        </w:rPr>
      </w:pPr>
    </w:p>
    <w:p>
      <w:pPr>
        <w:jc w:val="center"/>
        <w:ind w:right="134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gridSpan w:val="6"/>
          </w:tcPr>
          <w:p>
            <w:pPr>
              <w:spacing w:after="0"/>
              <w:rPr>
                <w:sz w:val="20"/>
                <w:szCs w:val="20"/>
                <w:color w:val="auto"/>
              </w:rPr>
            </w:pPr>
            <w:r>
              <w:rPr>
                <w:rFonts w:ascii="Arial" w:cs="Arial" w:eastAsia="Arial" w:hAnsi="Arial"/>
                <w:sz w:val="18"/>
                <w:szCs w:val="18"/>
                <w:b w:val="1"/>
                <w:bCs w:val="1"/>
                <w:color w:val="auto"/>
                <w:w w:val="90"/>
              </w:rPr>
              <w:t>Fiscal Year Ending</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4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2005</w:t>
            </w:r>
          </w:p>
        </w:tc>
        <w:tc>
          <w:tcPr>
            <w:tcW w:w="90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w w:val="99"/>
              </w:rPr>
              <w:t>2008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after</w:t>
            </w:r>
          </w:p>
        </w:tc>
        <w:tc>
          <w:tcPr>
            <w:tcW w:w="0" w:type="dxa"/>
            <w:vAlign w:val="bottom"/>
          </w:tcPr>
          <w:p>
            <w:pPr>
              <w:spacing w:after="0"/>
              <w:rPr>
                <w:sz w:val="1"/>
                <w:szCs w:val="1"/>
                <w:color w:val="auto"/>
              </w:rPr>
            </w:pPr>
          </w:p>
        </w:tc>
      </w:tr>
      <w:tr>
        <w:trPr>
          <w:trHeight w:val="110"/>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Long-term receivables,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including current portion: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Arial" w:cs="Arial" w:eastAsia="Arial" w:hAnsi="Arial"/>
                <w:sz w:val="18"/>
                <w:szCs w:val="18"/>
                <w:color w:val="auto"/>
              </w:rPr>
              <w:t>Fixed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2,055</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3,632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3"/>
              </w:rPr>
              <w:t>1,553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1,079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0"/>
        </w:trPr>
        <w:tc>
          <w:tcPr>
            <w:tcW w:w="2940" w:type="dxa"/>
            <w:vAlign w:val="bottom"/>
          </w:tcPr>
          <w:p>
            <w:pPr>
              <w:ind w:left="180"/>
              <w:spacing w:after="0"/>
              <w:rPr>
                <w:sz w:val="20"/>
                <w:szCs w:val="20"/>
                <w:color w:val="auto"/>
              </w:rPr>
            </w:pPr>
            <w:r>
              <w:rPr>
                <w:rFonts w:ascii="Arial" w:cs="Arial" w:eastAsia="Arial" w:hAnsi="Arial"/>
                <w:sz w:val="18"/>
                <w:szCs w:val="18"/>
                <w:color w:val="auto"/>
              </w:rPr>
              <w:t>Average interest rate</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900" w:type="dxa"/>
            <w:vAlign w:val="bottom"/>
            <w:gridSpan w:val="3"/>
          </w:tcPr>
          <w:p>
            <w:pPr>
              <w:jc w:val="right"/>
              <w:ind w:right="152"/>
              <w:spacing w:after="0"/>
              <w:rPr>
                <w:sz w:val="20"/>
                <w:szCs w:val="20"/>
                <w:color w:val="auto"/>
              </w:rPr>
            </w:pPr>
            <w:r>
              <w:rPr>
                <w:rFonts w:ascii="Arial" w:cs="Arial" w:eastAsia="Arial" w:hAnsi="Arial"/>
                <w:sz w:val="18"/>
                <w:szCs w:val="18"/>
                <w:color w:val="auto"/>
              </w:rPr>
              <w:t>8.7%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7.4%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55" w:orient="portrait"/>
          <w:cols w:equalWidth="0" w:num="1">
            <w:col w:w="11400"/>
          </w:cols>
          <w:pgMar w:left="240" w:top="131" w:right="259" w:bottom="0" w:gutter="0" w:footer="0" w:header="0"/>
        </w:sectPr>
      </w:pPr>
    </w:p>
    <w:bookmarkStart w:id="14" w:name="page15"/>
    <w:bookmarkEnd w:id="14"/>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Fixed rate</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323</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993</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81</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23</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23</w:t>
            </w: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2280" w:type="dxa"/>
            <w:vAlign w:val="bottom"/>
          </w:tcPr>
          <w:p>
            <w:pPr>
              <w:ind w:left="40"/>
              <w:spacing w:after="0"/>
              <w:rPr>
                <w:sz w:val="20"/>
                <w:szCs w:val="20"/>
                <w:color w:val="auto"/>
              </w:rPr>
            </w:pPr>
            <w:r>
              <w:rPr>
                <w:rFonts w:ascii="Arial" w:cs="Arial" w:eastAsia="Arial" w:hAnsi="Arial"/>
                <w:sz w:val="18"/>
                <w:szCs w:val="18"/>
                <w:color w:val="auto"/>
              </w:rPr>
              <w:t>Average interest rate</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7.5%</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8.1%</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4.7%</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Substantially all of our cash balances are denominated in United States dollars. Cash balances in foreign currencies are operating balances maintained in accounts of our Canadian subsidiary and accounts to settle euro-based and Australian-based payments. These balances are immaterial as a whole.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99"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Company carried out an evaluation, under the supervision and with the participation of our management, including our Chief Executive Officer and Chief Financial Officer, of the effectiveness of the design and operation of the Company’s “disclosure controls and procedures,” as that term is defined in Rule 13a-15(e) and Rule 15d-15(e) under the Securities Exchange Act of 1934, as of January 29, 2005, which is the end of the period covered by this report. Based upon that evaluation, the Chief Executive Officer and Chief Financial Officer concluded that as of January 29, 2005, the Company’s disclosure controls and procedures were effective.</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the Company’s Chief Executive Officer and Chief Financial Officer concluded that during the quarter ended January 29, 2005, there was no change in the Company’s internal control over financial reporting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31.1*</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Executive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31.2*</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Financial Officer Required By Rule</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2"/>
              </w:rPr>
              <w:t>13a-14(a) OR Rule 15d-14(a) Of The Securities Exchange Act of 1934,</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88"/>
              </w:rPr>
              <w:t>As Adopted Pursuant To Section 302 Of The Sarbanes-Oxley Act Of 2002</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32.1*</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Executive Officer Pursuant To Section</w:t>
            </w:r>
          </w:p>
        </w:tc>
      </w:tr>
      <w:tr>
        <w:trPr>
          <w:trHeight w:val="216"/>
        </w:trPr>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9"/>
              </w:rPr>
              <w:t>906 Of The Sarbanes-Oxley Act of 2002 (18 U.S.C. Section 1350)</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Ex</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32.2*</w:t>
            </w:r>
          </w:p>
        </w:tc>
        <w:tc>
          <w:tcPr>
            <w:tcW w:w="5500" w:type="dxa"/>
            <w:vAlign w:val="bottom"/>
          </w:tcPr>
          <w:p>
            <w:pPr>
              <w:ind w:left="260"/>
              <w:spacing w:after="0"/>
              <w:rPr>
                <w:sz w:val="20"/>
                <w:szCs w:val="20"/>
                <w:color w:val="auto"/>
              </w:rPr>
            </w:pPr>
            <w:r>
              <w:rPr>
                <w:rFonts w:ascii="Arial" w:cs="Arial" w:eastAsia="Arial" w:hAnsi="Arial"/>
                <w:sz w:val="18"/>
                <w:szCs w:val="18"/>
                <w:color w:val="auto"/>
              </w:rPr>
              <w:t>Certification Of The Chief Financial Officer Pursuant To Section</w:t>
            </w:r>
          </w:p>
        </w:tc>
      </w:tr>
      <w:tr>
        <w:trPr>
          <w:trHeight w:val="222"/>
        </w:trPr>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w w:val="99"/>
              </w:rPr>
              <w:t>906 Of The Sarbanes-0xley Act Of 2002 (18 U.S.C. Section 1350)</w:t>
            </w:r>
          </w:p>
        </w:tc>
      </w:tr>
    </w:tbl>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ectPr>
          <w:pgSz w:w="11900" w:h="16838" w:orient="portrait"/>
          <w:cols w:equalWidth="0" w:num="1">
            <w:col w:w="11360"/>
          </w:cols>
          <w:pgMar w:left="240" w:top="131" w:right="299" w:bottom="0" w:gutter="0" w:footer="0" w:header="0"/>
          <w:type w:val="continuous"/>
        </w:sectPr>
      </w:pPr>
    </w:p>
    <w:bookmarkStart w:id="15" w:name="page16"/>
    <w:bookmarkEnd w:id="15"/>
    <w:p>
      <w:pPr>
        <w:ind w:left="4580"/>
        <w:spacing w:after="0"/>
        <w:rPr>
          <w:sz w:val="20"/>
          <w:szCs w:val="20"/>
          <w:color w:val="auto"/>
        </w:rPr>
      </w:pPr>
      <w:r>
        <w:rPr>
          <w:rFonts w:ascii="Arial" w:cs="Arial" w:eastAsia="Arial" w:hAnsi="Arial"/>
          <w:sz w:val="18"/>
          <w:szCs w:val="18"/>
          <w:color w:val="auto"/>
        </w:rPr>
        <w:t>Daktronics, Inc.</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Chief Financial Officer and Treasurer</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2005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68"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40" w:hanging="232"/>
        <w:spacing w:after="0" w:line="332" w:lineRule="auto"/>
        <w:tabs>
          <w:tab w:leader="none" w:pos="5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540" w:right="2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29, 2005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120" w:firstLine="8"/>
        <w:spacing w:after="0" w:line="268"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00" w:right="40" w:hanging="182"/>
        <w:spacing w:after="0" w:line="268" w:lineRule="auto"/>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40" w:right="2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40" w:hanging="216"/>
        <w:spacing w:after="0" w:line="268"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13" w:lineRule="exact"/>
        <w:rPr>
          <w:sz w:val="20"/>
          <w:szCs w:val="20"/>
          <w:color w:val="auto"/>
        </w:rPr>
      </w:pPr>
    </w:p>
    <w:p>
      <w:pPr>
        <w:ind w:left="42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Date:February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29, 2005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80"/>
        <w:spacing w:after="0"/>
        <w:tabs>
          <w:tab w:leader="none" w:pos="5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B. Morgan</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February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29, 2005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64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February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2019-12-14T02:10:33Z</dcterms:created>
  <dcterms:modified xsi:type="dcterms:W3CDTF">2019-12-14T02:10:33Z</dcterms:modified>
</cp:coreProperties>
</file>