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48" w:lineRule="exact"/>
        <w:rPr>
          <w:sz w:val="24"/>
          <w:szCs w:val="24"/>
          <w:color w:val="auto"/>
        </w:rPr>
      </w:pPr>
    </w:p>
    <w:p>
      <w:pPr>
        <w:ind w:left="4320" w:right="1800" w:hanging="2527"/>
        <w:spacing w:after="0" w:line="261" w:lineRule="auto"/>
        <w:tabs>
          <w:tab w:leader="none" w:pos="208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For the Quarterly Period Ended January 28, 2012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4320" w:right="1800" w:hanging="2513"/>
        <w:spacing w:after="0" w:line="261" w:lineRule="auto"/>
        <w:tabs>
          <w:tab w:leader="none" w:pos="194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jc w:val="center"/>
        <w:spacing w:after="0"/>
        <w:tabs>
          <w:tab w:leader="none" w:pos="100" w:val="left"/>
        </w:tabs>
        <w:rPr>
          <w:sz w:val="20"/>
          <w:szCs w:val="20"/>
          <w:color w:val="auto"/>
        </w:rPr>
      </w:pPr>
      <w:r>
        <w:rPr>
          <w:rFonts w:ascii="Arial" w:cs="Arial" w:eastAsia="Arial" w:hAnsi="Arial"/>
          <w:sz w:val="18"/>
          <w:szCs w:val="18"/>
          <w:b w:val="1"/>
          <w:bCs w:val="1"/>
          <w:i w:val="1"/>
          <w:iCs w:val="1"/>
          <w:color w:val="auto"/>
        </w:rPr>
        <w:t>For the Transition Period From</w:t>
        <w:tab/>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7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-19050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3180" w:type="dxa"/>
        <w:tblCellMar>
          <w:top w:w="0" w:type="dxa"/>
          <w:left w:w="0" w:type="dxa"/>
          <w:bottom w:w="0" w:type="dxa"/>
          <w:right w:w="0" w:type="dxa"/>
        </w:tblCellMar>
      </w:tblPr>
      <w:tr>
        <w:trPr>
          <w:trHeight w:val="220"/>
        </w:trPr>
        <w:tc>
          <w:tcPr>
            <w:tcW w:w="2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South Dakota</w:t>
            </w:r>
          </w:p>
        </w:tc>
        <w:tc>
          <w:tcPr>
            <w:tcW w:w="1780" w:type="dxa"/>
            <w:vAlign w:val="bottom"/>
          </w:tcPr>
          <w:p>
            <w:pPr>
              <w:ind w:left="120"/>
              <w:spacing w:after="0"/>
              <w:rPr>
                <w:sz w:val="20"/>
                <w:szCs w:val="20"/>
                <w:color w:val="auto"/>
              </w:rPr>
            </w:pPr>
            <w:r>
              <w:rPr>
                <w:rFonts w:ascii="Arial" w:cs="Arial" w:eastAsia="Arial" w:hAnsi="Arial"/>
                <w:sz w:val="18"/>
                <w:szCs w:val="18"/>
                <w:b w:val="1"/>
                <w:bCs w:val="1"/>
                <w:color w:val="auto"/>
              </w:rPr>
              <w:t>46-0306862</w:t>
            </w:r>
          </w:p>
        </w:tc>
      </w:tr>
      <w:tr>
        <w:trPr>
          <w:trHeight w:val="216"/>
        </w:trPr>
        <w:tc>
          <w:tcPr>
            <w:tcW w:w="220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w:t>
            </w:r>
          </w:p>
        </w:tc>
        <w:tc>
          <w:tcPr>
            <w:tcW w:w="1780" w:type="dxa"/>
            <w:vAlign w:val="bottom"/>
          </w:tcPr>
          <w:p>
            <w:pPr>
              <w:ind w:left="120"/>
              <w:spacing w:after="0"/>
              <w:rPr>
                <w:sz w:val="20"/>
                <w:szCs w:val="20"/>
                <w:color w:val="auto"/>
              </w:rPr>
            </w:pPr>
            <w:r>
              <w:rPr>
                <w:rFonts w:ascii="Arial" w:cs="Arial" w:eastAsia="Arial" w:hAnsi="Arial"/>
                <w:sz w:val="18"/>
                <w:szCs w:val="18"/>
                <w:color w:val="auto"/>
              </w:rPr>
              <w:t>(I.R.S. Employer</w:t>
            </w:r>
          </w:p>
        </w:tc>
      </w:tr>
      <w:tr>
        <w:trPr>
          <w:trHeight w:val="216"/>
        </w:trPr>
        <w:tc>
          <w:tcPr>
            <w:tcW w:w="2200" w:type="dxa"/>
            <w:vAlign w:val="bottom"/>
          </w:tcPr>
          <w:p>
            <w:pPr>
              <w:jc w:val="center"/>
              <w:ind w:right="30"/>
              <w:spacing w:after="0"/>
              <w:rPr>
                <w:sz w:val="20"/>
                <w:szCs w:val="20"/>
                <w:color w:val="auto"/>
              </w:rPr>
            </w:pPr>
            <w:r>
              <w:rPr>
                <w:rFonts w:ascii="Arial" w:cs="Arial" w:eastAsia="Arial" w:hAnsi="Arial"/>
                <w:sz w:val="18"/>
                <w:szCs w:val="18"/>
                <w:color w:val="auto"/>
                <w:w w:val="92"/>
              </w:rPr>
              <w:t>incorporation or</w:t>
            </w:r>
          </w:p>
        </w:tc>
        <w:tc>
          <w:tcPr>
            <w:tcW w:w="1780" w:type="dxa"/>
            <w:vAlign w:val="bottom"/>
          </w:tcPr>
          <w:p>
            <w:pPr>
              <w:ind w:left="120"/>
              <w:spacing w:after="0"/>
              <w:rPr>
                <w:sz w:val="20"/>
                <w:szCs w:val="20"/>
                <w:color w:val="auto"/>
              </w:rPr>
            </w:pPr>
            <w:r>
              <w:rPr>
                <w:rFonts w:ascii="Arial" w:cs="Arial" w:eastAsia="Arial" w:hAnsi="Arial"/>
                <w:sz w:val="18"/>
                <w:szCs w:val="18"/>
                <w:color w:val="auto"/>
                <w:w w:val="93"/>
              </w:rPr>
              <w:t>Identification Number)</w:t>
            </w:r>
          </w:p>
        </w:tc>
      </w:tr>
      <w:tr>
        <w:trPr>
          <w:trHeight w:val="230"/>
        </w:trPr>
        <w:tc>
          <w:tcPr>
            <w:tcW w:w="2200" w:type="dxa"/>
            <w:vAlign w:val="bottom"/>
          </w:tcPr>
          <w:p>
            <w:pPr>
              <w:jc w:val="center"/>
              <w:ind w:right="30"/>
              <w:spacing w:after="0"/>
              <w:rPr>
                <w:sz w:val="20"/>
                <w:szCs w:val="20"/>
                <w:color w:val="auto"/>
              </w:rPr>
            </w:pPr>
            <w:r>
              <w:rPr>
                <w:rFonts w:ascii="Arial" w:cs="Arial" w:eastAsia="Arial" w:hAnsi="Arial"/>
                <w:sz w:val="18"/>
                <w:szCs w:val="18"/>
                <w:color w:val="auto"/>
                <w:w w:val="92"/>
              </w:rPr>
              <w:t>organization)</w:t>
            </w:r>
          </w:p>
        </w:tc>
        <w:tc>
          <w:tcPr>
            <w:tcW w:w="1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154305</wp:posOffset>
            </wp:positionV>
            <wp:extent cx="1372235" cy="84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48995"/>
                    </a:xfrm>
                    <a:prstGeom prst="rect">
                      <a:avLst/>
                    </a:prstGeom>
                    <a:noFill/>
                  </pic:spPr>
                </pic:pic>
              </a:graphicData>
            </a:graphic>
          </wp:anchor>
        </w:drawing>
      </w:r>
    </w:p>
    <w:p>
      <w:pPr>
        <w:sectPr>
          <w:pgSz w:w="11900" w:h="16838" w:orient="portrait"/>
          <w:cols w:equalWidth="0" w:num="1">
            <w:col w:w="10820"/>
          </w:cols>
          <w:pgMar w:left="240" w:top="796"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201 Daktronics Drive</w:t>
      </w:r>
    </w:p>
    <w:p>
      <w:pPr>
        <w:spacing w:after="0" w:line="27"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57006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060" w:space="720"/>
            <w:col w:w="4040"/>
          </w:cols>
          <w:pgMar w:left="240" w:top="796" w:right="8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(605) 692-0200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1934 during the preceding 12 months (or for such shorter period that the registrant was required to file such reports), and (2) has been subject to such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filing 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S No o</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required to be submitted and posted pursuant to Rule 405 of Regulation S-T during the preceding 12 months (or for such shorter period that the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S No o</w:t>
      </w:r>
    </w:p>
    <w:p>
      <w:pPr>
        <w:spacing w:after="0" w:line="211" w:lineRule="exact"/>
        <w:rPr>
          <w:sz w:val="24"/>
          <w:szCs w:val="24"/>
          <w:color w:val="auto"/>
        </w:rPr>
      </w:pPr>
    </w:p>
    <w:p>
      <w:pPr>
        <w:jc w:val="both"/>
        <w:ind w:right="2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right="3680"/>
        <w:spacing w:after="0" w:line="261" w:lineRule="auto"/>
        <w:rPr>
          <w:sz w:val="20"/>
          <w:szCs w:val="20"/>
          <w:color w:val="auto"/>
        </w:rPr>
      </w:pPr>
      <w:r>
        <w:rPr>
          <w:rFonts w:ascii="Arial" w:cs="Arial" w:eastAsia="Arial" w:hAnsi="Arial"/>
          <w:sz w:val="18"/>
          <w:szCs w:val="18"/>
          <w:color w:val="auto"/>
        </w:rPr>
        <w:t>Large accelerated filer o Accelerated filer S Non-accelerated filer o Smaller reporting company o (Do not check if a smaller reporting company)</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S</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February 27, 2012 was 41,892,570.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6864985"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4985" cy="45085"/>
                    </a:xfrm>
                    <a:prstGeom prst="rect">
                      <a:avLst/>
                    </a:prstGeom>
                    <a:noFill/>
                  </pic:spPr>
                </pic:pic>
              </a:graphicData>
            </a:graphic>
          </wp:anchor>
        </w:drawing>
      </w:r>
    </w:p>
    <w:p>
      <w:pPr>
        <w:sectPr>
          <w:pgSz w:w="11900" w:h="16838" w:orient="portrait"/>
          <w:cols w:equalWidth="0" w:num="1">
            <w:col w:w="10820"/>
          </w:cols>
          <w:pgMar w:left="240" w:top="796" w:right="83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Quarter Ended January 28, 2012</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0" w:type="dxa"/>
            <w:vAlign w:val="bottom"/>
            <w:gridSpan w:val="4"/>
          </w:tcPr>
          <w:p>
            <w:pPr>
              <w:ind w:left="1640"/>
              <w:spacing w:after="0"/>
              <w:rPr>
                <w:sz w:val="20"/>
                <w:szCs w:val="20"/>
                <w:color w:val="auto"/>
              </w:rPr>
            </w:pPr>
            <w:r>
              <w:rPr>
                <w:rFonts w:ascii="Arial" w:cs="Arial" w:eastAsia="Arial" w:hAnsi="Arial"/>
                <w:sz w:val="18"/>
                <w:szCs w:val="18"/>
                <w:b w:val="1"/>
                <w:bCs w:val="1"/>
                <w:color w:val="auto"/>
                <w:w w:val="78"/>
              </w:rPr>
              <w:t>Page</w:t>
            </w:r>
          </w:p>
        </w:tc>
      </w:tr>
      <w:tr>
        <w:trPr>
          <w:trHeight w:val="608"/>
        </w:trPr>
        <w:tc>
          <w:tcPr>
            <w:tcW w:w="2260" w:type="dxa"/>
            <w:vAlign w:val="bottom"/>
            <w:tcBorders>
              <w:bottom w:val="single" w:sz="8" w:color="0000EE"/>
            </w:tcBorders>
            <w:gridSpan w:val="9"/>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656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60" w:type="dxa"/>
            <w:vAlign w:val="bottom"/>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January 28, 2012 and April 30, 2011</w:t>
              </w:r>
            </w:hyperlink>
          </w:p>
        </w:tc>
        <w:tc>
          <w:tcPr>
            <w:tcW w:w="2280" w:type="dxa"/>
            <w:vAlign w:val="bottom"/>
            <w:gridSpan w:val="3"/>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Nine Months Period</w:t>
              </w:r>
            </w:hyperlink>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320" w:type="dxa"/>
            <w:vAlign w:val="bottom"/>
            <w:tcBorders>
              <w:top w:val="single" w:sz="8" w:color="0000EE"/>
            </w:tcBorders>
            <w:gridSpan w:val="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Ended January 28, 2012 and January 29, 2011</w:t>
              </w:r>
            </w:hyperlink>
          </w:p>
        </w:tc>
        <w:tc>
          <w:tcPr>
            <w:tcW w:w="2180" w:type="dxa"/>
            <w:vAlign w:val="bottom"/>
            <w:tcBorders>
              <w:top w:val="single" w:sz="8" w:color="0000EE"/>
            </w:tcBorders>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1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Nine Months</w:t>
              </w:r>
            </w:hyperlink>
          </w:p>
        </w:tc>
        <w:tc>
          <w:tcPr>
            <w:tcW w:w="306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Ended January 28, 2012 and January 29, 2011</w:t>
              </w:r>
            </w:hyperlink>
          </w:p>
        </w:tc>
        <w:tc>
          <w:tcPr>
            <w:tcW w:w="4020" w:type="dxa"/>
            <w:vAlign w:val="bottom"/>
            <w:gridSpan w:val="7"/>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1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Consolidated Financial Statements</w:t>
              </w:r>
            </w:hyperlink>
          </w:p>
        </w:tc>
        <w:tc>
          <w:tcPr>
            <w:tcW w:w="4020" w:type="dxa"/>
            <w:vAlign w:val="bottom"/>
            <w:gridSpan w:val="7"/>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8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86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1820" w:type="dxa"/>
            <w:vAlign w:val="bottom"/>
            <w:gridSpan w:val="3"/>
          </w:tcPr>
          <w:p>
            <w:pPr>
              <w:ind w:left="164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17</w:t>
              </w:r>
            </w:hyperlink>
          </w:p>
        </w:tc>
        <w:tc>
          <w:tcPr>
            <w:tcW w:w="180" w:type="dxa"/>
            <w:vAlign w:val="bottom"/>
          </w:tcPr>
          <w:p>
            <w:pPr>
              <w:spacing w:after="0"/>
              <w:rPr>
                <w:sz w:val="24"/>
                <w:szCs w:val="2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702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 Quantitative and Qualitative Disclosures About Market Risk</w:t>
              </w:r>
            </w:hyperlink>
          </w:p>
        </w:tc>
        <w:tc>
          <w:tcPr>
            <w:tcW w:w="1620" w:type="dxa"/>
            <w:vAlign w:val="bottom"/>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29</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340" w:type="dxa"/>
            <w:vAlign w:val="bottom"/>
            <w:gridSpan w:val="10"/>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2580" w:type="dxa"/>
            <w:vAlign w:val="bottom"/>
            <w:gridSpan w:val="4"/>
          </w:tcPr>
          <w:p>
            <w:pPr>
              <w:spacing w:after="0"/>
              <w:rPr>
                <w:sz w:val="17"/>
                <w:szCs w:val="17"/>
                <w:color w:val="auto"/>
              </w:rPr>
            </w:pPr>
          </w:p>
        </w:tc>
        <w:tc>
          <w:tcPr>
            <w:tcW w:w="3720" w:type="dxa"/>
            <w:vAlign w:val="bottom"/>
            <w:gridSpan w:val="6"/>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30</w:t>
              </w:r>
            </w:hyperlink>
          </w:p>
        </w:tc>
        <w:tc>
          <w:tcPr>
            <w:tcW w:w="180" w:type="dxa"/>
            <w:vAlign w:val="bottom"/>
          </w:tcPr>
          <w:p>
            <w:pPr>
              <w:spacing w:after="0"/>
              <w:rPr>
                <w:sz w:val="17"/>
                <w:szCs w:val="17"/>
                <w:color w:val="auto"/>
              </w:rPr>
            </w:pPr>
          </w:p>
        </w:tc>
      </w:tr>
      <w:tr>
        <w:trPr>
          <w:trHeight w:val="412"/>
        </w:trPr>
        <w:tc>
          <w:tcPr>
            <w:tcW w:w="234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630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600" w:type="dxa"/>
            <w:vAlign w:val="bottom"/>
            <w:tcBorders>
              <w:top w:val="single" w:sz="8" w:color="0000EE"/>
            </w:tcBorders>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1420" w:type="dxa"/>
            <w:vAlign w:val="bottom"/>
            <w:tcBorders>
              <w:top w:val="single" w:sz="8" w:color="0000EE"/>
            </w:tcBorders>
            <w:gridSpan w:val="5"/>
          </w:tcPr>
          <w:p>
            <w:pPr>
              <w:ind w:left="100"/>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40" w:type="dxa"/>
            <w:vAlign w:val="bottom"/>
            <w:tcBorders>
              <w:top w:val="single" w:sz="8" w:color="0000EE"/>
            </w:tcBorders>
          </w:tcPr>
          <w:p>
            <w:pPr>
              <w:spacing w:after="0"/>
              <w:rPr>
                <w:sz w:val="17"/>
                <w:szCs w:val="17"/>
                <w:color w:val="auto"/>
              </w:rPr>
            </w:pPr>
          </w:p>
        </w:tc>
        <w:tc>
          <w:tcPr>
            <w:tcW w:w="6580" w:type="dxa"/>
            <w:vAlign w:val="bottom"/>
            <w:gridSpan w:val="13"/>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420" w:type="dxa"/>
            <w:vAlign w:val="bottom"/>
          </w:tcPr>
          <w:p>
            <w:pPr>
              <w:spacing w:after="0"/>
              <w:rPr>
                <w:sz w:val="17"/>
                <w:szCs w:val="17"/>
                <w:color w:val="auto"/>
              </w:rPr>
            </w:pPr>
          </w:p>
        </w:tc>
        <w:tc>
          <w:tcPr>
            <w:tcW w:w="6620" w:type="dxa"/>
            <w:vAlign w:val="bottom"/>
            <w:gridSpan w:val="14"/>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864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04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3600" w:type="dxa"/>
            <w:vAlign w:val="bottom"/>
            <w:gridSpan w:val="5"/>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020" w:type="dxa"/>
            <w:vAlign w:val="bottom"/>
            <w:gridSpan w:val="1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Mine Safety Disclosures</w:t>
              </w:r>
            </w:hyperlink>
          </w:p>
        </w:tc>
        <w:tc>
          <w:tcPr>
            <w:tcW w:w="5620" w:type="dxa"/>
            <w:vAlign w:val="bottom"/>
            <w:gridSpan w:val="8"/>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1420" w:type="dxa"/>
            <w:vAlign w:val="bottom"/>
            <w:gridSpan w:val="5"/>
          </w:tcPr>
          <w:p>
            <w:pPr>
              <w:ind w:left="100"/>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Other Information</w:t>
              </w:r>
            </w:hyperlink>
          </w:p>
        </w:tc>
        <w:tc>
          <w:tcPr>
            <w:tcW w:w="440" w:type="dxa"/>
            <w:vAlign w:val="bottom"/>
            <w:gridSpan w:val="5"/>
          </w:tcPr>
          <w:p>
            <w:pPr>
              <w:spacing w:after="0"/>
              <w:rPr>
                <w:sz w:val="17"/>
                <w:szCs w:val="17"/>
                <w:color w:val="auto"/>
              </w:rPr>
            </w:pPr>
          </w:p>
        </w:tc>
        <w:tc>
          <w:tcPr>
            <w:tcW w:w="6180" w:type="dxa"/>
            <w:vAlign w:val="bottom"/>
            <w:gridSpan w:val="9"/>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700" w:type="dxa"/>
            <w:vAlign w:val="bottom"/>
            <w:gridSpan w:val="3"/>
          </w:tcPr>
          <w:p>
            <w:pPr>
              <w:ind w:left="100"/>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720" w:type="dxa"/>
            <w:vAlign w:val="bottom"/>
            <w:gridSpan w:val="2"/>
          </w:tcPr>
          <w:p>
            <w:pPr>
              <w:spacing w:after="0"/>
              <w:rPr>
                <w:sz w:val="17"/>
                <w:szCs w:val="17"/>
                <w:color w:val="auto"/>
              </w:rPr>
            </w:pPr>
          </w:p>
        </w:tc>
        <w:tc>
          <w:tcPr>
            <w:tcW w:w="6620" w:type="dxa"/>
            <w:vAlign w:val="bottom"/>
            <w:gridSpan w:val="14"/>
          </w:tcPr>
          <w:p>
            <w:pPr>
              <w:spacing w:after="0"/>
              <w:rPr>
                <w:sz w:val="17"/>
                <w:szCs w:val="17"/>
                <w:color w:val="auto"/>
              </w:rPr>
            </w:pPr>
          </w:p>
        </w:tc>
        <w:tc>
          <w:tcPr>
            <w:tcW w:w="1820" w:type="dxa"/>
            <w:vAlign w:val="bottom"/>
            <w:gridSpan w:val="3"/>
          </w:tcPr>
          <w:p>
            <w:pPr>
              <w:ind w:left="1640"/>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31</w:t>
              </w:r>
            </w:hyperlink>
          </w:p>
        </w:tc>
        <w:tc>
          <w:tcPr>
            <w:tcW w:w="180" w:type="dxa"/>
            <w:vAlign w:val="bottom"/>
          </w:tcPr>
          <w:p>
            <w:pPr>
              <w:spacing w:after="0"/>
              <w:rPr>
                <w:sz w:val="17"/>
                <w:szCs w:val="17"/>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340" w:type="dxa"/>
            <w:vAlign w:val="bottom"/>
            <w:gridSpan w:val="16"/>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760" w:type="dxa"/>
            <w:vAlign w:val="bottom"/>
            <w:gridSpan w:val="2"/>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Signature</w:t>
              </w:r>
            </w:hyperlink>
          </w:p>
        </w:tc>
        <w:tc>
          <w:tcPr>
            <w:tcW w:w="540" w:type="dxa"/>
            <w:vAlign w:val="bottom"/>
            <w:gridSpan w:val="2"/>
          </w:tcPr>
          <w:p>
            <w:pPr>
              <w:spacing w:after="0"/>
              <w:rPr>
                <w:sz w:val="24"/>
                <w:szCs w:val="24"/>
                <w:color w:val="auto"/>
              </w:rPr>
            </w:pPr>
          </w:p>
        </w:tc>
        <w:tc>
          <w:tcPr>
            <w:tcW w:w="7340" w:type="dxa"/>
            <w:vAlign w:val="bottom"/>
            <w:gridSpan w:val="16"/>
          </w:tcPr>
          <w:p>
            <w:pPr>
              <w:spacing w:after="0"/>
              <w:rPr>
                <w:sz w:val="24"/>
                <w:szCs w:val="24"/>
                <w:color w:val="auto"/>
              </w:rPr>
            </w:pPr>
          </w:p>
        </w:tc>
        <w:tc>
          <w:tcPr>
            <w:tcW w:w="1820" w:type="dxa"/>
            <w:vAlign w:val="bottom"/>
            <w:gridSpan w:val="3"/>
          </w:tcPr>
          <w:p>
            <w:pPr>
              <w:ind w:left="16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32</w:t>
              </w:r>
            </w:hyperlink>
          </w:p>
        </w:tc>
        <w:tc>
          <w:tcPr>
            <w:tcW w:w="180" w:type="dxa"/>
            <w:vAlign w:val="bottom"/>
          </w:tcPr>
          <w:p>
            <w:pPr>
              <w:spacing w:after="0"/>
              <w:rPr>
                <w:sz w:val="24"/>
                <w:szCs w:val="24"/>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0000EE"/>
                <w:w w:val="84"/>
              </w:rPr>
              <w:t>Ex.</w:t>
            </w:r>
          </w:p>
        </w:tc>
        <w:tc>
          <w:tcPr>
            <w:tcW w:w="30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31.1</w:t>
            </w:r>
          </w:p>
        </w:tc>
        <w:tc>
          <w:tcPr>
            <w:tcW w:w="8460" w:type="dxa"/>
            <w:vAlign w:val="bottom"/>
            <w:gridSpan w:val="9"/>
          </w:tcPr>
          <w:p>
            <w:pPr>
              <w:spacing w:after="0" w:line="196" w:lineRule="exact"/>
              <w:rPr>
                <w:sz w:val="20"/>
                <w:szCs w:val="20"/>
                <w:color w:val="auto"/>
              </w:rPr>
            </w:pPr>
            <w:r>
              <w:rPr>
                <w:rFonts w:ascii="Arial" w:cs="Arial" w:eastAsia="Arial" w:hAnsi="Arial"/>
                <w:sz w:val="18"/>
                <w:szCs w:val="18"/>
                <w:color w:val="0000EE"/>
                <w:w w:val="97"/>
              </w:rPr>
              <w:t>Certification of the Chief Executive Officer required by Rule 13a-14(a) or Rule 15d-14(a) under the Securities</w:t>
            </w: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9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Exchange Act of 1934, as adopted pursuant to Section 302 of the Sarbanes-Oxley Act of 2002</w:t>
            </w:r>
            <w:r>
              <w:rPr>
                <w:rFonts w:ascii="Arial" w:cs="Arial" w:eastAsia="Arial" w:hAnsi="Arial"/>
                <w:sz w:val="18"/>
                <w:szCs w:val="18"/>
                <w:color w:val="000000"/>
              </w:rPr>
              <w:t>.</w:t>
            </w:r>
          </w:p>
        </w:tc>
        <w:tc>
          <w:tcPr>
            <w:tcW w:w="520" w:type="dxa"/>
            <w:vAlign w:val="bottom"/>
            <w:gridSpan w:val="3"/>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0000EE"/>
                <w:w w:val="84"/>
              </w:rPr>
              <w:t>Ex.</w:t>
            </w:r>
          </w:p>
        </w:tc>
        <w:tc>
          <w:tcPr>
            <w:tcW w:w="30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31.2</w:t>
            </w:r>
          </w:p>
        </w:tc>
        <w:tc>
          <w:tcPr>
            <w:tcW w:w="8460" w:type="dxa"/>
            <w:vAlign w:val="bottom"/>
            <w:gridSpan w:val="9"/>
          </w:tcPr>
          <w:p>
            <w:pPr>
              <w:spacing w:after="0" w:line="196" w:lineRule="exact"/>
              <w:rPr>
                <w:sz w:val="20"/>
                <w:szCs w:val="20"/>
                <w:color w:val="auto"/>
              </w:rPr>
            </w:pPr>
            <w:r>
              <w:rPr>
                <w:rFonts w:ascii="Arial" w:cs="Arial" w:eastAsia="Arial" w:hAnsi="Arial"/>
                <w:sz w:val="18"/>
                <w:szCs w:val="18"/>
                <w:color w:val="0000EE"/>
                <w:w w:val="98"/>
              </w:rPr>
              <w:t>Certification of the Chief Financial Officer required by Rule 13a-14(a) or Rule 15d-14(a) under the Securities</w:t>
            </w: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Sarbanes-Oxley Act of 2002.</w:t>
            </w:r>
          </w:p>
        </w:tc>
        <w:tc>
          <w:tcPr>
            <w:tcW w:w="1080" w:type="dxa"/>
            <w:vAlign w:val="bottom"/>
            <w:tcBorders>
              <w:top w:val="single" w:sz="8" w:color="0000EE"/>
            </w:tcBorders>
          </w:tcPr>
          <w:p>
            <w:pPr>
              <w:spacing w:after="0"/>
              <w:rPr>
                <w:sz w:val="17"/>
                <w:szCs w:val="17"/>
                <w:color w:val="auto"/>
              </w:rPr>
            </w:pPr>
          </w:p>
        </w:tc>
        <w:tc>
          <w:tcPr>
            <w:tcW w:w="560" w:type="dxa"/>
            <w:vAlign w:val="bottom"/>
            <w:gridSpan w:val="4"/>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0000EE"/>
                <w:w w:val="84"/>
              </w:rPr>
              <w:t>Ex.</w:t>
            </w:r>
          </w:p>
        </w:tc>
        <w:tc>
          <w:tcPr>
            <w:tcW w:w="30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32.1</w:t>
            </w:r>
          </w:p>
        </w:tc>
        <w:tc>
          <w:tcPr>
            <w:tcW w:w="8460" w:type="dxa"/>
            <w:vAlign w:val="bottom"/>
            <w:gridSpan w:val="9"/>
          </w:tcPr>
          <w:p>
            <w:pPr>
              <w:spacing w:after="0" w:line="196" w:lineRule="exact"/>
              <w:rPr>
                <w:sz w:val="20"/>
                <w:szCs w:val="20"/>
                <w:color w:val="auto"/>
              </w:rPr>
            </w:pPr>
            <w:r>
              <w:rPr>
                <w:rFonts w:ascii="Arial" w:cs="Arial" w:eastAsia="Arial" w:hAnsi="Arial"/>
                <w:sz w:val="18"/>
                <w:szCs w:val="18"/>
                <w:color w:val="0000EE"/>
                <w:w w:val="94"/>
              </w:rPr>
              <w:t>Certification of the Chief Executive Officer pursuant to Section 906 of the Sarbanes-Oxley Act of 2002 (18 U.S.C.</w:t>
            </w: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Section 1350).</w:t>
            </w:r>
          </w:p>
        </w:tc>
        <w:tc>
          <w:tcPr>
            <w:tcW w:w="720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0000EE"/>
                <w:w w:val="84"/>
              </w:rPr>
              <w:t>Ex.</w:t>
            </w:r>
          </w:p>
        </w:tc>
        <w:tc>
          <w:tcPr>
            <w:tcW w:w="30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32.2</w:t>
            </w:r>
          </w:p>
        </w:tc>
        <w:tc>
          <w:tcPr>
            <w:tcW w:w="8460" w:type="dxa"/>
            <w:vAlign w:val="bottom"/>
            <w:gridSpan w:val="9"/>
          </w:tcPr>
          <w:p>
            <w:pPr>
              <w:spacing w:after="0" w:line="196" w:lineRule="exact"/>
              <w:rPr>
                <w:sz w:val="20"/>
                <w:szCs w:val="20"/>
                <w:color w:val="auto"/>
              </w:rPr>
            </w:pPr>
            <w:r>
              <w:rPr>
                <w:rFonts w:ascii="Arial" w:cs="Arial" w:eastAsia="Arial" w:hAnsi="Arial"/>
                <w:sz w:val="18"/>
                <w:szCs w:val="18"/>
                <w:color w:val="0000EE"/>
                <w:w w:val="94"/>
              </w:rPr>
              <w:t>Certification of the Chief Financial Officer pursuant to Section 906 of the Sarbanes-Oxley Act of 2002 (18 U.S.C.</w:t>
            </w: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82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Section 1350).</w:t>
            </w:r>
          </w:p>
        </w:tc>
        <w:tc>
          <w:tcPr>
            <w:tcW w:w="240" w:type="dxa"/>
            <w:vAlign w:val="bottom"/>
            <w:gridSpan w:val="2"/>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20" w:type="dxa"/>
            <w:vAlign w:val="bottom"/>
            <w:gridSpan w:val="8"/>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Ex.</w:t>
            </w:r>
          </w:p>
        </w:tc>
        <w:tc>
          <w:tcPr>
            <w:tcW w:w="300" w:type="dxa"/>
            <w:vAlign w:val="bottom"/>
            <w:gridSpan w:val="2"/>
          </w:tcPr>
          <w:p>
            <w:pPr>
              <w:spacing w:after="0"/>
              <w:rPr>
                <w:sz w:val="20"/>
                <w:szCs w:val="20"/>
                <w:color w:val="auto"/>
              </w:rPr>
            </w:pPr>
            <w:r>
              <w:rPr>
                <w:rFonts w:ascii="Arial" w:cs="Arial" w:eastAsia="Arial" w:hAnsi="Arial"/>
                <w:sz w:val="18"/>
                <w:szCs w:val="18"/>
                <w:color w:val="auto"/>
                <w:w w:val="93"/>
              </w:rPr>
              <w:t>101</w:t>
            </w:r>
          </w:p>
        </w:tc>
        <w:tc>
          <w:tcPr>
            <w:tcW w:w="560" w:type="dxa"/>
            <w:vAlign w:val="bottom"/>
          </w:tcPr>
          <w:p>
            <w:pPr>
              <w:spacing w:after="0"/>
              <w:rPr>
                <w:sz w:val="19"/>
                <w:szCs w:val="19"/>
                <w:color w:val="auto"/>
              </w:rPr>
            </w:pPr>
          </w:p>
        </w:tc>
        <w:tc>
          <w:tcPr>
            <w:tcW w:w="8460" w:type="dxa"/>
            <w:vAlign w:val="bottom"/>
            <w:gridSpan w:val="9"/>
          </w:tcPr>
          <w:p>
            <w:pPr>
              <w:spacing w:after="0"/>
              <w:rPr>
                <w:sz w:val="20"/>
                <w:szCs w:val="20"/>
                <w:color w:val="auto"/>
              </w:rPr>
            </w:pPr>
            <w:r>
              <w:rPr>
                <w:rFonts w:ascii="Arial" w:cs="Arial" w:eastAsia="Arial" w:hAnsi="Arial"/>
                <w:sz w:val="18"/>
                <w:szCs w:val="18"/>
                <w:color w:val="auto"/>
                <w:w w:val="91"/>
              </w:rPr>
              <w:t>The following financial information from our Quarterly Report on Form 10-Q as of and for the quarter ended January</w:t>
            </w: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60" w:type="dxa"/>
            <w:vAlign w:val="bottom"/>
            <w:gridSpan w:val="9"/>
          </w:tcPr>
          <w:p>
            <w:pPr>
              <w:spacing w:after="0"/>
              <w:rPr>
                <w:sz w:val="20"/>
                <w:szCs w:val="20"/>
                <w:color w:val="auto"/>
              </w:rPr>
            </w:pPr>
            <w:r>
              <w:rPr>
                <w:rFonts w:ascii="Arial" w:cs="Arial" w:eastAsia="Arial" w:hAnsi="Arial"/>
                <w:sz w:val="18"/>
                <w:szCs w:val="18"/>
                <w:color w:val="auto"/>
              </w:rPr>
              <w:t>28, 2012, formatted in Extensible Business Reporting Language (XBRL): (i) Consolidated Balance Sheet,</w:t>
            </w:r>
          </w:p>
        </w:tc>
      </w:tr>
    </w:tbl>
    <w:p>
      <w:pPr>
        <w:ind w:left="1740" w:right="380" w:hanging="3"/>
        <w:spacing w:after="0" w:line="261" w:lineRule="auto"/>
        <w:tabs>
          <w:tab w:leader="none" w:pos="200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Statement of Operations, (iii) Consolidated Statement of Cash Flows, and (iv)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68649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640"/>
          </w:cols>
          <w:pgMar w:left="240" w:top="729" w:right="10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January 28,</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53,925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51,979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34,557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receivables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6,155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Income tax receivables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3,813</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217,009</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rights, net and other assets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Long-term receivables, less current maturities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12,952</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19,171</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Land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56,079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62,916</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furniture and equipment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Computer software and hardware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41,162</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held for rental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9,060</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191,686</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69,022</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605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68649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January 28,</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LIABILITIES AND SHAREHOLDERS' EQUITY</w:t>
            </w:r>
          </w:p>
        </w:tc>
        <w:tc>
          <w:tcPr>
            <w:tcW w:w="1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bank</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31,951</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17,917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Warranty obligations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14,095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9,849</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(billed or collected)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Current maturities of marketing obligations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100,829</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Long-term warranty obligations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8,998</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deferred revenue (billed or collected)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Other long-term obligations, less current maturities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13,988</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114,817</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 par value, authorized</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120,000,000 shares; 41,910,036 and 41,606,070 shares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issued at January 28, 2012 and April 30, 2011, respectively</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34,515</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132,335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19,680 shares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190,385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305,202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327,847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8605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68649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96"/>
              </w:rPr>
              <w:t>January 28,</w:t>
            </w:r>
          </w:p>
        </w:tc>
        <w:tc>
          <w:tcPr>
            <w:tcW w:w="108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96"/>
              </w:rPr>
              <w:t>January 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January 28,</w:t>
            </w: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122,925</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99,868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377,532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288,702</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244,242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88,830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Selling expense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13,341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12,148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38,475</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Product design and development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17,050</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75,935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12,895</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income, net</w:t>
            </w: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before income taxes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4,775</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41,811</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42,076</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42,175</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See notes to consolidated financial statements.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686498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999" w:right="8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January 28,</w:t>
            </w: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1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operating activities: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1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13,398</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Amortization of premium/discount on marketable securities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120"/>
              <w:spacing w:after="0"/>
              <w:rPr>
                <w:sz w:val="20"/>
                <w:szCs w:val="20"/>
                <w:color w:val="auto"/>
              </w:rPr>
            </w:pPr>
            <w:r>
              <w:rPr>
                <w:rFonts w:ascii="Arial" w:cs="Arial" w:eastAsia="Arial" w:hAnsi="Arial"/>
                <w:sz w:val="18"/>
                <w:szCs w:val="18"/>
                <w:color w:val="auto"/>
              </w:rPr>
              <w:t>Loss on sale of property and equipment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40"/>
              <w:spacing w:after="0"/>
              <w:rPr>
                <w:sz w:val="20"/>
                <w:szCs w:val="20"/>
                <w:color w:val="auto"/>
              </w:rPr>
            </w:pPr>
            <w:r>
              <w:rPr>
                <w:rFonts w:ascii="Arial" w:cs="Arial" w:eastAsia="Arial" w:hAnsi="Arial"/>
                <w:sz w:val="18"/>
                <w:szCs w:val="18"/>
                <w:color w:val="auto"/>
              </w:rPr>
              <w:t>Excess tax benefits from stock-based compensation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Equity in losses of affiliates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12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Deferred income taxes,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120"/>
              <w:spacing w:after="0"/>
              <w:rPr>
                <w:sz w:val="20"/>
                <w:szCs w:val="20"/>
                <w:color w:val="auto"/>
              </w:rPr>
            </w:pPr>
            <w:r>
              <w:rPr>
                <w:rFonts w:ascii="Arial" w:cs="Arial" w:eastAsia="Arial" w:hAnsi="Arial"/>
                <w:sz w:val="18"/>
                <w:szCs w:val="18"/>
                <w:color w:val="auto"/>
              </w:rPr>
              <w:t>Change in operating assets and liabilities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(16,092)</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8,393</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Purchases of property and equipment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(12,633)</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sale of property and equipment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(10,968)</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or maturities of marketable securities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Insurance recoveries on property and equipment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investing activities,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(9,508)</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Borrowings on notes payable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Proceeds from exercise of stock options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Excess tax benefits from stock-based compensation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Principal payments on long-term obligations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 paid</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(25,950)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800"/>
              <w:spacing w:after="0"/>
              <w:rPr>
                <w:sz w:val="20"/>
                <w:szCs w:val="20"/>
                <w:color w:val="auto"/>
              </w:rPr>
            </w:pPr>
            <w:r>
              <w:rPr>
                <w:rFonts w:ascii="Arial" w:cs="Arial" w:eastAsia="Arial" w:hAnsi="Arial"/>
                <w:sz w:val="18"/>
                <w:szCs w:val="18"/>
                <w:b w:val="1"/>
                <w:bCs w:val="1"/>
                <w:color w:val="auto"/>
              </w:rPr>
              <w:t>Net cash used in financing activities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(24,707)</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(25,756)</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Beginning of period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54,308</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63,603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End of period</w:t>
            </w:r>
          </w:p>
        </w:tc>
        <w:tc>
          <w:tcPr>
            <w:tcW w:w="14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Cash payments for: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Income taxes, net of refunds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4,266</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Demonstration equipment transferred to inventory</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Purchase of property and equipment included in accounts payable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686498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13" w:right="839" w:bottom="812"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The balance sheet at April 30, 2011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30, 2011,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 Certain reclassifications were made to prior year amounts to conform to the current period presentation. We reclassified certain other assets from intangibles; computer software and hardware from office furniture and equipment; and accrued expenses from obligations for warranties. These reclassifications had no effect on shareholders’ equity or net income as previously reported.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May 1, 2011, we prospectively adopted the Accounting Standard Updates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and ASU 2009-14, </w:t>
      </w:r>
      <w:r>
        <w:rPr>
          <w:rFonts w:ascii="Arial" w:cs="Arial" w:eastAsia="Arial" w:hAnsi="Arial"/>
          <w:sz w:val="17"/>
          <w:szCs w:val="17"/>
          <w:i w:val="1"/>
          <w:iCs w:val="1"/>
          <w:color w:val="auto"/>
        </w:rPr>
        <w:t>Certain Revenue Arrangements that Include Software Elements,</w:t>
      </w:r>
      <w:r>
        <w:rPr>
          <w:rFonts w:ascii="Arial" w:cs="Arial" w:eastAsia="Arial" w:hAnsi="Arial"/>
          <w:sz w:val="17"/>
          <w:szCs w:val="17"/>
          <w:color w:val="auto"/>
        </w:rPr>
        <w:t xml:space="preserve"> regarding revenue recognition for multiple deliverable arrangements and arrangements that include software elements. The update requires a vendor to allocate revenue in an arrangement using its best estimate of selling price if neither vendor specific objective evidence nor third party evidence of selling price exists. The residual method of revenue allocation is no longer permissible. Our adoption of ASU 2009-13 and ASU 2009-14 did not change our units of accounting for bundled arrangements, nor did it materially change how we allocate arrangement consideration to our various products and services. Accordingly, our adoption of ASU 2009-13 and ASU 2009-14 did not have a significant impact on our consolidated financial statements.</w:t>
      </w:r>
    </w:p>
    <w:p>
      <w:pPr>
        <w:spacing w:after="0" w:line="20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services. In some instances, we provide some or all of such equipment and services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 sales arrangement involves multiple elements, the items included in the arrangement (deliverables) are evaluated pursuant to Accounting Standards Codification (ASC) 605-25</w:t>
      </w:r>
      <w:r>
        <w:rPr>
          <w:rFonts w:ascii="Arial" w:cs="Arial" w:eastAsia="Arial" w:hAnsi="Arial"/>
          <w:sz w:val="18"/>
          <w:szCs w:val="18"/>
          <w:i w:val="1"/>
          <w:iCs w:val="1"/>
          <w:color w:val="auto"/>
        </w:rPr>
        <w:t>, Revenue Arrangements with Multiple Deliverables,</w:t>
      </w:r>
      <w:r>
        <w:rPr>
          <w:rFonts w:ascii="Arial" w:cs="Arial" w:eastAsia="Arial" w:hAnsi="Arial"/>
          <w:sz w:val="18"/>
          <w:szCs w:val="18"/>
          <w:color w:val="auto"/>
        </w:rPr>
        <w:t xml:space="preserve"> to determine whether they represent separate units of accounting. We perform this evaluation at the inception of an arrangement and as we deliver each item in the arrangement. Generally, we account for a deliverable (or a group of deliverables) separately if the delivered item(s) has standalone value to the customer and if we have given the customer a general right of return relative to the delivered item(s) and delivery or performance of the undelivered item(s) or service(s) is probable and substantially in our control.</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items included in a multiple-element arrangement represent separate units of accounting, we allocate the arrangement consideration to the individual items based on their relative selling values.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in our most recent Annual Report on Form 10-K filed with the Securities and Exchange Commission, to determine when and by which method such amount may be recognized as revenue.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determine if objective and reliable evidence of selling prices for each of the items included in a multiple-element arrangement exists based on whether we have vendor-specific objective evidence of the price for which we sell an item on a standalone basis. If we do not have vendor-specific objective evidence for the item, we will use the price charged by a competitor selling a comparable product or service on a standalone basis to similarly situated customers, if available. If neither vendor-specific objective evidence nor third party evidence is available, we use our best estimate of the selling price for that deliverable.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other revenue recognition accounting policies are explained in note 1 of the Notes to Consolidated Financial Statements in our Annual Report on Form 10-K for the fiscal year ended April 30,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December 2010, the Financial Accounting Standards Board (FASB) issued ASU 2010-28, </w:t>
      </w:r>
      <w:r>
        <w:rPr>
          <w:rFonts w:ascii="Arial" w:cs="Arial" w:eastAsia="Arial" w:hAnsi="Arial"/>
          <w:sz w:val="16"/>
          <w:szCs w:val="16"/>
          <w:i w:val="1"/>
          <w:iCs w:val="1"/>
          <w:color w:val="auto"/>
        </w:rPr>
        <w:t>When to Perform Step 2 of the Goodwill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Reporting Units with Zero or Negative Carrying Amounts (Topic 350)—Intangibles—Goodwill and Other</w:t>
      </w:r>
      <w:r>
        <w:rPr>
          <w:rFonts w:ascii="Arial" w:cs="Arial" w:eastAsia="Arial" w:hAnsi="Arial"/>
          <w:sz w:val="16"/>
          <w:szCs w:val="16"/>
          <w:color w:val="auto"/>
        </w:rPr>
        <w:t>. ASU 2010-28 amends the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for performing Step 2 of the goodwill impairment test for reporting units with zero or negative carrying amounts and requires performing Step 2 if qualitative factors indicate that it is more likely than not that a goodwill impairment exists. ASU 2010-28 requires any impairment to be recorded</w:t>
      </w:r>
    </w:p>
    <w:p>
      <w:pPr>
        <w:sectPr>
          <w:pgSz w:w="11900" w:h="16838" w:orient="portrait"/>
          <w:cols w:equalWidth="0" w:num="1">
            <w:col w:w="10820"/>
          </w:cols>
          <w:pgMar w:left="240" w:top="513" w:right="839" w:bottom="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upon adoption as an adjustment to our beginning retained earnings. The adoption of this update on May 1, 2011 did not have an impact on our consolidated financial statements, as we do not have any reporting units with zero or negative carrying amounts.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2011, the FASB issued ASU 2011-04, </w:t>
      </w:r>
      <w:r>
        <w:rPr>
          <w:rFonts w:ascii="Arial" w:cs="Arial" w:eastAsia="Arial" w:hAnsi="Arial"/>
          <w:sz w:val="17"/>
          <w:szCs w:val="17"/>
          <w:i w:val="1"/>
          <w:iCs w:val="1"/>
          <w:color w:val="auto"/>
        </w:rPr>
        <w:t>Amendments to Achieve Common Fair Value Measurements and Disclosure Requirements in U.S.</w:t>
      </w:r>
      <w:r>
        <w:rPr>
          <w:rFonts w:ascii="Arial" w:cs="Arial" w:eastAsia="Arial" w:hAnsi="Arial"/>
          <w:sz w:val="17"/>
          <w:szCs w:val="17"/>
          <w:color w:val="auto"/>
        </w:rPr>
        <w:t xml:space="preserve"> </w:t>
      </w:r>
      <w:r>
        <w:rPr>
          <w:rFonts w:ascii="Arial" w:cs="Arial" w:eastAsia="Arial" w:hAnsi="Arial"/>
          <w:sz w:val="17"/>
          <w:szCs w:val="17"/>
          <w:i w:val="1"/>
          <w:iCs w:val="1"/>
          <w:color w:val="auto"/>
        </w:rPr>
        <w:t>GAAP and IFRS</w:t>
      </w:r>
      <w:r>
        <w:rPr>
          <w:rFonts w:ascii="Arial" w:cs="Arial" w:eastAsia="Arial" w:hAnsi="Arial"/>
          <w:sz w:val="17"/>
          <w:szCs w:val="17"/>
          <w:color w:val="auto"/>
        </w:rPr>
        <w:t>, which amends ASC 820,</w:t>
      </w:r>
      <w:r>
        <w:rPr>
          <w:rFonts w:ascii="Arial" w:cs="Arial" w:eastAsia="Arial" w:hAnsi="Arial"/>
          <w:sz w:val="17"/>
          <w:szCs w:val="17"/>
          <w:i w:val="1"/>
          <w:iCs w:val="1"/>
          <w:color w:val="auto"/>
        </w:rPr>
        <w:t xml:space="preserve"> Fair Value Measurements and Disclosures</w:t>
      </w:r>
      <w:r>
        <w:rPr>
          <w:rFonts w:ascii="Arial" w:cs="Arial" w:eastAsia="Arial" w:hAnsi="Arial"/>
          <w:sz w:val="17"/>
          <w:szCs w:val="17"/>
          <w:color w:val="auto"/>
        </w:rPr>
        <w:t>. ASU 2011-04 provides a consistent definition of fair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ensures that the fair value measurement and disclosure requirements are similar between U.S. generally accepted accounting principles and International Financial Reporting Standards. ASU 2011-04 also changes certain fair value measurement principles and enhances the disclosure requirements particularly for level 3 fair value measurements. ASU 2011-04 is effective during interim and annual periods beginning after December 15, 2011. These new standards will be effective for us beginning in the fourth quarter of fiscal 2012. As this update impacts presentation only, its adoption will not impact our consolidated financial statements.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is an update to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ASU 2011-05 requires the components of net income and the components of other comprehensive income to be presented either in a single continuous statement of comprehensive income or in two separate but continuous statements. ASU 2011-05 eliminates the option to present components of other comprehensive income as part of the statement of changes in shareholders' equity. In addition, ASU 2011-05 requires companies to present on the face of the financial statements reclassification adjustments for items that are reclassified from other comprehensive income to net income in the statement(s) where the components of net income and the components of other comprehensive income are presented. ASU 2011-05 is effective for annual periods beginning after December 15, 2011 and interim periods thereafter. On December 23, 2011, the FASB issued ASU 2011-12, which deferred the effective date for the changes that related to the presentation of reclassification adjustments and their presentation in the financial statements until further notice. As this update impacts presentation only, its adoption will not impact our consolidated financial statements.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September 2011, the FASB issued ASU 2011-08, </w:t>
      </w:r>
      <w:r>
        <w:rPr>
          <w:rFonts w:ascii="Arial" w:cs="Arial" w:eastAsia="Arial" w:hAnsi="Arial"/>
          <w:sz w:val="18"/>
          <w:szCs w:val="18"/>
          <w:i w:val="1"/>
          <w:iCs w:val="1"/>
          <w:color w:val="auto"/>
        </w:rPr>
        <w:t>Intangibles – Goodwill and Other (Topic 350) — Testing Goodwill for Impairment</w:t>
      </w:r>
      <w:r>
        <w:rPr>
          <w:rFonts w:ascii="Arial" w:cs="Arial" w:eastAsia="Arial" w:hAnsi="Arial"/>
          <w:sz w:val="18"/>
          <w:szCs w:val="18"/>
          <w:color w:val="auto"/>
        </w:rPr>
        <w:t>. ASU 2011-08 permits an entity to make a qualitative assessment of whether it is more likely than not that a reporting unit’s fair value is less than its carrying value before applying the two-step goodwill impairment model that is currently in place. If it is determined through the qualitative assessment that a reporting unit’s fair value is more likely than not greater than its carrying value, the remaining impairment steps would be unnecessary. The qualitative assessment is optional, allowing companies to go directly to the quantitative assessment. ASU 2011-08 will be effective for annual and interim goodwill impairment tests performed in fiscal years beginning after December 15, 2011, with early adoption permitted. This new standard will be effective for us beginning in fiscal 2013. There will be no impact to the consolidated financial statement presentation, as ASU 2011-08 impacts the analysis to be performed only if needed.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877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would then share in our earnings.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nine months ended January 28, 2012 and January 29,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Earnings Per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For the three months ended January 28, 2012:</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41,916</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42,076</w:t>
            </w:r>
          </w:p>
        </w:tc>
        <w:tc>
          <w:tcPr>
            <w:tcW w:w="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January 29, 2011: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940" w:type="dxa"/>
            <w:vAlign w:val="bottom"/>
          </w:tcPr>
          <w:p>
            <w:pPr>
              <w:jc w:val="right"/>
              <w:spacing w:after="0"/>
              <w:rPr>
                <w:sz w:val="20"/>
                <w:szCs w:val="20"/>
                <w:color w:val="auto"/>
              </w:rPr>
            </w:pPr>
            <w:r>
              <w:rPr>
                <w:rFonts w:ascii="Arial" w:cs="Arial" w:eastAsia="Arial" w:hAnsi="Arial"/>
                <w:sz w:val="18"/>
                <w:szCs w:val="18"/>
                <w:color w:val="auto"/>
              </w:rPr>
              <w:t>41,534</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940" w:type="dxa"/>
            <w:vAlign w:val="bottom"/>
          </w:tcPr>
          <w:p>
            <w:pPr>
              <w:jc w:val="right"/>
              <w:spacing w:after="0"/>
              <w:rPr>
                <w:sz w:val="20"/>
                <w:szCs w:val="20"/>
                <w:color w:val="auto"/>
              </w:rPr>
            </w:pPr>
            <w:r>
              <w:rPr>
                <w:rFonts w:ascii="Arial" w:cs="Arial" w:eastAsia="Arial" w:hAnsi="Arial"/>
                <w:sz w:val="18"/>
                <w:szCs w:val="18"/>
                <w:color w:val="auto"/>
              </w:rPr>
              <w:t>42,201</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 the nine months ended January 28, 2012: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42,175</w:t>
            </w:r>
          </w:p>
        </w:tc>
        <w:tc>
          <w:tcPr>
            <w:tcW w:w="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29, 2011: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41,341</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41,969</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Options outstanding to purchase 1,621 shares of common stock with a weighted average exercise price of $19.18 for the three months ended January 28, 2012 and 773 shares of common stock with a weighted average exercise price of $25.88 for the three months ended January 29, 2011 were not included in the computation of diluted earnings per share because the effects would be anti-dilutive.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1,621 shares of common stock with a weighted average exercise price of $19.18 for the nine months ended January 28, 2012 and 1,658 shares of common stock with a weighted average exercise price of $18.49 for the nine months ended January 29, 2011 were not included in the computation of diluted earnings per share because the effects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ectPr>
          <w:pgSz w:w="11900" w:h="16838" w:orient="portrait"/>
          <w:cols w:equalWidth="0" w:num="1">
            <w:col w:w="10820"/>
          </w:cols>
          <w:pgMar w:left="240" w:top="125" w:right="839" w:bottom="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related to each reportable segment for the nine months ended January 28, 2012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Live Events</w:t>
            </w:r>
          </w:p>
        </w:tc>
        <w:tc>
          <w:tcPr>
            <w:tcW w:w="180" w:type="dxa"/>
            <w:vAlign w:val="bottom"/>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7"/>
              </w:rPr>
              <w:t>Commercial</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Transportation</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Goodwill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2011</w:t>
            </w:r>
          </w:p>
        </w:tc>
        <w:tc>
          <w:tcPr>
            <w:tcW w:w="7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28, 2012</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perform an analysis of goodwill on an annual basis as of the first business day of our third quarter of each year and more frequently if circumstances warrant. We performed this analysis as of October 30, 2011. The result of this analysis indicated that no goodwill impairment existed as of that date.</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face a number of risks to our business which can adversely impact cash flows in each of our business units and cause a significant decline in fair value of each business unit. This decline could lead to an impairment of goodwill to some or all of our business units. For example, events could cause an impairment in goodwill in some or all of our business units if the trend of orders and sales worsens and we are unable to respond in ways that preserve future cash flows or if our stock price declines significantly.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877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Note 4. Inventories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1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51,979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Disclosure</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We have organized our business into five business units which meet the definition of reportable segments under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Commercial segment, the Live Events segment, the Schools and Theatres segment, the Transportation segment, and the International segment.</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Commercial segment primarily consists of sales of our video, Galaxy®, Fuelight™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convention centers and sales of our mobile PST display technology to video rental organizations and other live events type venues. Our Schools and Theatres segment primarily consists of sales of scoring systems, Galaxy® displays and video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payroll dollars, square footage and various other financial measures.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tcBorders>
              <w:top w:val="single" w:sz="8" w:color="auto"/>
            </w:tcBorders>
            <w:gridSpan w:val="3"/>
          </w:tcPr>
          <w:p>
            <w:pPr>
              <w:ind w:left="80"/>
              <w:spacing w:after="0" w:line="198" w:lineRule="exact"/>
              <w:rPr>
                <w:sz w:val="20"/>
                <w:szCs w:val="20"/>
                <w:color w:val="auto"/>
              </w:rPr>
            </w:pPr>
            <w:r>
              <w:rPr>
                <w:rFonts w:ascii="Arial" w:cs="Arial" w:eastAsia="Arial" w:hAnsi="Arial"/>
                <w:sz w:val="18"/>
                <w:szCs w:val="18"/>
                <w:b w:val="1"/>
                <w:bCs w:val="1"/>
                <w:color w:val="auto"/>
              </w:rPr>
              <w:t>January 28,</w:t>
            </w:r>
          </w:p>
        </w:tc>
        <w:tc>
          <w:tcPr>
            <w:tcW w:w="108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96"/>
              </w:rPr>
              <w:t>January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January 28,</w:t>
            </w: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29,</w:t>
            </w:r>
          </w:p>
        </w:tc>
        <w:tc>
          <w:tcPr>
            <w:tcW w:w="12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Net sales:</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38,833</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83,760</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Live Events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38,496</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123,676</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120,846</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Schools &amp; Theatres</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46,418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49,671</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10,261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34,201</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30,091</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57,998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42,921</w:t>
            </w:r>
          </w:p>
        </w:tc>
      </w:tr>
      <w:tr>
        <w:trPr>
          <w:trHeight w:val="27"/>
        </w:trPr>
        <w:tc>
          <w:tcPr>
            <w:tcW w:w="36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680" w:type="dxa"/>
            <w:vAlign w:val="bottom"/>
          </w:tcPr>
          <w:p>
            <w:pPr>
              <w:spacing w:after="0"/>
              <w:rPr>
                <w:sz w:val="18"/>
                <w:szCs w:val="18"/>
                <w:color w:val="auto"/>
              </w:rPr>
            </w:pPr>
          </w:p>
        </w:tc>
        <w:tc>
          <w:tcPr>
            <w:tcW w:w="2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122,925</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99,868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377,532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327,289</w:t>
            </w:r>
          </w:p>
        </w:tc>
      </w:tr>
      <w:tr>
        <w:trPr>
          <w:trHeight w:val="21"/>
        </w:trPr>
        <w:tc>
          <w:tcPr>
            <w:tcW w:w="3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36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ectPr>
          <w:pgSz w:w="11900" w:h="16900" w:orient="portrait"/>
          <w:cols w:equalWidth="0" w:num="1">
            <w:col w:w="10820"/>
          </w:cols>
          <w:pgMar w:left="240" w:top="125" w:right="8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Contribution margin: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Live Events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2,643</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12,073</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Schools &amp; Theatres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8,219</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50,355</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Non-allocated operating expenses: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Product design and development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17,050</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13,769</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1,831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8,994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Live Events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1,260</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3,826</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Schools &amp; Theatres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Unallocated corporate depreciation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1,507</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us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United States</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Outside U.S.</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Net sales for three months ended:</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January 28, 2012</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94,537</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January 29, 2011</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83,668</w:t>
            </w: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16,200</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sales for nine months ended:</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January 28, 2012</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310,266</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January 29, 2011</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275,429</w:t>
            </w: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51,860</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327,289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Long-lived assets at: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January 28, 2012</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66,938</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April 30, 2011</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68,034</w:t>
            </w:r>
          </w:p>
        </w:tc>
        <w:tc>
          <w:tcPr>
            <w:tcW w:w="3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1,832</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69,866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Comprehensive Income</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follow the provisions of ASC 220,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For the first nine months of fiscal 2012 and 2011, no gains or losses on available-for-sale securities were recognized in earnings. Therefore, no reclassification adjustment has been recorded in either periods. The foreign currency translation adjustment included in comprehensive income has not been tax affected, as the investments in foreign affiliates are deemed to be permanent. In accordance with ASC 220, we have chosen to disclose comprehensive income in the consolidated statement of shareholders’ equity on an annual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A summary of comprehensive income is as follows: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2"/>
              </w:rPr>
              <w:t>January 28,</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11,281</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foreign currency translation (loss) gain adjustment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Unrealized gain (loss) on available for sale securities, net of taxes of ($23)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and $1, repectively</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0820"/>
          </w:cols>
          <w:pgMar w:left="240" w:top="140" w:right="839" w:bottom="0" w:gutter="0" w:footer="0" w:header="0"/>
        </w:sectPr>
      </w:pPr>
    </w:p>
    <w:bookmarkStart w:id="10" w:name="page11"/>
    <w:bookmarkEnd w:id="10"/>
    <w:p>
      <w:pPr>
        <w:ind w:left="180"/>
        <w:spacing w:after="0"/>
        <w:tabs>
          <w:tab w:leader="none" w:pos="5400" w:val="left"/>
          <w:tab w:leader="none" w:pos="6180" w:val="left"/>
          <w:tab w:leader="none" w:pos="7380" w:val="left"/>
        </w:tabs>
        <w:rPr>
          <w:sz w:val="20"/>
          <w:szCs w:val="20"/>
          <w:color w:val="auto"/>
        </w:rPr>
      </w:pPr>
      <w:r>
        <w:rPr>
          <w:rFonts w:ascii="Arial" w:cs="Arial" w:eastAsia="Arial" w:hAnsi="Arial"/>
          <w:sz w:val="18"/>
          <w:szCs w:val="18"/>
          <w:color w:val="auto"/>
        </w:rPr>
        <w:t>Total comprehensive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8,950 $</w:t>
      </w:r>
      <w:r>
        <w:rPr>
          <w:sz w:val="20"/>
          <w:szCs w:val="20"/>
          <w:color w:val="auto"/>
        </w:rPr>
        <w:tab/>
      </w:r>
      <w:r>
        <w:rPr>
          <w:rFonts w:ascii="Arial" w:cs="Arial" w:eastAsia="Arial" w:hAnsi="Arial"/>
          <w:sz w:val="16"/>
          <w:szCs w:val="16"/>
          <w:color w:val="auto"/>
        </w:rPr>
        <w:t>11,460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14605</wp:posOffset>
            </wp:positionV>
            <wp:extent cx="157797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342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involved in various claims and legal actions arising in the ordinary course of business. In the opinion of management,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 with legal counsel, the ultimate disposition of these matters, individually or as a whole, will not have a material adverse effect on our consolidated financial statements.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financial institutions, we have entered into contractual arrangements whereby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agreed to repurchase equipment at the end of the lease term at a fixed price. Our total obligations under these fixed price arrangements were $1,285 as of January 28, 2012 and April 30, 2011. We have recognized a guarantee liability in accrued expenses for the amount of $200,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connection with these arrangements.</w:t>
      </w:r>
    </w:p>
    <w:p>
      <w:pPr>
        <w:spacing w:after="0" w:line="21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offer a standard parts coverage warranty for periods varying from one to five years for all of our products. We also offer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warranties that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that may be incurred under the warranty obligations and record a liability in the amount of such estimated costs at the time the revenue is recognized. Factors that affect our estimate of the cost of our warranty obligations include historical experience and expectations of future conditions. We periodically assess the adequacy of our recorded warranty reserves and, to the extent that we experience any changes in warranty claim activity or costs associated with servicing those claims, our warranty obligation is adjusted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nine months ended January 28, 2012 consisted of the following:</w:t>
      </w:r>
    </w:p>
    <w:p>
      <w:pPr>
        <w:sectPr>
          <w:pgSz w:w="11900" w:h="16838" w:orient="portrait"/>
          <w:cols w:equalWidth="0" w:num="1">
            <w:col w:w="10820"/>
          </w:cols>
          <w:pgMar w:left="240" w:top="125" w:right="839" w:bottom="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567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7430" cy="13716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67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7430" cy="137160"/>
                    </a:xfrm>
                    <a:prstGeom prst="rect">
                      <a:avLst/>
                    </a:prstGeom>
                    <a:noFill/>
                  </pic:spPr>
                </pic:pic>
              </a:graphicData>
            </a:graphic>
          </wp:anchor>
        </w:drawing>
      </w:r>
    </w:p>
    <w:p>
      <w:pPr>
        <w:ind w:left="540" w:hanging="269"/>
        <w:spacing w:after="0" w:line="290" w:lineRule="auto"/>
        <w:rPr>
          <w:sz w:val="20"/>
          <w:szCs w:val="20"/>
          <w:color w:val="auto"/>
        </w:rPr>
      </w:pPr>
      <w:r>
        <w:rPr>
          <w:rFonts w:ascii="Arial" w:cs="Arial" w:eastAsia="Arial" w:hAnsi="Arial"/>
          <w:sz w:val="16"/>
          <w:szCs w:val="16"/>
          <w:color w:val="auto"/>
        </w:rPr>
        <w:t>Changes in accrued warranty costs for pre-existing warranties during the period, including expirations</w:t>
      </w:r>
    </w:p>
    <w:p>
      <w:pPr>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5674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74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7461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17145"/>
                    </a:xfrm>
                    <a:prstGeom prst="rect">
                      <a:avLst/>
                    </a:prstGeom>
                    <a:noFill/>
                  </pic:spPr>
                </pic:pic>
              </a:graphicData>
            </a:graphic>
          </wp:anchor>
        </w:drawing>
      </w:r>
    </w:p>
    <w:p>
      <w:pPr>
        <w:spacing w:after="0" w:line="20" w:lineRule="exact"/>
        <w:rPr>
          <w:sz w:val="20"/>
          <w:szCs w:val="20"/>
          <w:color w:val="auto"/>
        </w:rPr>
      </w:pPr>
    </w:p>
    <w:p>
      <w:pPr>
        <w:ind w:left="680" w:hanging="670"/>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22,982</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6,705</w:t>
      </w:r>
    </w:p>
    <w:p>
      <w:pPr>
        <w:spacing w:after="0" w:line="9"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(9,858)</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7461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17145"/>
                    </a:xfrm>
                    <a:prstGeom prst="rect">
                      <a:avLst/>
                    </a:prstGeom>
                    <a:noFill/>
                  </pic:spPr>
                </pic:pic>
              </a:graphicData>
            </a:graphic>
          </wp:anchor>
        </w:drawing>
      </w:r>
    </w:p>
    <w:p>
      <w:pPr>
        <w:spacing w:after="0" w:line="16" w:lineRule="exact"/>
        <w:rPr>
          <w:sz w:val="20"/>
          <w:szCs w:val="20"/>
          <w:color w:val="auto"/>
        </w:rPr>
      </w:pPr>
    </w:p>
    <w:p>
      <w:pPr>
        <w:ind w:left="680" w:hanging="67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23,093</w:t>
      </w:r>
    </w:p>
    <w:p>
      <w:pPr>
        <w:spacing w:after="0" w:line="200" w:lineRule="exact"/>
        <w:rPr>
          <w:sz w:val="20"/>
          <w:szCs w:val="20"/>
          <w:color w:val="auto"/>
        </w:rPr>
      </w:pPr>
    </w:p>
    <w:p>
      <w:pPr>
        <w:sectPr>
          <w:pgSz w:w="11900" w:h="16838" w:orient="portrait"/>
          <w:cols w:equalWidth="0" w:num="2">
            <w:col w:w="4200" w:space="120"/>
            <w:col w:w="6500"/>
          </w:cols>
          <w:pgMar w:left="240" w:top="125" w:right="839" w:bottom="0" w:gutter="0" w:footer="0" w:header="0"/>
          <w:type w:val="continuous"/>
        </w:sectPr>
      </w:pPr>
    </w:p>
    <w:p>
      <w:pPr>
        <w:spacing w:after="0" w:line="10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 of credit agreements, bank guarantees and surety bonds with financial institutions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guarantee of future performance on contracts, primarily construction type contracts. As of January 28, 2012, we had outstanding letters of credit agreements and surety bonds in the amount of $2,949 and $38,939, respectively. Performance guarantees are issued to certain customers to guarantee the operation and installation of the equipment and our ability to complete a contract. These performance guarantees have various terms, which are generally less than one year.</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various sales and service locations throughout the world,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and various equipment, primarily office equipment.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If the lease is extended, the purchase option increases to $8,600 for the year ending December 31, 2017 and $8,800 for the year ending December 31, 2018. Rental expense for operating leases was $2,452 and $2,632 for the nine months ended January 28, 2012 and January 29, 2011, respectively. Future minimum payments under noncancelable operating leases, excluding executory costs such as management and maintenance fees, with initial or remaining terms of one year or more consisted of the following at January 28,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2,876</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1,649</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1,589</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9,957</w:t>
            </w: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and various other products and services over periods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 beyond a year. As of January 28, 2012, we were obligated under the following conditional and unconditional purchase commitments, which included $1,000 in conditional purchase commitments.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1,314</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w:t>
            </w: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0820"/>
          </w:cols>
          <w:pgMar w:left="240" w:top="125" w:right="839" w:bottom="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Income Taxes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January 28, 2012, we had approximately $360 of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exams by the Internal Revenue Service on prior years and the expiration of statutes of limitations, fiscal years 2009, 2010 and 2011 are the only years remaining open under applicable statutes of limitations. Certain subsidiaries are also subject to income tax in foreign jurisdictions which have open tax years varying by jurisdiction extending back to 2004. We operate under a tax holiday in China that will expire in fiscal 2012. At this time, we are unable to predict how the expiration of the tax holiday will impact us in the future.</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third quarter of fiscal 2011, the President signed into law a reinstatement of the research and development tax credit, retroactively to January 1, 2010. As a result, we recognized in the third quarter of fiscal 2011 approximately $686 in benefits for the credit for the ten months preceding the third quarter of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It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asset’s or liability’s classification within this hierarchy is determined based on the lowest level input that is significant to the fair value measurement.</w:t>
      </w:r>
    </w:p>
    <w:p>
      <w:pPr>
        <w:spacing w:after="0" w:line="20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carrying amounts reported for variable rate long-term marketing obligations approximate fair value. Fair values for fixed-rate long-term marketing obligations are estimated using a discounted cash flow calculation that applies interest rates currently being offered for debt with similar terms and underlying collateral. The total carrying value of long-term marketing obligations reported on our consolidated balance sheets approximates fair value.</w:t>
      </w:r>
    </w:p>
    <w:p>
      <w:pPr>
        <w:spacing w:after="0" w:line="22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that were accounted for at fair value on a recurring basis at January 28, 2012 and April 30, 2011 according to the valuation techniques we used to determine their fair values. There have been no transfers of assets among the fair value hierarchies presented.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Fair Value Measurements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2</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Balance as of January 28, 2012:</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5,433</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60"/>
              <w:spacing w:after="0"/>
              <w:rPr>
                <w:sz w:val="20"/>
                <w:szCs w:val="20"/>
                <w:color w:val="auto"/>
              </w:rPr>
            </w:pPr>
            <w:r>
              <w:rPr>
                <w:rFonts w:ascii="Arial" w:cs="Arial" w:eastAsia="Arial" w:hAnsi="Arial"/>
                <w:sz w:val="18"/>
                <w:szCs w:val="18"/>
                <w:color w:val="auto"/>
              </w:rPr>
              <w:t>U.S. Government sponsored entities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11,088</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30,661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19,916</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Derivatives - currency forward contracts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Balance as of April 30, 2011: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4,913</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60"/>
              <w:spacing w:after="0"/>
              <w:rPr>
                <w:sz w:val="20"/>
                <w:szCs w:val="20"/>
                <w:color w:val="auto"/>
              </w:rPr>
            </w:pPr>
            <w:r>
              <w:rPr>
                <w:rFonts w:ascii="Arial" w:cs="Arial" w:eastAsia="Arial" w:hAnsi="Arial"/>
                <w:sz w:val="18"/>
                <w:szCs w:val="18"/>
                <w:color w:val="auto"/>
              </w:rPr>
              <w:t>U.S. Government sponsored entities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13,617</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57,853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20,944</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Derivatives - currency forward contracts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240" w:top="364" w:right="839" w:bottom="338"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68776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0820"/>
          </w:cols>
          <w:pgMar w:left="240" w:top="364" w:right="839" w:bottom="338" w:gutter="0" w:footer="0" w:header="0"/>
          <w:type w:val="continuous"/>
        </w:sectPr>
      </w:pPr>
    </w:p>
    <w:bookmarkStart w:id="12" w:name="page13"/>
    <w:bookmarkEnd w:id="12"/>
    <w:p>
      <w:pPr>
        <w:spacing w:after="0" w:line="6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9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Consists of cash on hand in bank deposits and highly liquid investments, primarily money market accounts.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was measured using quoted market prices in active markets and is classified as Level 1. The carrying amount approximates fair value.</w:t>
      </w:r>
    </w:p>
    <w:p>
      <w:pPr>
        <w:spacing w:after="0" w:line="17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that are held in bank deposit accounts to secure issuances of foreign bank guarantees.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cash equivalents was measured using quoted market prices in active markets and is classified as Level 1. The carrying amount approximates fair value and is classified as Level 1.</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Consists of time deposit accounts with original maturities of less than three years and various yields. The fair value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was measured based on valuations from a third party financial institution and is classified as Level 2. The carrying amount approximates fair value and is classified as Level 2.</w:t>
      </w:r>
    </w:p>
    <w:p>
      <w:pPr>
        <w:spacing w:after="0" w:line="20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U.S. Treasury Bills: </w:t>
      </w:r>
      <w:r>
        <w:rPr>
          <w:rFonts w:ascii="Arial" w:cs="Arial" w:eastAsia="Arial" w:hAnsi="Arial"/>
          <w:sz w:val="18"/>
          <w:szCs w:val="18"/>
          <w:color w:val="auto"/>
        </w:rPr>
        <w:t>Consists of U.S. Government treasury bills with original maturities of less than three years and various yields.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securities was measured using quoted market prices in active markets and is classified as Level 1.</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U.S. Government sponsored entities: </w:t>
      </w:r>
      <w:r>
        <w:rPr>
          <w:rFonts w:ascii="Arial" w:cs="Arial" w:eastAsia="Arial" w:hAnsi="Arial"/>
          <w:sz w:val="18"/>
          <w:szCs w:val="18"/>
          <w:color w:val="auto"/>
        </w:rPr>
        <w:t>Consist of Fannie Mae and Federal Home Loan Bank investment grade debt securities that trade with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and volume to enable us to obtain pricing information on an ongoing basis. The fair value of these securities was measured based on valuations from a third party financial institution and is classified as Level 2. The contractual maturities of these investments vary from one month to three years.</w:t>
      </w:r>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Municipal obligations: </w:t>
      </w:r>
      <w:r>
        <w:rPr>
          <w:rFonts w:ascii="Arial" w:cs="Arial" w:eastAsia="Arial" w:hAnsi="Arial"/>
          <w:sz w:val="18"/>
          <w:szCs w:val="18"/>
          <w:color w:val="auto"/>
        </w:rPr>
        <w:t>Consist of investment grade municipal bonds that trade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contractual maturities of these investments vary from two to three years. The fair value of these bonds was measured based on valuations from a third party financial institution and is classified as Level 2.</w:t>
      </w:r>
    </w:p>
    <w:p>
      <w:pPr>
        <w:spacing w:after="0" w:line="20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Derivatives – currency forward contracts: </w:t>
      </w:r>
      <w:r>
        <w:rPr>
          <w:rFonts w:ascii="Arial" w:cs="Arial" w:eastAsia="Arial" w:hAnsi="Arial"/>
          <w:sz w:val="17"/>
          <w:szCs w:val="17"/>
          <w:color w:val="auto"/>
        </w:rPr>
        <w:t>Consists of currency forward contracts that trade with sufficient frequency and volume to enable us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obtain pricing information on an ongoing basis. The fair value of these securities was measured based on valuation from a third party bank and is classified as Level 2. Refer to </w:t>
      </w:r>
      <w:r>
        <w:rPr>
          <w:rFonts w:ascii="Arial" w:cs="Arial" w:eastAsia="Arial" w:hAnsi="Arial"/>
          <w:sz w:val="17"/>
          <w:szCs w:val="17"/>
          <w:i w:val="1"/>
          <w:iCs w:val="1"/>
          <w:color w:val="auto"/>
        </w:rPr>
        <w:t>Note 12, Derivative Financial Instruments</w:t>
      </w:r>
      <w:r>
        <w:rPr>
          <w:rFonts w:ascii="Arial" w:cs="Arial" w:eastAsia="Arial" w:hAnsi="Arial"/>
          <w:sz w:val="17"/>
          <w:szCs w:val="17"/>
          <w:color w:val="auto"/>
        </w:rPr>
        <w:t>, for more information regarding our derivatives.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enter into any material business combinations during the first nine months of fiscal 2012 or in fiscal 2011. No material impairments of our long-lived assets were recognized during the first nine months of fiscal 2012 or in fiscal 2011.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Marketable Securities</w:t>
      </w:r>
    </w:p>
    <w:p>
      <w:pPr>
        <w:spacing w:after="0" w:line="256"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 xml:space="preserve">We have a cash management program which provides for the investment of cash balances not used in current operations. We classify our investments in marketable securities as available-for-sale in accordance with the provisions of ASU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xml:space="preserve"> Marketable securities classified as available-for-sale are reported at fair value with unrealized gains or losses, net of tax, reported in other comprehensive income. Unrealized losses considered to be “other-than-temporary” are recognized currently in earnings. The cost of securities sold is based on the specific identification method. Where quoted market prices are not available, we use the market price of similar types of securities that are traded in the market to estimate fair value. As of January 28, 2012 and April 30, 2011, our available-for-sale securities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89"/>
              <w:spacing w:after="0"/>
              <w:rPr>
                <w:sz w:val="20"/>
                <w:szCs w:val="20"/>
                <w:color w:val="auto"/>
              </w:rPr>
            </w:pPr>
            <w:r>
              <w:rPr>
                <w:rFonts w:ascii="Arial" w:cs="Arial" w:eastAsia="Arial" w:hAnsi="Arial"/>
                <w:sz w:val="22"/>
                <w:szCs w:val="22"/>
                <w:color w:val="auto"/>
              </w:rPr>
              <w:t>-14-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Balance as of January 28, 2012</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U.S. Treasury bills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sponsored entities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Municipal bonds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3,395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19,916</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4,913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U.S. Government sponsored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13,617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22,943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January 28, 2012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Less than 12</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Greater than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months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12 months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5,433</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U.S. Treasury bills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151"/>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ectPr>
          <w:pgSz w:w="11900" w:h="16900" w:orient="portrait"/>
          <w:cols w:equalWidth="0" w:num="1">
            <w:col w:w="10840"/>
          </w:cols>
          <w:pgMar w:left="240" w:top="125" w:right="81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8"/>
              </w:rPr>
              <w:t>U.S. Government sponsored agencies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Municipal obligations</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2,627</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3,395</w:t>
            </w:r>
          </w:p>
        </w:tc>
      </w:tr>
      <w:tr>
        <w:trPr>
          <w:trHeight w:val="27"/>
        </w:trPr>
        <w:tc>
          <w:tcPr>
            <w:tcW w:w="3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available-for-sale</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19,916</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Receivables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 or bank guarantees.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are reported net of an allowance for doubtful accounts of $2,422 and $2,548 at January 28, 2012 and April 30, 2011, respectively.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 Charge offs of receivables and our allowance for doubtful accounts related to financing receivables are not material to our financial results.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The present values of long-term contract and lease receivables, including accrued interest and current maturities, were $18,980 and $18,901 as of January 28, 2012 and April 30, 2011, respectively. Contract and lease receivables bearing annual interest rates of 6.0% to 12.0% are due in varying annual installments through July 2020. The face amount of long-term receivables was $22,296 and $22,807 as of January 28, 2012 and April 30, 2011, respectively. Included in accounts receivable as of January 28, 2012 and April 30, 2011 was $121 and $31, respectively, of retainage on construction-type contracts, all of which is expected to be collected 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5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that are denominated in currencies other than our functional currency, which is the U.S. dollar. We enter into currency forward contracts to manage these economic risks. We account for all derivatives on the balance sheet as an asset or liability measured at fair value, and changes in fair values are recognized in earnings unless specific hedge accounting criteria are met for cash flow or net investment hedges. If such hedge accounting criteria are met, the change is deferred in shareholders’ equity as a component of accumulated other comprehensive income. The deferred items are recognized in the statement of operations in the period the derivative contract is settled. As of January 28, 2012 and April 30, 2011, we had not designated any of our derivative instruments as accounting hedges, and, thus recorded the changes in fair value in the other income/expense.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January 28, 2012 and April 30, 2011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23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January 28, 2012</w:t>
            </w:r>
          </w:p>
        </w:tc>
        <w:tc>
          <w:tcPr>
            <w:tcW w:w="2400" w:type="dxa"/>
            <w:vAlign w:val="bottom"/>
            <w:gridSpan w:val="4"/>
          </w:tcPr>
          <w:p>
            <w:pPr>
              <w:ind w:left="620"/>
              <w:spacing w:after="0"/>
              <w:rPr>
                <w:sz w:val="20"/>
                <w:szCs w:val="20"/>
                <w:color w:val="auto"/>
              </w:rPr>
            </w:pPr>
            <w:r>
              <w:rPr>
                <w:rFonts w:ascii="Arial" w:cs="Arial" w:eastAsia="Arial" w:hAnsi="Arial"/>
                <w:sz w:val="18"/>
                <w:szCs w:val="18"/>
                <w:b w:val="1"/>
                <w:bCs w:val="1"/>
                <w:color w:val="auto"/>
              </w:rPr>
              <w:t>April 30, 2011</w:t>
            </w:r>
          </w:p>
        </w:tc>
      </w:tr>
      <w:tr>
        <w:trPr>
          <w:trHeight w:val="202"/>
        </w:trPr>
        <w:tc>
          <w:tcPr>
            <w:tcW w:w="43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U.S.</w:t>
            </w:r>
          </w:p>
        </w:tc>
        <w:tc>
          <w:tcPr>
            <w:tcW w:w="1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Foreign</w:t>
            </w:r>
          </w:p>
        </w:tc>
        <w:tc>
          <w:tcPr>
            <w:tcW w:w="100" w:type="dxa"/>
            <w:vAlign w:val="bottom"/>
          </w:tcPr>
          <w:p>
            <w:pPr>
              <w:spacing w:after="0"/>
              <w:rPr>
                <w:sz w:val="17"/>
                <w:szCs w:val="17"/>
                <w:color w:val="auto"/>
              </w:rPr>
            </w:pPr>
          </w:p>
        </w:tc>
      </w:tr>
      <w:tr>
        <w:trPr>
          <w:trHeight w:val="237"/>
        </w:trPr>
        <w:tc>
          <w:tcPr>
            <w:tcW w:w="43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U.S. Dollars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Currency</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Dollars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Currency</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Exchange Forward Contracts:</w:t>
            </w: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Dollars/Australian Dollars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U.S. Dollars/Polish Zloty</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2,390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Dollars/Singapore Dollar</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28, 2012, the fair value of foreign currency exchange forward contracts, using Level 2 inputs from a third party bank, represented liabilities of $99 compared to liabilities of $258 as of April 30, 2011. Changes in the fair value of the foreign currency exchange contracts are reflected in other income.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w:t>
      </w:r>
    </w:p>
    <w:p>
      <w:pPr>
        <w:sectPr>
          <w:pgSz w:w="11900" w:h="16838" w:orient="portrait"/>
          <w:cols w:equalWidth="0" w:num="1">
            <w:col w:w="10820"/>
          </w:cols>
          <w:pgMar w:left="240" w:top="140" w:right="839" w:bottom="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in our Annual Report on Form 10-K for the fiscal year ended April 30, 2011 in the section entitled “Item 1A. Risk Factors.”</w:t>
      </w:r>
    </w:p>
    <w:p>
      <w:pPr>
        <w:spacing w:after="0" w:line="22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design, manufacture and sell a wide range of display systems to customers throughout the world. We focus our sales and marketing efforts on markets, geographical regions and products. Our primary five segments consist of four domestic segments and one International segment. The four domestic segments consist of Live Events, Commercial, Schools and Theatres, and Transportation.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sales and profitability historically have fluctuated due to the impact of large product orders, such as display systems for professional sports facilities and colleges and universities, as well as the seasonality of the sports market. Net sales and gross profit percentages also have fluctuated due to other seasonality factors, including the impact of holidays, which primarily affects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2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0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operate on a 52 to 53 week fiscal year, with our fiscal year ending on the Saturday closest to April 30 of each year. When April 30 falls on a Wednesday, the fiscal year ends on the preceding Saturday. Fiscal 2012 and fiscal 2011 each contains 52 weeks. Within each 52 week fiscal year, each quarter is comprised of a 13 week period following the beginning of each fiscal year. In each 53 week year, each of the last three quarters is comprised of a 13 week period, and an additional week is added to the first quarter of that fiscal year.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our Consolidated Financial Statements, which are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a result of much of our business being comprised of large contracts, our results on a quarterly basis may fluctuate due to the timing of these contract order dates and delivery schedules. As a result, our management discussion and analysis, which describes the changes quarter over quarter and year to date over year to date, places more of the information concerning trends and other information in the year to date results.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contracts are similar across the business units over the long-term. There are, however, differences that arise in the short term among the business units, which are discussed more fully in the following analysis.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our business growth is driven by the market demand for large format electronic displays and the depth and quality of our products, including related control systems, the depth of our service offerings and our technology that serve these market demands. This growth, however, is partially offset by declines in product prices caused by increasing competition as well as declines in the costs of the raw materials and improved product designs and manufacturing methods which decreases the per unit selling prices of displays. Within each business unit, there are also key growth drivers that apply uniquely to that business unit.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Over the long-term, we believe that the following factors are important growth drivers to our Commercial business unit:</w:t>
      </w:r>
    </w:p>
    <w:p>
      <w:pPr>
        <w:spacing w:after="0" w:line="46" w:lineRule="exact"/>
        <w:rPr>
          <w:sz w:val="20"/>
          <w:szCs w:val="20"/>
          <w:color w:val="auto"/>
        </w:rPr>
      </w:pPr>
    </w:p>
    <w:p>
      <w:pPr>
        <w:jc w:val="both"/>
        <w:ind w:left="660" w:right="2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deployment of digital billboards, which we believe can expand as billboard companies continue developing new sites for digital billboards and start to replace digital billboards which are reaching end of life, which we expect could start happening in fiscal 2015. This growth is dependent on there being no adverse changes in the digital billboard regulatory environment, which could restrict future deployments of billboards, as well as maintaining our current market share of the business that is concentrated in a few large billboard companies.</w:t>
      </w:r>
    </w:p>
    <w:p>
      <w:pPr>
        <w:spacing w:after="0" w:line="2" w:lineRule="exact"/>
        <w:rPr>
          <w:rFonts w:ascii="Arial" w:cs="Arial" w:eastAsia="Arial" w:hAnsi="Arial"/>
          <w:sz w:val="18"/>
          <w:szCs w:val="18"/>
          <w:color w:val="auto"/>
        </w:rPr>
      </w:pPr>
    </w:p>
    <w:p>
      <w:pPr>
        <w:jc w:val="both"/>
        <w:ind w:left="660" w:right="20" w:hanging="139"/>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growing interest in our standard display products that are used in many different retail-type establishments among other types of applications. The demand in this area is driven by retailers and other types of commercial establishments attracting the attention of motorists and others into their establishment. It is also driven by the need to communicate messages to the general public. Furthermore, we</w:t>
      </w:r>
    </w:p>
    <w:p>
      <w:pPr>
        <w:sectPr>
          <w:pgSz w:w="11900" w:h="16838" w:orient="portrait"/>
          <w:cols w:equalWidth="0" w:num="1">
            <w:col w:w="10820"/>
          </w:cols>
          <w:pgMar w:left="240" w:top="125" w:right="839" w:bottom="0" w:gutter="0" w:footer="0" w:header="0"/>
        </w:sectPr>
      </w:pPr>
    </w:p>
    <w:bookmarkStart w:id="15" w:name="page16"/>
    <w:bookmarkEnd w:id="15"/>
    <w:p>
      <w:pPr>
        <w:ind w:left="660" w:right="20"/>
        <w:spacing w:after="0" w:line="258" w:lineRule="auto"/>
        <w:rPr>
          <w:sz w:val="20"/>
          <w:szCs w:val="20"/>
          <w:color w:val="auto"/>
        </w:rPr>
      </w:pPr>
      <w:r>
        <w:rPr>
          <w:rFonts w:ascii="Arial" w:cs="Arial" w:eastAsia="Arial" w:hAnsi="Arial"/>
          <w:sz w:val="18"/>
          <w:szCs w:val="18"/>
          <w:color w:val="auto"/>
        </w:rPr>
        <w:t>believe that in the future there will be increased demand from national accounts, including retailers, quick serve restaurants and other types of nationwide organizations which could lead to increasing sales.</w:t>
      </w:r>
    </w:p>
    <w:p>
      <w:pPr>
        <w:spacing w:after="0" w:line="1" w:lineRule="exact"/>
        <w:rPr>
          <w:sz w:val="20"/>
          <w:szCs w:val="20"/>
          <w:color w:val="auto"/>
        </w:rPr>
      </w:pPr>
    </w:p>
    <w:p>
      <w:pPr>
        <w:ind w:left="660" w:right="2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intricate displays seen at casinos, amusement parks and Times Square type locations.</w:t>
      </w:r>
    </w:p>
    <w:p>
      <w:pPr>
        <w:ind w:left="660" w:right="20" w:hanging="139"/>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Live Events Business Unit: </w:t>
      </w:r>
      <w:r>
        <w:rPr>
          <w:rFonts w:ascii="Arial" w:cs="Arial" w:eastAsia="Arial" w:hAnsi="Arial"/>
          <w:sz w:val="18"/>
          <w:szCs w:val="18"/>
          <w:color w:val="auto"/>
        </w:rPr>
        <w:t>Over the long-term, we believe that growth in the Live Events business unit will result from a number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product costs, which are driving an expansion of the marketplace.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and services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Over the long-term, we believe that growth in the Schools and Theatres business unit will result from a number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 w:lineRule="exact"/>
        <w:rPr>
          <w:sz w:val="20"/>
          <w:szCs w:val="20"/>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demand for video systems in high schools, as school districts realize the revenue generating potential of these displays versus traditional scoreboards.</w:t>
      </w:r>
    </w:p>
    <w:p>
      <w:pPr>
        <w:ind w:left="660" w:right="2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demand for different types of displays, such as message centers at schools to communicate to students, parents and the broader community.</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more sophisticated displays to more athletic venues, such as aquatics in schools.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Over the long-term, we believe that growth in the Transportation business unit will result from increasing applications of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in locations to manage commuters, including roadway, airport, parking, transit and other applications. This growth is highly dependent on government spending, primarily federal government spending.</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Over the long-term, we believe that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and the reasons listed in each of the other business units to the extent they apply outside the United States.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can be severely impacted. Our Commercial and International business units are highly dependent on economic conditions in general. Beginning in fiscal 2009, we began to see the impacts of the economy negatively impact our Commercial business unit and, to a lesser degree, our International business unit. As we entered into fiscal 2010, we began to see the adverse economic conditions impact our sports business, at all levels. Beginning in the second half of fiscal 2011, we saw our Commercial business unit start to rebound, led by improvements in orders for digital billboards, followed by other business units. We are uncertain as to how much the current economic conditions are still impacting our business, but we believe that there are still adverse implications of the current economic conditions in all of our business units.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products to generate the same or a greater level of net sales as in previous fiscal years. This price decline has been significant as a result of increased competition across all business units.</w:t>
      </w: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28, 2012 TO THREE MONTHS ENDED JANUARY 29,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January 28,</w:t>
            </w:r>
          </w:p>
        </w:tc>
        <w:tc>
          <w:tcPr>
            <w:tcW w:w="80" w:type="dxa"/>
            <w:vAlign w:val="bottom"/>
          </w:tcPr>
          <w:p>
            <w:pPr>
              <w:spacing w:after="0"/>
              <w:rPr>
                <w:sz w:val="19"/>
                <w:szCs w:val="19"/>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January 29,</w:t>
            </w:r>
          </w:p>
        </w:tc>
        <w:tc>
          <w:tcPr>
            <w:tcW w:w="1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Dollar</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4"/>
        </w:trPr>
        <w:tc>
          <w:tcPr>
            <w:tcW w:w="354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8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440"/>
              <w:spacing w:after="0" w:line="194" w:lineRule="exact"/>
              <w:rPr>
                <w:sz w:val="20"/>
                <w:szCs w:val="20"/>
                <w:color w:val="auto"/>
              </w:rPr>
            </w:pPr>
            <w:r>
              <w:rPr>
                <w:rFonts w:ascii="Arial" w:cs="Arial" w:eastAsia="Arial" w:hAnsi="Arial"/>
                <w:sz w:val="18"/>
                <w:szCs w:val="18"/>
                <w:b w:val="1"/>
                <w:bCs w:val="1"/>
                <w:color w:val="auto"/>
                <w:w w:val="99"/>
              </w:rPr>
              <w:t>Change</w:t>
            </w:r>
          </w:p>
        </w:tc>
        <w:tc>
          <w:tcPr>
            <w:tcW w:w="132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38,496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36,138</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2,358</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Schools &amp; Theatres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11,063</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12,394</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122,925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99,868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23,057</w:t>
            </w:r>
          </w:p>
        </w:tc>
        <w:tc>
          <w:tcPr>
            <w:tcW w:w="13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Orders: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46,797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(8,113)</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Schools &amp; Theatres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11,416</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4,027</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3,225</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107,006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105,149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1,857</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125" w:right="839" w:bottom="0" w:gutter="0" w:footer="0" w:header="0"/>
        </w:sectPr>
      </w:pPr>
    </w:p>
    <w:bookmarkStart w:id="16" w:name="page17"/>
    <w:bookmarkEnd w:id="16"/>
    <w:p>
      <w:pPr>
        <w:ind w:right="20"/>
        <w:spacing w:after="0" w:line="258"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in our Commercial business unit for the three months ended January 28, 2012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is the net result of:</w:t>
      </w:r>
    </w:p>
    <w:p>
      <w:pPr>
        <w:spacing w:after="0" w:line="1" w:lineRule="exact"/>
        <w:rPr>
          <w:sz w:val="20"/>
          <w:szCs w:val="20"/>
          <w:color w:val="auto"/>
        </w:rPr>
      </w:pPr>
    </w:p>
    <w:p>
      <w:pPr>
        <w:jc w:val="both"/>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orders in the second quarter of fiscal 2012 over the same period one year ago in our billboard segment, which resulted in a larger backlog of billboard products as we entered the third quarter of fiscal 2012 that converted to actual sales during the quarter. Orders were approximately $6 million higher in the second quarter of fiscal 2012 as compared to the second quarter of fiscal 2011. We attribute this growth to the increase in orders primarily from two of the large billboard companies, which increased their deployment plans at the beginning of calendar year 2011.</w:t>
      </w:r>
    </w:p>
    <w:p>
      <w:pPr>
        <w:spacing w:after="0" w:line="2" w:lineRule="exact"/>
        <w:rPr>
          <w:rFonts w:ascii="Arial" w:cs="Arial" w:eastAsia="Arial" w:hAnsi="Arial"/>
          <w:sz w:val="18"/>
          <w:szCs w:val="18"/>
          <w:color w:val="auto"/>
        </w:rPr>
      </w:pPr>
    </w:p>
    <w:p>
      <w:pPr>
        <w:ind w:left="660" w:right="20" w:hanging="139"/>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sales of large video display systems, primarily spectaculars, which increased to approximately $4.8 million compared to $0.7 million is the same period one year ago, which we attribute to improvements in the economy and improving pipeline.</w:t>
      </w:r>
    </w:p>
    <w:p>
      <w:pPr>
        <w:ind w:left="660" w:right="20" w:hanging="139"/>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8% increase in sales for our standard product displays, which appears to be a reflection of improvements in the economy as well as our expanded product offerings, including our GalaxyPro line of displays.</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Orders in our Commercial business unit increased for the three months ended January 28, 2012, compared to the same period one year ago is the net result of:</w:t>
      </w:r>
    </w:p>
    <w:p>
      <w:pPr>
        <w:spacing w:after="0" w:line="1"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of approximately $4 million in orders for large video display systems due to the same factors described above in net sales.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approximately $1 million in orders of our standard products for the same reasons described above in net sales.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in our Live Events business unit for the three months ended January 28, 2012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is primarily the result of the higher than expected order volume in the second quarter of fiscal 2012 which drove a higher backlog at the beginning of the third quarter of fiscal 2012.</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Orders in our Live Events business unit declined for the three months ended January 28, 2012 compared to the same period one year ago primarily as the result of the decline in orders for major league baseball projects. In the third quarter of fiscal 2011, we booked approximately $18 million in orders for major league baseball facilities versus approximately $7 million in the third quarter of fiscal 2012.</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in our Schools and Theatres business unit for the three months ended January 28,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one year ago is primarily the result of economic pressures on schools, which in some cases inhibits spending in spite of the revenue generation abilities of these display systems for schools.</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decrease in orders for the Schools and Theatres business unit for the three months ended January 28, 2012 compared to the same period one year ago was the result of a decline in orders for large video systems in high schools totaling approximately $2.6 million. The amount of orders in the third quarter of fiscal 2011 was unusually high, as orders of this type are typically concentrated in our fourth and first quarters of each fiscal year.</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decrease in net sales in our Transportation business unit for the three months ended January 28, 2012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one year ago is the result of normal volatility in the business resulting from the fluctuations of construction type contracts.</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in orders in our Transportation business unit for the three months ended January 28, 2012 compared to the same period one year ago is the result of orders totaling more than $6 million from a large customer under a multi-year procurement contract that we negotiated in the fourth quarter of fiscal 2011.</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in our International business unit for the three months ended January 28, 2012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is the result a large order that was booked in the second quarter of fiscal 2011 that contributed over $6 million to net sales during the quarter. This order was included in backlog at the beginning of fiscal 2012.</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in the International business unit for the three months ended January 28, 2012 compared to the same period one year ago is the result of the increasing level of opportunities outside of the United States as we expand our reach and penetration into more parts of the world where our products are in demand.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w w:val="94"/>
              </w:rPr>
              <w:t>Three Months Ended</w:t>
            </w: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80"/>
              <w:spacing w:after="0"/>
              <w:rPr>
                <w:sz w:val="20"/>
                <w:szCs w:val="20"/>
                <w:color w:val="auto"/>
              </w:rPr>
            </w:pPr>
            <w:r>
              <w:rPr>
                <w:rFonts w:ascii="Arial" w:cs="Arial" w:eastAsia="Arial" w:hAnsi="Arial"/>
                <w:sz w:val="18"/>
                <w:szCs w:val="18"/>
                <w:b w:val="1"/>
                <w:bCs w:val="1"/>
                <w:color w:val="auto"/>
                <w:w w:val="93"/>
              </w:rPr>
              <w:t>As a Percent of</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2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54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20" w:type="dxa"/>
            <w:vAlign w:val="bottom"/>
          </w:tcPr>
          <w:p>
            <w:pPr>
              <w:ind w:left="30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2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7"/>
              </w:rPr>
              <w:t>Percent 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ind w:left="34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0"/>
              </w:rPr>
              <w:t>26.7%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6,509</w:t>
            </w:r>
          </w:p>
        </w:tc>
        <w:tc>
          <w:tcPr>
            <w:tcW w:w="13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22.6%</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6,218</w:t>
            </w:r>
          </w:p>
        </w:tc>
        <w:tc>
          <w:tcPr>
            <w:tcW w:w="20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rPr>
              <w:t>16.2</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6,272</w:t>
            </w:r>
          </w:p>
        </w:tc>
        <w:tc>
          <w:tcPr>
            <w:tcW w:w="1380" w:type="dxa"/>
            <w:vAlign w:val="bottom"/>
          </w:tcPr>
          <w:p>
            <w:pPr>
              <w:ind w:left="880"/>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17.9</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2,912</w:t>
            </w:r>
          </w:p>
        </w:tc>
        <w:tc>
          <w:tcPr>
            <w:tcW w:w="1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rPr>
              <w:t>28.2</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3,055</w:t>
            </w:r>
          </w:p>
        </w:tc>
        <w:tc>
          <w:tcPr>
            <w:tcW w:w="1380" w:type="dxa"/>
            <w:vAlign w:val="bottom"/>
          </w:tcPr>
          <w:p>
            <w:pPr>
              <w:ind w:left="880"/>
              <w:spacing w:after="0"/>
              <w:rPr>
                <w:sz w:val="20"/>
                <w:szCs w:val="20"/>
                <w:color w:val="auto"/>
              </w:rPr>
            </w:pPr>
            <w:r>
              <w:rPr>
                <w:rFonts w:ascii="Arial" w:cs="Arial" w:eastAsia="Arial" w:hAnsi="Arial"/>
                <w:sz w:val="18"/>
                <w:szCs w:val="18"/>
                <w:color w:val="auto"/>
              </w:rPr>
              <w:t>27.6</w:t>
            </w: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27,855</w:t>
            </w:r>
          </w:p>
        </w:tc>
        <w:tc>
          <w:tcPr>
            <w:tcW w:w="20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w w:val="90"/>
              </w:rPr>
              <w:t>22.7%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23,642</w:t>
            </w: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23.7%</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decrease in our gross profit percentange for the three months ended January 28, 2012 compared to the same period one year ago is the net result of:</w:t>
      </w:r>
    </w:p>
    <w:p>
      <w:pPr>
        <w:spacing w:after="0" w:line="1" w:lineRule="exact"/>
        <w:rPr>
          <w:sz w:val="20"/>
          <w:szCs w:val="20"/>
          <w:color w:val="auto"/>
        </w:rPr>
      </w:pPr>
    </w:p>
    <w:p>
      <w:pPr>
        <w:ind w:left="820" w:hanging="13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approximately 1 percentage point in our services infrastructure and lower utilization in services.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 percentage point decrease due to less absorption of manufacturing costs.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approximately 1 percentage point in margin on product sales.</w:t>
      </w:r>
    </w:p>
    <w:p>
      <w:pPr>
        <w:sectPr>
          <w:pgSz w:w="11900" w:h="16838" w:orient="portrait"/>
          <w:cols w:equalWidth="0" w:num="1">
            <w:col w:w="10820"/>
          </w:cols>
          <w:pgMar w:left="240" w:top="125" w:right="839" w:bottom="166" w:gutter="0" w:footer="0" w:header="0"/>
        </w:sectPr>
      </w:pPr>
    </w:p>
    <w:bookmarkStart w:id="17" w:name="page18"/>
    <w:bookmarkEnd w:id="17"/>
    <w:p>
      <w:pPr>
        <w:jc w:val="both"/>
        <w:ind w:right="20"/>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in the Commercial business unit for the three months ended January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principally is a result of an improvement in gross profit on large video display contracts resulting from the lower cost of the product coupled with better pricing on the contracts, which added approximately 3 percentage points.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 xml:space="preserve">Live Event:. </w:t>
      </w:r>
      <w:r>
        <w:rPr>
          <w:rFonts w:ascii="Arial" w:cs="Arial" w:eastAsia="Arial" w:hAnsi="Arial"/>
          <w:sz w:val="18"/>
          <w:szCs w:val="18"/>
          <w:color w:val="auto"/>
        </w:rPr>
        <w:t>The gross profit percent decrease in the Live Events business unit for the three months ended January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is the net result of:</w:t>
      </w:r>
    </w:p>
    <w:p>
      <w:pPr>
        <w:spacing w:after="0" w:line="1" w:lineRule="exact"/>
        <w:rPr>
          <w:sz w:val="20"/>
          <w:szCs w:val="20"/>
          <w:color w:val="auto"/>
        </w:rPr>
      </w:pPr>
    </w:p>
    <w:p>
      <w:pPr>
        <w:ind w:left="820" w:hanging="13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approximately 4 percentage points due to improvement in gross profit percentages on large contracts.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decrease of approximately 5 percentage points for higher costs of services infrastructure and lower manufacturing absorption.</w:t>
      </w:r>
    </w:p>
    <w:p>
      <w:pPr>
        <w:spacing w:after="0" w:line="24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decrease in the Schools and Theatres business unit for the three months ended January 28,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one year ago as a result of:</w:t>
      </w:r>
    </w:p>
    <w:p>
      <w:pPr>
        <w:spacing w:after="0" w:line="1" w:lineRule="exact"/>
        <w:rPr>
          <w:sz w:val="20"/>
          <w:szCs w:val="20"/>
          <w:color w:val="auto"/>
        </w:rPr>
      </w:pPr>
    </w:p>
    <w:p>
      <w:pPr>
        <w:ind w:left="820" w:hanging="13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gross profit margins on product sales, which reduced gross profit percent by approximately 4 percentage points.</w:t>
      </w:r>
    </w:p>
    <w:p>
      <w:pPr>
        <w:spacing w:after="0" w:line="9" w:lineRule="exact"/>
        <w:rPr>
          <w:rFonts w:ascii="Arial" w:cs="Arial" w:eastAsia="Arial" w:hAnsi="Arial"/>
          <w:sz w:val="18"/>
          <w:szCs w:val="18"/>
          <w:color w:val="auto"/>
        </w:rPr>
      </w:pPr>
    </w:p>
    <w:p>
      <w:pPr>
        <w:ind w:left="820" w:hanging="136"/>
        <w:spacing w:after="0" w:line="26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manufacturing absorption and higher services costs, which further reduced gross profit percent by approximately 4 percentage points.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margin increase in the Transportation business unit for the three months ended January 28, 2012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one year ago is a result of an increase of approximately 4 percentage points in gross profit percent on product sales, which was partially offset by a lower manufacturing absorption and higher services infrastructure costs.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decreased in the International business unit for the three months ended January 28, 2012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one year ago as a result of a decrease in the gross profit percent on large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EXPENSE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 of</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2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3,435</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Schools &amp; Theatres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7.7</w:t>
            </w: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12,148</w:t>
            </w: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Commercial selling expenses increased approximately 14.1 percent in the third quarter of fiscal 2012 compared to the same period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ago. The increase was the result of a $0.2 million increase in personnel costs, including taxes and benefits, and a $0.1 million increase in travel and entertainment costs. These increases are a result of the increase in orders, as explained previously.</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Selling expenses increased by 4.0 percent in the third quarter of fiscal 2012 compared to the same period in fiscal 2011.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result of a $0.2 million increase in personnel costs, including taxes and benefits, which was offset by net decreases in various other expenses.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Selling expenses increased by $0.6 million compared to the same period in fiscal 2011. The increase for the quarter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in bad debt expense and personnel costs, including taxes and benefits.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Selling expenses declined 4.9 percent for the third quarter of fiscal 2012 compared to the same period one year ago. The decline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was due to a decrease in bad debt expense, and marketing costs, partially offset by higher travel and entertainment costs.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Selling expenses were flat although there were increases in payroll costs, net of taxes and benefits, and various other expenses,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offset by decreases in commissions and fees to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 of</w:t>
            </w:r>
          </w:p>
        </w:tc>
      </w:tr>
      <w:tr>
        <w:trPr>
          <w:trHeight w:val="194"/>
        </w:trPr>
        <w:tc>
          <w:tcPr>
            <w:tcW w:w="294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2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Product design and development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5,696</w:t>
            </w: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4,673</w:t>
            </w: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increase in general and administrative expense in the third quarter of fiscal 2012 as compared to the same period one year ago is the net result of the following:</w:t>
      </w:r>
    </w:p>
    <w:p>
      <w:pPr>
        <w:spacing w:after="0" w:line="1" w:lineRule="exact"/>
        <w:rPr>
          <w:sz w:val="20"/>
          <w:szCs w:val="20"/>
          <w:color w:val="auto"/>
        </w:rPr>
      </w:pPr>
    </w:p>
    <w:p>
      <w:pPr>
        <w:jc w:val="both"/>
        <w:ind w:left="660" w:right="20" w:hanging="139"/>
        <w:spacing w:after="0" w:line="32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professional fees of $0.4 million as a result of an approximately $0.3 million increase in information technology costs as we outsourced more projects to speed up development where we believed we could achieve a faster payback in efficiencies and higher costs to</w:t>
      </w:r>
    </w:p>
    <w:p>
      <w:pPr>
        <w:sectPr>
          <w:pgSz w:w="11900" w:h="16838" w:orient="portrait"/>
          <w:cols w:equalWidth="0" w:num="1">
            <w:col w:w="10820"/>
          </w:cols>
          <w:pgMar w:left="240" w:top="125" w:right="839" w:bottom="0" w:gutter="0" w:footer="0" w:header="0"/>
        </w:sectPr>
      </w:pPr>
    </w:p>
    <w:bookmarkStart w:id="18" w:name="page19"/>
    <w:bookmarkEnd w:id="18"/>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support the expansion of our international business, including opening offices in Brazil, Singapore and Spain.</w:t>
      </w:r>
    </w:p>
    <w:p>
      <w:pPr>
        <w:spacing w:after="0" w:line="23" w:lineRule="exact"/>
        <w:rPr>
          <w:sz w:val="20"/>
          <w:szCs w:val="20"/>
          <w:color w:val="auto"/>
        </w:rPr>
      </w:pPr>
    </w:p>
    <w:p>
      <w:pPr>
        <w:ind w:left="660" w:right="20" w:hanging="139"/>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personnel costs, including taxes and benefits, of approximately $0.3 million due to an increase in employee count, primarily related to personnel to support hiring in other areas of the company, and in accounting and legal to support international development.</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various other expenses of approximately $0.2 million.</w:t>
      </w:r>
    </w:p>
    <w:p>
      <w:pPr>
        <w:spacing w:after="0" w:line="2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increase in product development expense in the third quarter of fiscal 2012 as compared to the same period one year ago is due to the net result of the following:</w:t>
      </w:r>
    </w:p>
    <w:p>
      <w:pPr>
        <w:spacing w:after="0" w:line="1" w:lineRule="exact"/>
        <w:rPr>
          <w:sz w:val="20"/>
          <w:szCs w:val="20"/>
          <w:color w:val="auto"/>
        </w:rPr>
      </w:pPr>
    </w:p>
    <w:p>
      <w:pPr>
        <w:ind w:left="660" w:right="20" w:hanging="139"/>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personnel costs, including taxes and benefits, of approximately $0.7 million, as we increased our staff to support the continued rollout of our display and control system platforms.</w:t>
      </w:r>
    </w:p>
    <w:p>
      <w:pPr>
        <w:ind w:left="660" w:right="20" w:hanging="139"/>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material costs related to product development of $0.3 million as a result of increasing importance placed on prototyping new products and the increase in new product introductions.</w:t>
      </w:r>
    </w:p>
    <w:p>
      <w:pPr>
        <w:ind w:left="660" w:hanging="13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$0.4 million in various other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103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 of</w:t>
            </w:r>
          </w:p>
        </w:tc>
        <w:tc>
          <w:tcPr>
            <w:tcW w:w="10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Percent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0"/>
              </w:rPr>
              <w:t>As a Percent of</w:t>
            </w:r>
          </w:p>
        </w:tc>
      </w:tr>
      <w:tr>
        <w:trPr>
          <w:trHeight w:val="194"/>
        </w:trPr>
        <w:tc>
          <w:tcPr>
            <w:tcW w:w="274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99"/>
              </w:rPr>
              <w:t>Amount</w:t>
            </w:r>
          </w:p>
        </w:tc>
        <w:tc>
          <w:tcPr>
            <w:tcW w:w="128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8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6"/>
                <w:szCs w:val="16"/>
                <w:color w:val="auto"/>
              </w:rPr>
            </w:pPr>
          </w:p>
        </w:tc>
        <w:tc>
          <w:tcPr>
            <w:tcW w:w="9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(105.2) %</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product sales on an installment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under lease arrangements, or in exchange for the rights to sell and retain advertising revenues from displays, which result in long-term receivables. Interest expense is comprised primarily of interest costs on long-term marketing obligations.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income declined slightly in the third quarter of fiscal 2012 as compared to the same period in 2011 due to a reduction in our cash and short term investment balances that was mainly the result of the dividend payments during the third quarter of fiscal 2012. Interest expense was relatively flat compared to the same period one year ago.</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Other (expense) income, net: Y</w:t>
      </w:r>
      <w:r>
        <w:rPr>
          <w:rFonts w:ascii="Arial" w:cs="Arial" w:eastAsia="Arial" w:hAnsi="Arial"/>
          <w:sz w:val="17"/>
          <w:szCs w:val="17"/>
          <w:color w:val="auto"/>
        </w:rPr>
        <w:t>he decrease of $0.6 million in the third quarter of fiscal 2012 as compared to the same period one year ago is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result of a $0.6 million gain on the settlement of amounts owed by Outcast Media International, Inc. ("Outcast") in the third quarter of fiscal 2011, as described in previous filings, a increase of $0.1 in foreign currency losses, and by various other non-operating gains.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a result of the decrease in the value of the U.S. dollar, we experienced higher levels of currency losses on U.S. dollar advances to foreign subsidiaries in the third quarter of fiscal 2012 compared to the same period in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effective tax rate was 23.9% for the third quarter of fiscal 2012 as compared to 0.2% for the third quarter of fiscal 2011. Our effective tax rate can vary significantly due to the mix of pre-tax income in different countries and the estimate of the annual effective rate in each country.</w:t>
      </w:r>
    </w:p>
    <w:p>
      <w:pPr>
        <w:spacing w:after="0" w:line="17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comparing the third quarter of fiscal 2012 to the same period in fiscal 2011, the change in the effective tax rate is due to the net impact of the following items:</w:t>
      </w:r>
    </w:p>
    <w:p>
      <w:pPr>
        <w:spacing w:after="0" w:line="1" w:lineRule="exact"/>
        <w:rPr>
          <w:sz w:val="20"/>
          <w:szCs w:val="20"/>
          <w:color w:val="auto"/>
        </w:rPr>
      </w:pPr>
    </w:p>
    <w:p>
      <w:pPr>
        <w:ind w:left="660" w:hanging="139"/>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effective tax rate of approximately 12 percentage points as a result of the reinstatement of the research and development tax credit in the third quarter of fiscal 2011, which included a credit for the ten months prior to the third quarter.</w:t>
      </w:r>
    </w:p>
    <w:p>
      <w:pPr>
        <w:ind w:left="660" w:right="20" w:hanging="139"/>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increase in the liability for foreign income taxable in the United States under subpart F of the US Tax Code, which increased the effective tax rate by 14 percentage points.</w:t>
      </w:r>
    </w:p>
    <w:p>
      <w:pPr>
        <w:ind w:left="660" w:right="20" w:hanging="139"/>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8 percentage points as a result of the effect of the change in tax rates on deferred assets in foreign jurisdictions resulting from the termination of the tax holiday.</w:t>
      </w:r>
    </w:p>
    <w:p>
      <w:pPr>
        <w:ind w:left="660" w:right="20" w:hanging="139"/>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in estimate of prior year tax liabilities related to state income tax items, which increased the effective tax rate by approximately 6 percentage points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JANUARY 28, 2012 TO NINE MONTHS ENDED JANUARY 29,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7"/>
              </w:rPr>
              <w:t>Nine Months Ended</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January 28,</w:t>
            </w: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29,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Dollar</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4"/>
        </w:trPr>
        <w:tc>
          <w:tcPr>
            <w:tcW w:w="430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84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96"/>
              </w:rPr>
              <w:t>Change</w:t>
            </w:r>
          </w:p>
        </w:tc>
        <w:tc>
          <w:tcPr>
            <w:tcW w:w="128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8"/>
        </w:trPr>
        <w:tc>
          <w:tcPr>
            <w:tcW w:w="1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Net Sales:</w:t>
            </w:r>
          </w:p>
        </w:tc>
        <w:tc>
          <w:tcPr>
            <w:tcW w:w="32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31,479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120,846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2,830</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Schools &amp; Theatres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(3,253)</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34,201</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30,091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4,110</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42,921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15,077</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108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377,532</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327,289</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50,243</w:t>
            </w: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0"/>
        </w:trPr>
        <w:tc>
          <w:tcPr>
            <w:tcW w:w="1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900" w:orient="portrait"/>
          <w:cols w:equalWidth="0" w:num="1">
            <w:col w:w="10820"/>
          </w:cols>
          <w:pgMar w:left="240" w:top="125" w:right="839" w:bottom="0" w:gutter="0" w:footer="0" w:header="0"/>
        </w:sectPr>
      </w:pPr>
    </w:p>
    <w:bookmarkStart w:id="19" w:name="page20"/>
    <w:bookmarkEnd w:id="19"/>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Orders: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84,484</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110,798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11,709</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10.6</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Schools &amp; Theatres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41,589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47,773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(6,184)</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43,459</w:t>
            </w: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32,452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11,007</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33.9</w:t>
            </w:r>
          </w:p>
        </w:tc>
      </w:tr>
      <w:tr>
        <w:trPr>
          <w:trHeight w:val="22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r>
      <w:tr>
        <w:trPr>
          <w:trHeight w:val="216"/>
        </w:trPr>
        <w:tc>
          <w:tcPr>
            <w:tcW w:w="430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364,991</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324,190</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40,801</w:t>
            </w: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in our Commercial business unit for the nine months ended January 28, 2012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is the net result of:</w:t>
      </w:r>
    </w:p>
    <w:p>
      <w:pPr>
        <w:spacing w:after="0" w:line="1" w:lineRule="exact"/>
        <w:rPr>
          <w:sz w:val="20"/>
          <w:szCs w:val="20"/>
          <w:color w:val="auto"/>
        </w:rPr>
      </w:pPr>
    </w:p>
    <w:p>
      <w:pPr>
        <w:jc w:val="both"/>
        <w:ind w:left="660" w:hanging="183"/>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increase in orders in fiscal 2012 over the same period one year ago in our billboard business, which increased approximately 56%. This growth was the result of the large outdoor advertising companies increasing their rollout of digital billboards beginning in calendar 2011 and our ability to gain back a portion of the business with one large outdoor advertising company.</w:t>
      </w:r>
    </w:p>
    <w:p>
      <w:pPr>
        <w:ind w:left="660" w:hanging="183"/>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60% increase in orders for large video display systems, primarily spectaculars, which increased to approximately $21 million compared to $13 million in the same period one year ago, which we attribute to improvements in the economy and a growing market.</w:t>
      </w:r>
    </w:p>
    <w:p>
      <w:pPr>
        <w:ind w:left="660" w:hanging="139"/>
        <w:spacing w:after="0" w:line="261"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13% increase in orders for our standard product displays which appears to be a reflection of improvement in the economy as well as our expanded product offerings, including our GalaxyPro line of displays.</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in our Live Events business unit for the nine months ended January 28, 2012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is the net result of:</w:t>
      </w:r>
    </w:p>
    <w:p>
      <w:pPr>
        <w:spacing w:after="0" w:line="1" w:lineRule="exact"/>
        <w:rPr>
          <w:sz w:val="20"/>
          <w:szCs w:val="20"/>
          <w:color w:val="auto"/>
        </w:rPr>
      </w:pPr>
    </w:p>
    <w:p>
      <w:pPr>
        <w:ind w:left="560" w:hanging="13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Higher level of orders booked in the second quarter of fiscal 2012 as compared to the second quarter of fiscal 2011, as previously described.</w:t>
      </w:r>
    </w:p>
    <w:p>
      <w:pPr>
        <w:spacing w:after="0" w:line="32" w:lineRule="exact"/>
        <w:rPr>
          <w:rFonts w:ascii="Arial" w:cs="Arial" w:eastAsia="Arial" w:hAnsi="Arial"/>
          <w:sz w:val="16"/>
          <w:szCs w:val="16"/>
          <w:color w:val="auto"/>
        </w:rPr>
      </w:pPr>
    </w:p>
    <w:p>
      <w:pPr>
        <w:jc w:val="both"/>
        <w:ind w:left="560" w:hanging="133"/>
        <w:spacing w:after="0" w:line="252"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 in orders for certain professional facilities in the first nine months of fiscal 2011 was due to a decline in professional sports facilities. We booked approximately $22.2 million in orders for professional baseball projects in the first three quarters of fiscal 2011 compared to approximately $10.1 million in the first three quarters of fiscal 2012. In addition, orders for the first nine months of fiscal 2012 for National Football League and National Basketball Association facilities were down in part as a result of the labor issues in both sports in the spring and summer of calendar year 2011. Net sales to National Football League facilities declined from $12.7 in the first nine months of fiscal 2011 to $2.8 for the first nine months of fiscal 2012.</w:t>
      </w:r>
    </w:p>
    <w:p>
      <w:pPr>
        <w:spacing w:after="0" w:line="2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a result of the lower orders booked in the third quarter of fiscal 2012 compared to the same period one year ago, we expect that net sales for fiscal 2012 will be generally flat as compared to fiscal 2011. We believe that for fiscal 2012, orders have increased as a result of lowering the overall costs of the product as previously described and partially offset by the decrease in lower orders for professional sports facilities.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in our Schools and Theatres business unit for the nine months ended January 28,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one year ago is the result of economic pressures on schools, which we believe inhibits spending in spite of the revenue generation abilities of these display systems for schools. We believe that this will lead to lower overall net sales in the Schools and Theatres business unit for all of fiscal 2012 as compared to fiscal 2011.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positive aspect that could drive different results in the Schools and Theatres business unit is the increase in opportunities for larger video systems, primarily in high school facilities that benefit from our sports marketing services that generate advertising revenue to fund the display systems. Net sales for the hoist portion of this business unit decreased slightly. For the long term, we believe that this business unit presents growth opportunities as the economy improves.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in our Transportation business unit for the nine months ended January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is the result of the increase in orders booked during this period, which was driven by orders from the New Jersey Turnpike under a $25 million, three year procurement contract. Orders from this customer have exceeded $12.4 million for the fiscal year to date compared to $1.6 million for all of fiscal 2011.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877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in our International business unit for the nine months ended January 28, 2012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is the result of the higher backlog of business we had at the beginning of fiscal 2012, primarily as a result of a large contract for a new arena being built in Mexico. At the end of fiscal 2011, the backlog of this contract was approximately $8.9 million compared to $0.6 at the end of the third quarter of fiscal 2012. We believe that although orders for this business unit can vary significantly from quarter to quarter as a result of the small number of orders actually booked, over the long-term, this business unit represents a significant area of growth as we penetrate markets we have not focused on previously.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Nine Months Ended</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60"/>
              <w:spacing w:after="0"/>
              <w:rPr>
                <w:sz w:val="20"/>
                <w:szCs w:val="20"/>
                <w:color w:val="auto"/>
              </w:rPr>
            </w:pPr>
            <w:r>
              <w:rPr>
                <w:rFonts w:ascii="Arial" w:cs="Arial" w:eastAsia="Arial" w:hAnsi="Arial"/>
                <w:sz w:val="18"/>
                <w:szCs w:val="18"/>
                <w:b w:val="1"/>
                <w:bCs w:val="1"/>
                <w:color w:val="auto"/>
                <w:w w:val="91"/>
              </w:rPr>
              <w:t>As a Percent of</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tcPr>
          <w:p>
            <w:pPr>
              <w:ind w:left="24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80" w:type="dxa"/>
            <w:vAlign w:val="bottom"/>
          </w:tcPr>
          <w:p>
            <w:pPr>
              <w:ind w:left="28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6"/>
              </w:rPr>
              <w:t>25.4%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19,687</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23.5%</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21,908</w:t>
            </w:r>
          </w:p>
        </w:tc>
        <w:tc>
          <w:tcPr>
            <w:tcW w:w="10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17.7</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24,491</w:t>
            </w:r>
          </w:p>
        </w:tc>
        <w:tc>
          <w:tcPr>
            <w:tcW w:w="1280" w:type="dxa"/>
            <w:vAlign w:val="bottom"/>
          </w:tcPr>
          <w:p>
            <w:pPr>
              <w:ind w:left="78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Schools &amp; Theatres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25.8</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14,516</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29.2</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31.3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9,227</w:t>
            </w:r>
          </w:p>
        </w:tc>
        <w:tc>
          <w:tcPr>
            <w:tcW w:w="1280" w:type="dxa"/>
            <w:vAlign w:val="bottom"/>
          </w:tcPr>
          <w:p>
            <w:pPr>
              <w:ind w:left="780"/>
              <w:spacing w:after="0"/>
              <w:rPr>
                <w:sz w:val="20"/>
                <w:szCs w:val="20"/>
                <w:color w:val="auto"/>
              </w:rPr>
            </w:pPr>
            <w:r>
              <w:rPr>
                <w:rFonts w:ascii="Arial" w:cs="Arial" w:eastAsia="Arial" w:hAnsi="Arial"/>
                <w:sz w:val="18"/>
                <w:szCs w:val="18"/>
                <w:color w:val="auto"/>
              </w:rPr>
              <w:t>30.7</w:t>
            </w: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88,830</w:t>
            </w:r>
          </w:p>
        </w:tc>
        <w:tc>
          <w:tcPr>
            <w:tcW w:w="10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w w:val="86"/>
              </w:rPr>
              <w:t>23.5%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83,047</w:t>
            </w:r>
          </w:p>
        </w:tc>
        <w:tc>
          <w:tcPr>
            <w:tcW w:w="1280" w:type="dxa"/>
            <w:vAlign w:val="bottom"/>
          </w:tcPr>
          <w:p>
            <w:pPr>
              <w:ind w:left="780"/>
              <w:spacing w:after="0"/>
              <w:rPr>
                <w:sz w:val="20"/>
                <w:szCs w:val="20"/>
                <w:color w:val="auto"/>
              </w:rPr>
            </w:pPr>
            <w:r>
              <w:rPr>
                <w:rFonts w:ascii="Arial" w:cs="Arial" w:eastAsia="Arial" w:hAnsi="Arial"/>
                <w:sz w:val="18"/>
                <w:szCs w:val="18"/>
                <w:color w:val="auto"/>
                <w:w w:val="93"/>
              </w:rPr>
              <w:t>25.4%</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decrease in our gross profit percentage for the nine months ended January 28, 2012 compared to the same period one year ago is the net result of the following:</w:t>
      </w:r>
    </w:p>
    <w:p>
      <w:pPr>
        <w:spacing w:after="0" w:line="1" w:lineRule="exact"/>
        <w:rPr>
          <w:sz w:val="20"/>
          <w:szCs w:val="20"/>
          <w:color w:val="auto"/>
        </w:rPr>
      </w:pPr>
    </w:p>
    <w:p>
      <w:pPr>
        <w:ind w:left="820" w:hanging="13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less than a percentage point in margin on product sales.</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decrease of approximately 2.5 percentage points as a result of higher overhead costs associated with our services business.</w:t>
      </w:r>
    </w:p>
    <w:p>
      <w:pPr>
        <w:sectPr>
          <w:pgSz w:w="11900" w:h="16890" w:orient="portrait"/>
          <w:cols w:equalWidth="0" w:num="1">
            <w:col w:w="10820"/>
          </w:cols>
          <w:pgMar w:left="240" w:top="140" w:right="839" w:bottom="0" w:gutter="0" w:footer="0" w:header="0"/>
        </w:sectPr>
      </w:pPr>
    </w:p>
    <w:bookmarkStart w:id="20" w:name="page21"/>
    <w:bookmarkEnd w:id="20"/>
    <w:p>
      <w:pPr>
        <w:ind w:left="820" w:right="20" w:hanging="13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approximately 0.7 percentage points as a result of lower warranty expenses as a percentage of net sales. For the first nine months of fiscal 2012, warranty costs were approximately 3% of net sales compared to 3.5% in fiscal 2011.</w:t>
      </w:r>
    </w:p>
    <w:p>
      <w:pPr>
        <w:spacing w:after="0" w:line="19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been challenged with higher than expected warranty costs, by competitive factors, and by added costs of our services infrastructure as we deploy and reengineer systems and processes. In order to reduce warranty costs and to address competitive factors, we began expending significant effort on developing our new outdoor DVX technology in fiscal 2009 and then, in fiscal 2011, on our new indoor DVN technology, which are common module platforms that have replaced many of the different and unique modules for each of our display resolutions and types. Part of this development also involves the markets’ increasing interest in higher resolution outdoor displays, which require surface mount technology as opposed to the traditional through-hole technology.</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DVX and DVN technologies decrease the cost of displays significantly and supply the market with higher resolution products. We have also invested significant resources in quality initiatives and reliability equipment to test new designs. We believe that this technology and investment in quality initiatives will drive down warranty costs over the long term and make our products more competitive, both of which are intended to increase gross profit percentages and drive higher sales.</w:t>
      </w:r>
    </w:p>
    <w:p>
      <w:pPr>
        <w:spacing w:after="0" w:line="21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One of the challenges that occurred with the downturn of our business during fiscal 2009 was the higher percentage of fixed costs in manufacturing relative to net sales. Since the downturn, we have been lowering that percentage through cost reductions, lean initiatives and higher sales, and we expect to continue lowering it, adding to the gross profit percentages. Total manufacturing conversion costs for the third quarter of fiscal 2012 and fiscal 2011 were approximately $18.0 million and $15.6 million, respectively. For the first nine months of fiscal 2012, total manufacturing conversion costs were approximately $51.8 million as compared to $47.9 million for the same period last year.</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difficult to project gross profit levels for the rest of fiscal 2012 because of the uncertainty regarding the level of sales, warranty costs and the competitive factors described previously.</w:t>
      </w:r>
    </w:p>
    <w:p>
      <w:pPr>
        <w:spacing w:after="0" w:line="19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increased in the Commercial business unit for the nine months ended January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is the net result of:</w:t>
      </w:r>
    </w:p>
    <w:p>
      <w:pPr>
        <w:spacing w:after="0" w:line="1" w:lineRule="exact"/>
        <w:rPr>
          <w:sz w:val="20"/>
          <w:szCs w:val="20"/>
          <w:color w:val="auto"/>
        </w:rPr>
      </w:pPr>
    </w:p>
    <w:p>
      <w:pPr>
        <w:ind w:left="820" w:hanging="13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in the gross profit on large video display contracts, which added approximately 0.7 percentage points to gross margin.</w:t>
      </w:r>
    </w:p>
    <w:p>
      <w:pPr>
        <w:spacing w:after="0" w:line="20" w:lineRule="exact"/>
        <w:rPr>
          <w:rFonts w:ascii="Arial" w:cs="Arial" w:eastAsia="Arial" w:hAnsi="Arial"/>
          <w:sz w:val="17"/>
          <w:szCs w:val="17"/>
          <w:color w:val="auto"/>
        </w:rPr>
      </w:pPr>
    </w:p>
    <w:p>
      <w:pPr>
        <w:ind w:left="820" w:right="20" w:hanging="13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warranty expenses, which added approximately 2.7 percentage points to gross profit and resulted from the actions previously discussed and some unusually higher costs in fiscal 2011, as explained in prior filings.</w:t>
      </w:r>
    </w:p>
    <w:p>
      <w:pPr>
        <w:ind w:left="820" w:hanging="13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our services overhead, which decreased gross profit by approximately 0.8 percentage points.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in the Live Events business unit for the nine months ended January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is the net result of:</w:t>
      </w:r>
    </w:p>
    <w:p>
      <w:pPr>
        <w:spacing w:after="0" w:line="197" w:lineRule="exact"/>
        <w:rPr>
          <w:sz w:val="20"/>
          <w:szCs w:val="20"/>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Improvement in gross profit margin on product sales, which added approximately 1.2 percentage points to gross margin.</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our services overhead, which decreased gross profit percentages by approximately 2.3 percentage points.</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plant utilization from the overall lower sales volumes, which decreased gross profit percentages by approximately 1.3 percentage points.</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decrease in the Schools and Theatres business unit for the nine months ended January 28,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one year ago is the net result of:</w:t>
      </w:r>
    </w:p>
    <w:p>
      <w:pPr>
        <w:spacing w:after="0" w:line="1" w:lineRule="exact"/>
        <w:rPr>
          <w:sz w:val="20"/>
          <w:szCs w:val="20"/>
          <w:color w:val="auto"/>
        </w:rPr>
      </w:pPr>
    </w:p>
    <w:p>
      <w:pPr>
        <w:ind w:left="660" w:right="20" w:hanging="139"/>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gross profit percentage in product sales, which decreased the overall gross profit percentage by approximately 1.5 percentage points.</w:t>
      </w: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warranty expenses, which added approximately 1.2 percentage points to the gross profit percentage.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our services overhead, which reduced the gross profit percentage by approximately 1.8 percentage points.</w:t>
      </w:r>
    </w:p>
    <w:p>
      <w:pPr>
        <w:spacing w:after="0" w:line="2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the nine months ended January 28, 2012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one year ago is the net result of:</w:t>
      </w:r>
    </w:p>
    <w:p>
      <w:pPr>
        <w:spacing w:after="0" w:line="1" w:lineRule="exact"/>
        <w:rPr>
          <w:sz w:val="20"/>
          <w:szCs w:val="20"/>
          <w:color w:val="auto"/>
        </w:rPr>
      </w:pPr>
    </w:p>
    <w:p>
      <w:pPr>
        <w:ind w:left="660" w:right="20" w:hanging="139"/>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gross profit percentage on product sales, which added approximately 3.7 percentage points on the overall gross profit percentage.</w:t>
      </w:r>
    </w:p>
    <w:p>
      <w:pPr>
        <w:ind w:left="660" w:right="20" w:hanging="139"/>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plant utilization from the overall lower sales volumes, which decreased gross profit percentages by approximately 2.7 percentage points.</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the nine months ended January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is the net result of:</w:t>
      </w:r>
    </w:p>
    <w:p>
      <w:pPr>
        <w:spacing w:after="0" w:line="1" w:lineRule="exact"/>
        <w:rPr>
          <w:sz w:val="20"/>
          <w:szCs w:val="20"/>
          <w:color w:val="auto"/>
        </w:rPr>
      </w:pPr>
    </w:p>
    <w:p>
      <w:pPr>
        <w:jc w:val="both"/>
        <w:ind w:left="660" w:right="20" w:hanging="139"/>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the gross margin on product sales, which decreased the overall gross profit by approximately 8.5 percentage points. This decrease is the result of a number of factors, including added costs to conform products to local regulatory requirements and a lower margin on contracts booked due to the factors described below.</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warranty costs, which added approximately 1.3% percentage points.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our gross margins in the International business unit have generally been higher than in our other business units as a result of the focus on more profitable contracts, as we have limited penetration in international markets. In prior quarters, we stated that the gross margin levels in our International business unit were not sustainable as we penetrated more deeply in international markets and competition increased. We are now beginning to recognize lower gross margins in our International business unit due to these factors. The recent declines in gross profit percentage in the International business unit reflect our deeper penetration and our success with larger international customers, resulting in typically lower gross margins due to the customers’ potential volume and more intense competition.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EXPENSE</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17145</wp:posOffset>
            </wp:positionV>
            <wp:extent cx="3944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bookmarkStart w:id="21" w:name="page22"/>
    <w:bookmarkEnd w:id="21"/>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 of</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10,309</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Schools &amp; Theatres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7,271</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8.5</w:t>
            </w: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38,475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37,084</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selling expenses in the first nine months of fiscal 2012 compared to the same period one year ago is the net result of the following:</w:t>
      </w:r>
    </w:p>
    <w:p>
      <w:pPr>
        <w:spacing w:after="0" w:line="46" w:lineRule="exact"/>
        <w:rPr>
          <w:sz w:val="20"/>
          <w:szCs w:val="20"/>
          <w:color w:val="auto"/>
        </w:rPr>
      </w:pPr>
    </w:p>
    <w:p>
      <w:pPr>
        <w:ind w:left="660" w:right="20" w:hanging="139"/>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$2.0 million increase in personnel costs, including taxes and benefits, primarily in our International and Commercial business units to support the growth in orders.</w:t>
      </w:r>
    </w:p>
    <w:p>
      <w:pPr>
        <w:ind w:left="660" w:hanging="13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$0.7 million in travel and entertainment costs.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decrease in payments to third party sales representatives of $1.0 million due to more direct sales versus sales through third parties.</w:t>
      </w:r>
    </w:p>
    <w:p>
      <w:pPr>
        <w:spacing w:after="0" w:line="20" w:lineRule="exact"/>
        <w:rPr>
          <w:rFonts w:ascii="Arial" w:cs="Arial" w:eastAsia="Arial" w:hAnsi="Arial"/>
          <w:sz w:val="17"/>
          <w:szCs w:val="17"/>
          <w:color w:val="auto"/>
        </w:rPr>
      </w:pPr>
    </w:p>
    <w:p>
      <w:pPr>
        <w:ind w:left="660" w:right="20" w:hanging="139"/>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of $0.6 million of depreciation expenses, which reflects reduced capital expenditures for the last couple of years and is a key component of our cost reduction strategy.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selling expenses for the first nine months of 2012 compared to the same period in fiscal 2011 was a result of a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personnel costs, including taxes and benefits, and a $0.4 million increase in travel and entertainment costs. These increases are a result of the increase in orders, as explained previously.</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decline in selling expenses for the first nine months of 2012 compared to the same period in fiscal 2011 was a result of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$0.5 million in depreciation and other expenses for reasons explained previously. We also had reductions in various other expenses totaling $0.5 million, which were offset by a net increase in personnel costs, including taxes and benefits.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Schools &amp; Theatres: </w:t>
      </w:r>
      <w:r>
        <w:rPr>
          <w:rFonts w:ascii="Arial" w:cs="Arial" w:eastAsia="Arial" w:hAnsi="Arial"/>
          <w:sz w:val="18"/>
          <w:szCs w:val="18"/>
          <w:color w:val="auto"/>
        </w:rPr>
        <w:t>The increase in selling expenses for the first nine months of 2012 compared to the same period in fiscal 2011 was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bad debt write-offs and increased personnel costs, including taxes and benefits.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Selling expenses were flat for the first six months of fiscal 2012 compared to the same period one year ago.</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Selling expenses were flat although there were increases in payroll costs, net of taxes and benefits, and various other expenses,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offset by decreases in commissions and fees to third parties.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0"/>
              </w:rPr>
              <w:t>As a Percent of</w:t>
            </w:r>
          </w:p>
        </w:tc>
      </w:tr>
      <w:tr>
        <w:trPr>
          <w:trHeight w:val="194"/>
        </w:trPr>
        <w:tc>
          <w:tcPr>
            <w:tcW w:w="350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000" w:type="dxa"/>
            <w:vAlign w:val="bottom"/>
            <w:gridSpan w:val="2"/>
          </w:tcPr>
          <w:p>
            <w:pPr>
              <w:jc w:val="right"/>
              <w:ind w:right="300"/>
              <w:spacing w:after="0" w:line="194" w:lineRule="exact"/>
              <w:rPr>
                <w:sz w:val="20"/>
                <w:szCs w:val="20"/>
                <w:color w:val="auto"/>
              </w:rPr>
            </w:pPr>
            <w:r>
              <w:rPr>
                <w:rFonts w:ascii="Arial" w:cs="Arial" w:eastAsia="Arial" w:hAnsi="Arial"/>
                <w:sz w:val="18"/>
                <w:szCs w:val="18"/>
                <w:b w:val="1"/>
                <w:bCs w:val="1"/>
                <w:color w:val="auto"/>
                <w:w w:val="99"/>
              </w:rPr>
              <w:t>Amount</w:t>
            </w:r>
          </w:p>
        </w:tc>
        <w:tc>
          <w:tcPr>
            <w:tcW w:w="122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00" w:type="dxa"/>
            <w:vAlign w:val="bottom"/>
            <w:gridSpan w:val="2"/>
          </w:tcPr>
          <w:p>
            <w:pPr>
              <w:ind w:left="24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100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2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17,259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Product design and development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17,050</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13,787</w:t>
            </w: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1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increase in general and administrative expense in the first nine months of fiscal 2012 as compared to the same period one year ago is to the net result of the following:</w:t>
      </w:r>
    </w:p>
    <w:p>
      <w:pPr>
        <w:spacing w:after="0" w:line="1" w:lineRule="exact"/>
        <w:rPr>
          <w:sz w:val="20"/>
          <w:szCs w:val="20"/>
          <w:color w:val="auto"/>
        </w:rPr>
      </w:pPr>
    </w:p>
    <w:p>
      <w:pPr>
        <w:jc w:val="both"/>
        <w:ind w:left="660" w:right="20" w:hanging="139"/>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professional fees of $1.4 million as a result of higher litigation costs and international expansion initiatives, some of which were one-time costs and are expected to decline, and higher costs of information systems consulting fees, as we outsourced more projects to speed up development where we believed we could achieve a faster payback in efficiencies.</w:t>
      </w:r>
    </w:p>
    <w:p>
      <w:pPr>
        <w:spacing w:after="0" w:line="1" w:lineRule="exact"/>
        <w:rPr>
          <w:rFonts w:ascii="Arial" w:cs="Arial" w:eastAsia="Arial" w:hAnsi="Arial"/>
          <w:sz w:val="18"/>
          <w:szCs w:val="18"/>
          <w:color w:val="auto"/>
        </w:rPr>
      </w:pPr>
    </w:p>
    <w:p>
      <w:pPr>
        <w:ind w:left="660" w:right="20" w:hanging="139"/>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personnel costs, including taxes and benefits, of approximately $0.9 million due to an increase in employee count, primarily related to personnel to support hiring in other areas of the company and in accounting and legal to support international development.</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various other expenses of approximately $0.8 million.</w:t>
      </w:r>
    </w:p>
    <w:p>
      <w:pPr>
        <w:spacing w:after="0" w:line="2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increase in product development expense in the first nine months of fiscal 2012 as compared to the same period one year ago is the net result of the following:</w:t>
      </w:r>
    </w:p>
    <w:p>
      <w:pPr>
        <w:spacing w:after="0" w:line="1" w:lineRule="exact"/>
        <w:rPr>
          <w:sz w:val="20"/>
          <w:szCs w:val="20"/>
          <w:color w:val="auto"/>
        </w:rPr>
      </w:pPr>
    </w:p>
    <w:p>
      <w:pPr>
        <w:ind w:left="660" w:right="20" w:hanging="139"/>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personnel costs, including taxes and benefits, of approximately $1.5 million, as we increased our staff to support the continued rollout of our display and control system platforms.</w:t>
      </w:r>
    </w:p>
    <w:p>
      <w:pPr>
        <w:ind w:left="660" w:right="20" w:hanging="139"/>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material costs related to product development of $1.1 million as a result of increasing importance placed on prototyping new products and the increase in new product introductions.</w:t>
      </w:r>
    </w:p>
    <w:p>
      <w:pPr>
        <w:ind w:left="660" w:hanging="13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approximately $1.1 million in various other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January 28, 2012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January 29, 2011</w:t>
            </w: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 of</w:t>
            </w:r>
          </w:p>
        </w:tc>
        <w:tc>
          <w:tcPr>
            <w:tcW w:w="10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0"/>
              </w:rPr>
              <w:t>As a Percent of</w:t>
            </w:r>
          </w:p>
        </w:tc>
      </w:tr>
      <w:tr>
        <w:trPr>
          <w:trHeight w:val="194"/>
        </w:trPr>
        <w:tc>
          <w:tcPr>
            <w:tcW w:w="274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99"/>
              </w:rPr>
              <w:t>Amount</w:t>
            </w:r>
          </w:p>
        </w:tc>
        <w:tc>
          <w:tcPr>
            <w:tcW w:w="128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28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2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Net Sales</w:t>
            </w: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(127.0) %</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1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Interest income, net: </w:t>
      </w:r>
      <w:r>
        <w:rPr>
          <w:rFonts w:ascii="Arial" w:cs="Arial" w:eastAsia="Arial" w:hAnsi="Arial"/>
          <w:sz w:val="16"/>
          <w:szCs w:val="16"/>
          <w:color w:val="auto"/>
        </w:rPr>
        <w:t>We generate interest income through short-term cash investments, marketable securities, product sales on an installment basis,</w:t>
      </w:r>
      <w:r>
        <w:rPr>
          <w:rFonts w:ascii="Arial" w:cs="Arial" w:eastAsia="Arial" w:hAnsi="Arial"/>
          <w:sz w:val="16"/>
          <w:szCs w:val="16"/>
          <w:i w:val="1"/>
          <w:iCs w:val="1"/>
          <w:color w:val="auto"/>
        </w:rPr>
        <w:t xml:space="preserve"> </w:t>
      </w:r>
      <w:r>
        <w:rPr>
          <w:rFonts w:ascii="Arial" w:cs="Arial" w:eastAsia="Arial" w:hAnsi="Arial"/>
          <w:sz w:val="16"/>
          <w:szCs w:val="16"/>
          <w:color w:val="auto"/>
        </w:rPr>
        <w:t>under lease arrangements, or in exchange for the rights to sell and retain advertising revenues from displays, which result in long-term</w:t>
      </w:r>
    </w:p>
    <w:p>
      <w:pPr>
        <w:sectPr>
          <w:pgSz w:w="11900" w:h="16962" w:orient="portrait"/>
          <w:cols w:equalWidth="0" w:num="1">
            <w:col w:w="10820"/>
          </w:cols>
          <w:pgMar w:left="240" w:top="121" w:right="839" w:bottom="0" w:gutter="0" w:footer="0" w:header="0"/>
        </w:sectPr>
      </w:pPr>
    </w:p>
    <w:bookmarkStart w:id="22" w:name="page23"/>
    <w:bookmarkEnd w:id="22"/>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receivables. Interest expense is comprised primarily of interest costs on long-term marketing obligations.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income declined slightly for the nine months ended January 28, 2012 as compared to the same period in fiscal 2011 for the reasons set forth above, in the change in the three months ended January 28, 2012. We expect that the amount of interest income will increase through the rest of fiscal 2012 due to higher levels of interest income we anticipate receiving as we invest excess cash into higher yielding investments, although due to the volatility of working capital needs and changes in investing and financing activities, there is some uncertainty in the ability to realize this.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increased to $0.1 million for the nine months ended January 28, 2012 as a result of borrowings in China to support our expanding business there and the impact of currency controls, which limit our transfers of investment capital from the U.S. to fund operations in China. We expect that interest expense will remain at relatively low levels for the rest of fiscal 2012.</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decrease of $1.0 million for the nine months ended January 28, 2012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is due to the net result of a $0.6 million gain on the settlement of amounts owed by Outcast in fiscal 2011, as described in previous filings, a increase of $0.5 million in foreign currency losses, and by various other non-operating gains.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a result of the decrease in the value of the U.S. dollar, we experienced higher levels of currency losses on U.S. dollar advances to foreign subsidiaries in the first six months of 2012 compared to the same period in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effective tax rate was approximately 34.7% for the first nine months of fiscal 2012 as compared to 33.6% for the first nine months of fiscal 2011. In comparing the first nine months of fiscal 2012 to the same period in fiscal 2011, changes in the effective tax rate is due to the net impact of the following items:</w:t>
      </w:r>
    </w:p>
    <w:p>
      <w:pPr>
        <w:jc w:val="both"/>
        <w:ind w:left="660" w:right="20" w:hanging="139"/>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decrease in the annual estimated effective tax rate of approximately 1 percentage point as a result of the deductibility of the dividends paid in fiscal 2012, which were not deductible in fiscal 2011, increased tax credits, primarily research and development tax credits, and a decrease in estimated non-deductible stock compensation expense, which were partially offset by a change in the mix of income between the United States and foreign jurisdictions where rates are lower, and lower estimated deductions for domestic production activities.</w:t>
      </w:r>
    </w:p>
    <w:p>
      <w:pPr>
        <w:spacing w:after="0" w:line="2" w:lineRule="exact"/>
        <w:rPr>
          <w:rFonts w:ascii="Arial" w:cs="Arial" w:eastAsia="Arial" w:hAnsi="Arial"/>
          <w:sz w:val="16"/>
          <w:szCs w:val="16"/>
          <w:color w:val="auto"/>
        </w:rPr>
      </w:pPr>
    </w:p>
    <w:p>
      <w:pPr>
        <w:ind w:left="660" w:right="20" w:hanging="139"/>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increase in the liability for foreign income taxable in the United States under subpart F of the US Tax Code, which increased the effective tax rate by 2 percentage points.</w:t>
      </w:r>
    </w:p>
    <w:p>
      <w:pPr>
        <w:ind w:left="660" w:hanging="139"/>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1.5 percentage points as a result of the effect of the change in tax rates on deferred assets in foreign jurisdictions resulting from the termination of the tax holiday.</w:t>
      </w:r>
    </w:p>
    <w:p>
      <w:pPr>
        <w:ind w:left="660" w:hanging="13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Various other items which have a greater impact on the effective rate due to lower income before taxes, but are not material to the results.</w:t>
      </w:r>
    </w:p>
    <w:p>
      <w:pPr>
        <w:spacing w:after="0" w:line="2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as different taxing jurisdictions have different statute of limitations. The United States Internal Revenue Service (IRS) is currently in the process of examining our U.S. federal tax returns for fiscal years 2009 and 2010. The Chinese tax authorities recently completed an audit of tax returns for calendar years prior to 2012 in connection with a transfer of location of our business address in China.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product order backlog as of January 28, 2012 was approximately $121 million as compared to $128 million as of January 29, 2011 and $136 million at the end of the second quarter of fiscal 2012. Historically, our backlog varies due to the timing of large orders and customer delivery schedules for these orders. The backlog decreased from one year ago in all of our business units, with the exception of Transportation, which increased approximately $5.3 million. Our backlog is not necessarily indicative of future sales or net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92"/>
              </w:rPr>
              <w:t>Nine Months Ended</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January 28,</w:t>
            </w:r>
          </w:p>
        </w:tc>
        <w:tc>
          <w:tcPr>
            <w:tcW w:w="13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January 29,</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4"/>
        </w:trPr>
        <w:tc>
          <w:tcPr>
            <w:tcW w:w="3580" w:type="dxa"/>
            <w:vAlign w:val="bottom"/>
            <w:gridSpan w:val="3"/>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8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37,374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(20,060)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(24,707)</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(23,479)</w:t>
            </w:r>
          </w:p>
        </w:tc>
        <w:tc>
          <w:tcPr>
            <w:tcW w:w="1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(25,756)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(6,054)</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decrease in cash from operating activities for the first nine months of fiscal 2012 as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fiscal 2011 was the net result following:</w:t>
      </w:r>
    </w:p>
    <w:p>
      <w:pPr>
        <w:spacing w:after="0" w:line="1" w:lineRule="exact"/>
        <w:rPr>
          <w:sz w:val="20"/>
          <w:szCs w:val="20"/>
          <w:color w:val="auto"/>
        </w:rPr>
      </w:pPr>
    </w:p>
    <w:p>
      <w:pPr>
        <w:ind w:left="660" w:hanging="13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net income of $2.3 million, adjusted by depreciation and amortization of $1.6 million, as previously described.</w:t>
      </w:r>
    </w:p>
    <w:p>
      <w:pPr>
        <w:spacing w:after="0" w:line="9" w:lineRule="exact"/>
        <w:rPr>
          <w:rFonts w:ascii="Arial" w:cs="Arial" w:eastAsia="Arial" w:hAnsi="Arial"/>
          <w:sz w:val="18"/>
          <w:szCs w:val="18"/>
          <w:color w:val="auto"/>
        </w:rPr>
      </w:pPr>
    </w:p>
    <w:p>
      <w:pPr>
        <w:jc w:val="both"/>
        <w:ind w:left="660" w:right="20" w:hanging="139"/>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accounts receivables, which increased cash from operations by approximately $5.1 million. Days sales outstanding declined from 54 days as of April 30, 2011 to 42 days as of January 28, 2012. This change results from the natural volatility that can occur with large projects and the timing of customer payments.</w:t>
      </w:r>
    </w:p>
    <w:p>
      <w:pPr>
        <w:spacing w:after="0" w:line="1" w:lineRule="exact"/>
        <w:rPr>
          <w:rFonts w:ascii="Arial" w:cs="Arial" w:eastAsia="Arial" w:hAnsi="Arial"/>
          <w:sz w:val="18"/>
          <w:szCs w:val="18"/>
          <w:color w:val="auto"/>
        </w:rPr>
      </w:pPr>
    </w:p>
    <w:p>
      <w:pPr>
        <w:jc w:val="both"/>
        <w:ind w:left="660" w:right="20" w:hanging="139"/>
        <w:spacing w:after="0" w:line="26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in the net of costs and earnings in excess of billings and billings in excess of costs and estimated earnings of approximately $16.7 million. This increase is due to the timing of construction type contracts, which can fluctuate significantly based on the particular contracts and their related billings. It is expected that this will turn around in the fourth quarter of fiscal 2012.</w:t>
      </w:r>
    </w:p>
    <w:p>
      <w:pPr>
        <w:ind w:left="660" w:right="20" w:hanging="139"/>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inventory of approximately $5.1 million. Days inventory outstanding increased from 42 days as of April 30, 2011 to 50 days as of January 28, 2012.</w:t>
      </w:r>
    </w:p>
    <w:p>
      <w:pPr>
        <w:ind w:left="660" w:hanging="139"/>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in various other operating assets and liabilities, net, which reduced cash from operations by approximately $1.4 million.</w:t>
      </w:r>
    </w:p>
    <w:p>
      <w:pPr>
        <w:sectPr>
          <w:pgSz w:w="11900" w:h="16863" w:orient="portrait"/>
          <w:cols w:equalWidth="0" w:num="1">
            <w:col w:w="10820"/>
          </w:cols>
          <w:pgMar w:left="240" w:top="125" w:right="839" w:bottom="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as described above, which can cause significant fluctuations in the short term in inventory, accounts receivables, accounts payable, customer deposits, costs and earnings in excess of billings and various other operating assets and liabilities.</w:t>
      </w:r>
    </w:p>
    <w:p>
      <w:pPr>
        <w:spacing w:after="0" w:line="20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decrease in cash used in investing activities for the first nine months of fiscal 2012 as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was the result of the net effect of the following:</w:t>
      </w:r>
    </w:p>
    <w:p>
      <w:pPr>
        <w:spacing w:after="0" w:line="1" w:lineRule="exact"/>
        <w:rPr>
          <w:sz w:val="20"/>
          <w:szCs w:val="20"/>
          <w:color w:val="auto"/>
        </w:rPr>
      </w:pPr>
    </w:p>
    <w:p>
      <w:pPr>
        <w:jc w:val="both"/>
        <w:ind w:left="660" w:right="20" w:hanging="139"/>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in the net cash invested in marketable securities, net of maturities. We began investing excess cash in marketable securities in fiscal 2011 and have generally maintained that level of investment during fiscal 2012. To the extent that maturities exceeded purchases in fiscal 2012, it resulted from lags in reinvesting the funds.</w:t>
      </w:r>
    </w:p>
    <w:p>
      <w:pPr>
        <w:spacing w:after="0" w:line="1" w:lineRule="exact"/>
        <w:rPr>
          <w:rFonts w:ascii="Arial" w:cs="Arial" w:eastAsia="Arial" w:hAnsi="Arial"/>
          <w:sz w:val="18"/>
          <w:szCs w:val="18"/>
          <w:color w:val="auto"/>
        </w:rPr>
      </w:pPr>
    </w:p>
    <w:p>
      <w:pPr>
        <w:jc w:val="both"/>
        <w:ind w:left="660" w:hanging="139"/>
        <w:spacing w:after="0" w:line="25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purchases of property and equipment of approximately $7.0 million. During the first nine months of fiscal 2012, we invested $5.5 in manufacturing equipment, $3.7 million in product demonstration equipment, $2.9 million in information systems infrastructure, including software, and $0.5 million in other assets. These investments were generally for maintenance in the case of information systems and in manufacturing related to the expansion of capability in China and in improving flexibility in the plants as it relates to new products. As of the end of the third quarter of fiscal 2012, capital expenditures were 3.3% of net sales and are expected to be approximately $16 million for the fiscal year as a whole.</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increase in cash used by financing activities for the first nine months of fiscal 2012 as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was the result of an increase in dividends paid to shareholders as explained elsewhere in this Report.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January 28, 2012 was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$3.5 million of retainage on long-term contracts, all of which is expected to be collected within one year.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was $116.2 million at January 28, 2012 and $128.2 million at April 30, 2011. We have historically financed working capital needs through a combination of cash flow from operations and borrowings under bank credit agreements.</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have used and expect to continue to use cash reserves and, to a lesser extent and primarily in China,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1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 product development activities during the third quarter of fiscal 2012 included the enhancement of existing products and control systems and the development of new products from existing technologies, including new architechtual lighting applications. Product design and development expenses were $5.7 million for the third quarter of fiscal 2012 as compared to $4.7 million for the third quarter of fiscal 2011 and were $17.1 million for year to date of fiscal 2012 as compared to $13.8 million for the year to date of fiscal 2011. We expect to incur expenditures at a higher rate than our long-term targeted level of 4.0% of net sales throughout the rest of fiscal 2012 to develop new display products and solutions that will offer higher resolution and more cost-effective and energy-efficient displays, as well as control systems that are provided with the displays. We intend to continue developing software applications related to our display systems to enable these products to continue to meet the needs and expectations of the marketplace.</w:t>
      </w:r>
    </w:p>
    <w:p>
      <w:pPr>
        <w:spacing w:after="0" w:line="21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have a credit agreement with a U.S. bank that provides for a $35.0 million line of credit and includes up to $15.0 million for standby letters of credit. The line of credit is due on November 15, 2012. The interest rate ranges from LIBOR plus 125 basis points to LIBOR plus 175 basis points depending on the ratio of interest-bearing debt to EBITDA. EBITDA is defined as net income before income taxes, interest expense, depreciation and amortization. The effective interest rate was 1.5% at January 28, 2012. We are assessed a loan fee equal to 0.125% per annum of any non-used portion of the loan. As of January 28, 2012, there were no advances under the line of credit.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1320" w:hanging="340"/>
        <w:spacing w:after="0" w:line="250"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spacing w:after="0" w:line="1" w:lineRule="exact"/>
        <w:rPr>
          <w:rFonts w:ascii="Arial" w:cs="Arial" w:eastAsia="Arial" w:hAnsi="Arial"/>
          <w:sz w:val="18"/>
          <w:szCs w:val="18"/>
          <w:color w:val="auto"/>
        </w:rPr>
      </w:pPr>
    </w:p>
    <w:p>
      <w:pPr>
        <w:ind w:left="1320" w:hanging="340"/>
        <w:spacing w:after="0"/>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ratio of interest-bearing debt, excluding any marketing obligations, to EBITDA of less than 1 to 1 at the end of any fiscal quarter.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877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an additional credit agreement with another U.S. bank that expires on November 15, 2012 that is intended to support our credit needs outside of the U.S., primarily in China. The facility provides for a $20.0 million line of credit and includes facilities to issue up to $20.0 million for letters of credit and bank guarantees and to secure foreign loans. This U.S. credit facility secured the credit facility that we entered into in China with a Chinese affiliate of the U.S. bank. It is also expected to secure another facility in Europe to be used to issue credit enhancements as required under our contracts with our customers. The U.S. credit agreement is unsecured and is cross collateralized with the $35.0 million line of credit described above. It contains the same covenants as the credit agreement for that line of credit. As of January 28, 2012, there was $3.2 million of advances outstanding under the China credit facility.</w:t>
      </w:r>
    </w:p>
    <w:p>
      <w:pPr>
        <w:spacing w:after="0" w:line="2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were in compliance with all applicable covenants as January 28, 2012 and April 30, 2011, and expect to be in compliance with all applicable covenants at the end of fiscal 2012. The minimum fixed charge coverage ratio as of January 28, 2012 was 83-to-1, and the ratio of interest-bearing debt to EBITDA as of January 28, 2012 was approximately 0.11-to-1.</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 2011, our Board declared an annual dividend payment of $0.11 per share on our common stock for the fiscal year ended April 30, 2011, which was paid on June 24, 2011.</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December 1, 2011, our Board declared a semi-annual dividend payment of $0.11 per share on our common stock and a special dividend of $0.40 per share on our common stock. The dividend was paid on December 22, 2011. Although we intend to pay regular semi-annual dividends for the foreseeable future, all subsequent dividends will be reviewed annually and declared by our Board of Directors at its discretion.</w:t>
      </w:r>
    </w:p>
    <w:p>
      <w:pPr>
        <w:sectPr>
          <w:pgSz w:w="11900" w:h="16838" w:orient="portrait"/>
          <w:cols w:equalWidth="0" w:num="1">
            <w:col w:w="10820"/>
          </w:cols>
          <w:pgMar w:left="240" w:top="361" w:right="839" w:bottom="0" w:gutter="0" w:footer="0" w:header="0"/>
        </w:sectPr>
      </w:pPr>
    </w:p>
    <w:bookmarkStart w:id="24" w:name="page25"/>
    <w:bookmarkEnd w:id="24"/>
    <w:p>
      <w:pPr>
        <w:spacing w:after="0" w:line="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$100.0 million in bonded work outstanding. At January 28, 2012, we had approximately $38.9 million of bonded work outstanding against this line.</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facilities or seek other means of financing. We anticipate that we will be able to obtain any needed funds under commercially reasonable terms from our current lenders or other sources. We believe that our working capital available from all sources will be adequate to meet the cash requirements of our operations in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 January 28, 2012, most of our net sales were denominated in United States dollars, and our exposure to foreign currency exchange rate changes on net sales had not been significant. For the third quarter and year to date of fiscal 2012, net sales originating outside the United States were approximately 7.6% and 9.4% of total net sales, respectively, of which a portion was denominated in Canadian dollars, Euros, Chinese renminbi, British pounds, Hong Kong dollars, Australia dollars or other currencies. If we believed that currency risk in any foreign location was significant, we would utilize foreign exchange hedging contracts to manage our exposure to the currency fluctuations. Over the long 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 in United States dollars. As a result, their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exposure to market rate risk for changes in interest rates relates primarily to our debt, marketing obligations, and long-term accounts receivables. As of January 28, 2012, our outstanding debt was $3.2 million, substantially all of which was in variable rate obligations. Each 100 basis point increase or decrease in interest rates would have an insignificant annual effect on variable rate debt based on the balances of such debt as of January 28, 2012. As of January 28, 2012, our outstanding marketing obligations were $0.8 million, substantially all of which were in fixed rate obligations. For fixed-rate debt, interest rate changes affect the fair value of the obligations but do not affect earnings 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January 28, 2012, our outstanding long-term receivables were approximately $19.0 million. Each 25 basis point increase in interest rates would have an associated annual opportunity cost to us of approximately $0.1 million.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maturities and weighted average interest rates on our financial instruments that are sensitive to changes in interest rates, including debt obligations.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Thereafter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Long-term receivables, including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current maturities: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marketing obligations,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current portion</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Fixed-rate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interest rate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Approximately $22.2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28, 2012, which is the end of the period covered by this</w:t>
      </w:r>
    </w:p>
    <w:p>
      <w:pPr>
        <w:sectPr>
          <w:pgSz w:w="11900" w:h="16885" w:orient="portrait"/>
          <w:cols w:equalWidth="0" w:num="1">
            <w:col w:w="10820"/>
          </w:cols>
          <w:pgMar w:left="240" w:top="368" w:right="839" w:bottom="0" w:gutter="0" w:footer="0" w:header="0"/>
        </w:sectPr>
      </w:pPr>
    </w:p>
    <w:bookmarkStart w:id="25" w:name="page26"/>
    <w:bookmarkEnd w:id="25"/>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Report. Based upon that evaluation, the Chief Executive Officer and Chief Financial Officer concluded that as of January 28, 2012, our disclosure controls and procedures were effective.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28, 2012, there was no change in our internal control over financial reporting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financial condition or 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discussion of our business and operations included in this Quarterly Report on Form 10-Q should be read together with the risk factors described in Item 1A. of our Annual Report on Form 10-K for the fiscal year ended April 30, 2011.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877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52" w:lineRule="exact"/>
        <w:rPr>
          <w:sz w:val="20"/>
          <w:szCs w:val="20"/>
          <w:color w:val="auto"/>
        </w:rPr>
      </w:pPr>
    </w:p>
    <w:p>
      <w:pPr>
        <w:jc w:val="both"/>
        <w:ind w:left="720" w:right="20" w:hanging="701"/>
        <w:spacing w:after="0" w:line="21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Certification of the Chief Executive Officer required by Rule 13a-14(a) or Rule 15d-14(a) under the Securities Exchange Act of 1934, as adopted pursuant to Section 302 of the Sarbanes-Oxley Act of 2002. </w:t>
      </w:r>
      <w:r>
        <w:rPr>
          <w:rFonts w:ascii="Arial" w:cs="Arial" w:eastAsia="Arial" w:hAnsi="Arial"/>
          <w:sz w:val="25"/>
          <w:szCs w:val="25"/>
          <w:color w:val="auto"/>
          <w:vertAlign w:val="superscript"/>
        </w:rPr>
        <w:t>(1)</w:t>
      </w:r>
    </w:p>
    <w:p>
      <w:pPr>
        <w:spacing w:after="0" w:line="1" w:lineRule="exact"/>
        <w:rPr>
          <w:sz w:val="20"/>
          <w:szCs w:val="20"/>
          <w:color w:val="auto"/>
        </w:rPr>
      </w:pPr>
    </w:p>
    <w:p>
      <w:pPr>
        <w:jc w:val="both"/>
        <w:ind w:left="720" w:right="20" w:hanging="701"/>
        <w:spacing w:after="0" w:line="206"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Certification of the Chief Financial Officer required by Rule 13a-14(a) or Rule 15d-14(a) under the Securities Exchange Act of 1934, as adopted pursuant to Section 302 of the Sarbanes-Oxley Act of 2002. </w:t>
      </w:r>
      <w:r>
        <w:rPr>
          <w:rFonts w:ascii="Arial" w:cs="Arial" w:eastAsia="Arial" w:hAnsi="Arial"/>
          <w:sz w:val="25"/>
          <w:szCs w:val="25"/>
          <w:color w:val="auto"/>
          <w:vertAlign w:val="superscript"/>
        </w:rPr>
        <w:t>(1)</w:t>
      </w:r>
    </w:p>
    <w:p>
      <w:pPr>
        <w:spacing w:after="0" w:line="206"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xml:space="preserve">Certification of the Chief Executive Officer pursuant to Section 906 of the Sarbanes-Oxley Act of 2002 (18 U.S.C. Section 1350). </w:t>
      </w:r>
      <w:r>
        <w:rPr>
          <w:rFonts w:ascii="Arial" w:cs="Arial" w:eastAsia="Arial" w:hAnsi="Arial"/>
          <w:sz w:val="22"/>
          <w:szCs w:val="22"/>
          <w:color w:val="auto"/>
          <w:vertAlign w:val="superscript"/>
        </w:rPr>
        <w:t>(1)</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Certification of the Chief Financial Officer pursuant to Section 906 of the Sarbanes-Oxley Act of 2002 (18 U.S.C. Section 1350). </w:t>
      </w:r>
      <w:r>
        <w:rPr>
          <w:rFonts w:ascii="Arial" w:cs="Arial" w:eastAsia="Arial" w:hAnsi="Arial"/>
          <w:sz w:val="22"/>
          <w:szCs w:val="22"/>
          <w:color w:val="auto"/>
          <w:vertAlign w:val="superscript"/>
        </w:rPr>
        <w:t>(1)</w:t>
      </w:r>
    </w:p>
    <w:p>
      <w:pPr>
        <w:spacing w:after="0" w:line="169" w:lineRule="exact"/>
        <w:rPr>
          <w:sz w:val="20"/>
          <w:szCs w:val="20"/>
          <w:color w:val="auto"/>
        </w:rPr>
      </w:pPr>
    </w:p>
    <w:p>
      <w:pPr>
        <w:jc w:val="both"/>
        <w:ind w:left="720" w:hanging="712"/>
        <w:spacing w:after="0" w:line="264"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January 28, 2012, formatted in Extensible Business Reporting Language (XBRL): (i) Consolidated Balance Sheet, (ii) Consolidated Statement of Operations, (iii) Consolidated Statement of Cash Flows, and (iv) Notes to Consolidated Financial Statements.*</w:t>
      </w:r>
    </w:p>
    <w:p>
      <w:pPr>
        <w:spacing w:after="0" w:line="181" w:lineRule="exact"/>
        <w:rPr>
          <w:sz w:val="20"/>
          <w:szCs w:val="20"/>
          <w:color w:val="auto"/>
        </w:rPr>
      </w:pPr>
    </w:p>
    <w:p>
      <w:pPr>
        <w:ind w:left="1180" w:hanging="470"/>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3" w:lineRule="exact"/>
        <w:rPr>
          <w:sz w:val="20"/>
          <w:szCs w:val="20"/>
          <w:color w:val="auto"/>
        </w:rPr>
      </w:pPr>
    </w:p>
    <w:p>
      <w:pPr>
        <w:jc w:val="both"/>
        <w:ind w:left="1180" w:right="720" w:hanging="470"/>
        <w:spacing w:after="0" w:line="253"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into this Quarterly Report on Form 10-Q:</w:t>
      </w:r>
    </w:p>
    <w:p>
      <w:pPr>
        <w:spacing w:after="0" w:line="252" w:lineRule="exact"/>
        <w:rPr>
          <w:sz w:val="20"/>
          <w:szCs w:val="20"/>
          <w:color w:val="auto"/>
        </w:rPr>
      </w:pPr>
    </w:p>
    <w:p>
      <w:pPr>
        <w:jc w:val="both"/>
        <w:ind w:left="660" w:hanging="512"/>
        <w:spacing w:after="0" w:line="256" w:lineRule="auto"/>
        <w:tabs>
          <w:tab w:leader="none" w:pos="640" w:val="left"/>
        </w:tabs>
        <w:rPr>
          <w:sz w:val="20"/>
          <w:szCs w:val="20"/>
          <w:color w:val="auto"/>
        </w:rPr>
      </w:pPr>
      <w:r>
        <w:rPr>
          <w:rFonts w:ascii="Arial" w:cs="Arial" w:eastAsia="Arial" w:hAnsi="Arial"/>
          <w:sz w:val="18"/>
          <w:szCs w:val="18"/>
          <w:color w:val="auto"/>
        </w:rPr>
        <w:t>10.1</w:t>
        <w:tab/>
        <w:t>Tenth Amendment to Loan Agreement dated November 15, 2011 by and between the Company and U.S. Bank National Association (the “Bank”) (incorporated by reference to Exhibit 10.1 to the Company’s Current Report on Form 8-K filed with the Securities and Exchange Commission on November 17, 2011 (the “Form 8-K”)).</w:t>
      </w:r>
    </w:p>
    <w:p>
      <w:pPr>
        <w:jc w:val="both"/>
        <w:ind w:left="660" w:right="20" w:hanging="512"/>
        <w:spacing w:after="0" w:line="250" w:lineRule="auto"/>
        <w:tabs>
          <w:tab w:leader="none" w:pos="640" w:val="left"/>
        </w:tabs>
        <w:rPr>
          <w:sz w:val="20"/>
          <w:szCs w:val="20"/>
          <w:color w:val="auto"/>
        </w:rPr>
      </w:pPr>
      <w:r>
        <w:rPr>
          <w:rFonts w:ascii="Arial" w:cs="Arial" w:eastAsia="Arial" w:hAnsi="Arial"/>
          <w:sz w:val="18"/>
          <w:szCs w:val="18"/>
          <w:color w:val="auto"/>
        </w:rPr>
        <w:t>10.2</w:t>
        <w:tab/>
        <w:t>Renewal Revolving Note dated November 15, 2011 issued by the Company to the Bank (incorporated by reference to Exhibit 10.2 to the Form 8-K).</w:t>
      </w:r>
    </w:p>
    <w:p>
      <w:pPr>
        <w:spacing w:after="0" w:line="1" w:lineRule="exact"/>
        <w:rPr>
          <w:sz w:val="20"/>
          <w:szCs w:val="20"/>
          <w:color w:val="auto"/>
        </w:rPr>
      </w:pPr>
    </w:p>
    <w:p>
      <w:pPr>
        <w:jc w:val="both"/>
        <w:ind w:left="660" w:right="20" w:hanging="512"/>
        <w:spacing w:after="0" w:line="250" w:lineRule="auto"/>
        <w:tabs>
          <w:tab w:leader="none" w:pos="640" w:val="left"/>
        </w:tabs>
        <w:rPr>
          <w:sz w:val="20"/>
          <w:szCs w:val="20"/>
          <w:color w:val="auto"/>
        </w:rPr>
      </w:pPr>
      <w:r>
        <w:rPr>
          <w:rFonts w:ascii="Arial" w:cs="Arial" w:eastAsia="Arial" w:hAnsi="Arial"/>
          <w:sz w:val="18"/>
          <w:szCs w:val="18"/>
          <w:color w:val="auto"/>
        </w:rPr>
        <w:t>10.3</w:t>
        <w:tab/>
        <w:t>Loan Agreement dated December 23, 2010 by and between Bank of America (“BoA”) and the Company (incorporated by reference to Exhibit 10.3 to the Form 8-K).</w:t>
      </w:r>
    </w:p>
    <w:p>
      <w:pPr>
        <w:spacing w:after="0" w:line="1"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First Amendment to Loan Agreement dated February 1, 2011 by and between BoA and the Company (incorporated by reference to Exhibit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to the Form 8-K).</w:t>
      </w:r>
    </w:p>
    <w:p>
      <w:pPr>
        <w:sectPr>
          <w:pgSz w:w="11900" w:h="16848" w:orient="portrait"/>
          <w:cols w:equalWidth="0" w:num="1">
            <w:col w:w="10820"/>
          </w:cols>
          <w:pgMar w:left="240" w:top="125" w:right="839" w:bottom="0" w:gutter="0" w:footer="0" w:header="0"/>
        </w:sectPr>
      </w:pPr>
    </w:p>
    <w:bookmarkStart w:id="26" w:name="page27"/>
    <w:bookmarkEnd w:id="26"/>
    <w:p>
      <w:pPr>
        <w:ind w:left="660" w:hanging="512"/>
        <w:spacing w:after="0" w:line="258" w:lineRule="auto"/>
        <w:tabs>
          <w:tab w:leader="none" w:pos="640" w:val="left"/>
        </w:tabs>
        <w:rPr>
          <w:sz w:val="20"/>
          <w:szCs w:val="20"/>
          <w:color w:val="auto"/>
        </w:rPr>
      </w:pPr>
      <w:r>
        <w:rPr>
          <w:rFonts w:ascii="Arial" w:cs="Arial" w:eastAsia="Arial" w:hAnsi="Arial"/>
          <w:sz w:val="18"/>
          <w:szCs w:val="18"/>
          <w:color w:val="auto"/>
        </w:rPr>
        <w:t>10.5</w:t>
        <w:tab/>
        <w:t>Second Amendment to Loan Agreement dated November 15, 2011 by and between BoA and the Company (incorporated by reference to Exhibit 10.5 to the Form 8-K).</w:t>
      </w:r>
    </w:p>
    <w:p>
      <w:pPr>
        <w:spacing w:after="0" w:line="1" w:lineRule="exact"/>
        <w:rPr>
          <w:sz w:val="20"/>
          <w:szCs w:val="20"/>
          <w:color w:val="auto"/>
        </w:rPr>
      </w:pPr>
    </w:p>
    <w:p>
      <w:pPr>
        <w:jc w:val="center"/>
        <w:ind w:right="280"/>
        <w:spacing w:after="0"/>
        <w:tabs>
          <w:tab w:leader="none" w:pos="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Revolving Note dated November 15, 2011 issued by the Company to BoA (incorporated by reference to Exhibit 10.7 to the Form 8-K).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41763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76395" cy="17145"/>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Daktronics, Inc.</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8776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28, 2012 of Daktronics,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3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20" w:firstLine="8"/>
        <w:spacing w:after="0" w:line="308" w:lineRule="auto"/>
        <w:tabs>
          <w:tab w:leader="none" w:pos="3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right="20" w:firstLine="8"/>
        <w:spacing w:after="0" w:line="264" w:lineRule="auto"/>
        <w:tabs>
          <w:tab w:leader="none" w:pos="3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3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2012</w:t>
      </w:r>
    </w:p>
    <w:p>
      <w:pPr>
        <w:sectPr>
          <w:pgSz w:w="11900" w:h="16838" w:orient="portrait"/>
          <w:cols w:equalWidth="0" w:num="1">
            <w:col w:w="10820"/>
          </w:cols>
          <w:pgMar w:left="240" w:top="368" w:right="839" w:bottom="1440" w:gutter="0" w:footer="0" w:header="0"/>
        </w:sectPr>
      </w:pPr>
    </w:p>
    <w:bookmarkStart w:id="28" w:name="page29"/>
    <w:bookmarkEnd w:id="28"/>
    <w:p>
      <w:pPr>
        <w:ind w:left="974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28, 2012 of Daktronics,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firstLine="8"/>
        <w:spacing w:after="0" w:line="308" w:lineRule="auto"/>
        <w:tabs>
          <w:tab w:leader="none" w:pos="4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3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3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2012</w:t>
      </w:r>
    </w:p>
    <w:p>
      <w:pPr>
        <w:sectPr>
          <w:pgSz w:w="11900" w:h="16838" w:orient="portrait"/>
          <w:cols w:equalWidth="0" w:num="1">
            <w:col w:w="10820"/>
          </w:cols>
          <w:pgMar w:left="240" w:top="611" w:right="8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January 28, 2012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2012</w:t>
      </w:r>
    </w:p>
    <w:p>
      <w:pPr>
        <w:sectPr>
          <w:pgSz w:w="11900" w:h="16838" w:orient="portrait"/>
          <w:cols w:equalWidth="0" w:num="1">
            <w:col w:w="10820"/>
          </w:cols>
          <w:pgMar w:left="240" w:top="368" w:right="8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January 28, 2012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2012</w:t>
      </w:r>
    </w:p>
    <w:sectPr>
      <w:pgSz w:w="11900" w:h="16838" w:orient="portrait"/>
      <w:cols w:equalWidth="0" w:num="1">
        <w:col w:w="10820"/>
      </w:cols>
      <w:pgMar w:left="240" w:top="36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Roman"/>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lvl w:ilvl="1">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0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2019-12-09T11:07:12Z</dcterms:created>
  <dcterms:modified xsi:type="dcterms:W3CDTF">2019-12-09T11:07:12Z</dcterms:modified>
</cp:coreProperties>
</file>