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80" w:right="1880" w:hanging="3871"/>
        <w:spacing w:after="0" w:line="286"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quarterly period ended October 26, 2024</w:t>
      </w:r>
    </w:p>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jc w:val="center"/>
        <w:ind w:right="188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001-38747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9" w:lineRule="exact"/>
        <w:rPr>
          <w:sz w:val="24"/>
          <w:szCs w:val="24"/>
          <w:color w:val="auto"/>
        </w:rPr>
      </w:pPr>
    </w:p>
    <w:tbl>
      <w:tblPr>
        <w:tblLayout w:type="fixed"/>
        <w:tblInd w:w="10" w:type="dxa"/>
        <w:tblCellMar>
          <w:top w:w="0" w:type="dxa"/>
          <w:left w:w="0" w:type="dxa"/>
          <w:bottom w:w="0" w:type="dxa"/>
          <w:right w:w="0" w:type="dxa"/>
        </w:tblCellMar>
      </w:tblPr>
      <w:tr>
        <w:trPr>
          <w:trHeight w:val="245"/>
        </w:trPr>
        <w:tc>
          <w:tcPr>
            <w:tcW w:w="344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South Dakota</w:t>
            </w: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320" w:type="dxa"/>
            <w:vAlign w:val="bottom"/>
            <w:tcBorders>
              <w:bottom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25"/>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527"/>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201 Daktronics Drive</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Brookings,</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SD</w:t>
            </w:r>
          </w:p>
        </w:tc>
        <w:tc>
          <w:tcPr>
            <w:tcW w:w="432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57006</w:t>
            </w:r>
          </w:p>
        </w:tc>
      </w:tr>
      <w:tr>
        <w:trPr>
          <w:trHeight w:val="256"/>
        </w:trPr>
        <w:tc>
          <w:tcPr>
            <w:tcW w:w="3440" w:type="dxa"/>
            <w:vAlign w:val="bottom"/>
          </w:tcPr>
          <w:p>
            <w:pPr>
              <w:spacing w:after="0"/>
              <w:rPr>
                <w:sz w:val="22"/>
                <w:szCs w:val="22"/>
                <w:color w:val="auto"/>
              </w:rPr>
            </w:pPr>
          </w:p>
        </w:tc>
        <w:tc>
          <w:tcPr>
            <w:tcW w:w="7820" w:type="dxa"/>
            <w:vAlign w:val="bottom"/>
            <w:gridSpan w:val="5"/>
          </w:tcPr>
          <w:p>
            <w:pPr>
              <w:jc w:val="center"/>
              <w:ind w:right="335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522"/>
        </w:trPr>
        <w:tc>
          <w:tcPr>
            <w:tcW w:w="3440" w:type="dxa"/>
            <w:vAlign w:val="bottom"/>
          </w:tcPr>
          <w:p>
            <w:pPr>
              <w:spacing w:after="0"/>
              <w:rPr>
                <w:sz w:val="24"/>
                <w:szCs w:val="24"/>
                <w:color w:val="auto"/>
              </w:rPr>
            </w:pPr>
          </w:p>
        </w:tc>
        <w:tc>
          <w:tcPr>
            <w:tcW w:w="306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4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7820" w:type="dxa"/>
            <w:vAlign w:val="bottom"/>
            <w:gridSpan w:val="5"/>
          </w:tcPr>
          <w:p>
            <w:pPr>
              <w:jc w:val="center"/>
              <w:ind w:right="33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3440" w:type="dxa"/>
            <w:vAlign w:val="bottom"/>
          </w:tcPr>
          <w:p>
            <w:pPr>
              <w:spacing w:after="0"/>
              <w:rPr>
                <w:sz w:val="24"/>
                <w:szCs w:val="24"/>
                <w:color w:val="auto"/>
              </w:rPr>
            </w:pPr>
          </w:p>
        </w:tc>
        <w:tc>
          <w:tcPr>
            <w:tcW w:w="7820" w:type="dxa"/>
            <w:vAlign w:val="bottom"/>
            <w:gridSpan w:val="5"/>
          </w:tcPr>
          <w:p>
            <w:pPr>
              <w:jc w:val="center"/>
              <w:ind w:right="33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43"/>
        </w:trPr>
        <w:tc>
          <w:tcPr>
            <w:tcW w:w="34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r>
      <w:tr>
        <w:trPr>
          <w:trHeight w:val="243"/>
        </w:trPr>
        <w:tc>
          <w:tcPr>
            <w:tcW w:w="3440" w:type="dxa"/>
            <w:vAlign w:val="bottom"/>
            <w:tcBorders>
              <w:left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9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364" w:right="319" w:bottom="0" w:gutter="0" w:footer="0" w:header="0"/>
        </w:sectPr>
      </w:pPr>
    </w:p>
    <w:p>
      <w:pPr>
        <w:spacing w:after="0" w:line="2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0"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spacing w:after="0" w:line="1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number of shares of the registrant’s common stock outstanding as of November 25, 2024 was 46,986,282.</w:t>
      </w:r>
    </w:p>
    <w:p>
      <w:pPr>
        <w:sectPr>
          <w:pgSz w:w="11900" w:h="16838" w:orient="portrait"/>
          <w:cols w:equalWidth="0" w:num="1">
            <w:col w:w="11260"/>
          </w:cols>
          <w:pgMar w:left="320" w:top="1364" w:right="31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573405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 Ended October 26,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1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gridSpan w:val="6"/>
            <w:vMerge w:val="continue"/>
          </w:tcPr>
          <w:p>
            <w:pPr>
              <w:spacing w:after="0"/>
              <w:rPr>
                <w:sz w:val="16"/>
                <w:szCs w:val="16"/>
                <w:color w:val="auto"/>
              </w:rPr>
            </w:pPr>
          </w:p>
        </w:tc>
        <w:tc>
          <w:tcPr>
            <w:tcW w:w="9140" w:type="dxa"/>
            <w:vAlign w:val="bottom"/>
            <w:gridSpan w:val="22"/>
            <w:vMerge w:val="continue"/>
          </w:tcPr>
          <w:p>
            <w:pPr>
              <w:spacing w:after="0"/>
              <w:rPr>
                <w:sz w:val="16"/>
                <w:szCs w:val="16"/>
                <w:color w:val="auto"/>
              </w:rPr>
            </w:pPr>
          </w:p>
        </w:tc>
        <w:tc>
          <w:tcPr>
            <w:tcW w:w="400" w:type="dxa"/>
            <w:vAlign w:val="bottom"/>
            <w:gridSpan w:val="4"/>
          </w:tcPr>
          <w:p>
            <w:pPr>
              <w:jc w:val="center"/>
              <w:ind w:left="15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60" w:type="dxa"/>
            <w:vAlign w:val="bottom"/>
            <w:gridSpan w:val="5"/>
          </w:tcPr>
          <w:p>
            <w:pPr>
              <w:spacing w:after="0"/>
              <w:rPr>
                <w:sz w:val="18"/>
                <w:szCs w:val="18"/>
                <w:color w:val="auto"/>
              </w:rPr>
            </w:pPr>
          </w:p>
        </w:tc>
        <w:tc>
          <w:tcPr>
            <w:tcW w:w="24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20" w:type="dxa"/>
            <w:vAlign w:val="bottom"/>
            <w:gridSpan w:val="11"/>
          </w:tcPr>
          <w:p>
            <w:pPr>
              <w:spacing w:after="0"/>
              <w:rPr>
                <w:sz w:val="18"/>
                <w:szCs w:val="18"/>
                <w:color w:val="auto"/>
              </w:rPr>
            </w:pPr>
          </w:p>
        </w:tc>
        <w:tc>
          <w:tcPr>
            <w:tcW w:w="4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October 26, 2024 and April 27, 2024</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9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October 26, 2024 and</w:t>
            </w:r>
          </w:p>
        </w:tc>
        <w:tc>
          <w:tcPr>
            <w:tcW w:w="720" w:type="dxa"/>
            <w:vAlign w:val="bottom"/>
            <w:gridSpan w:val="4"/>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940" w:type="dxa"/>
            <w:vAlign w:val="bottom"/>
            <w:tcBorders>
              <w:bottom w:val="single" w:sz="8" w:color="0000FF"/>
            </w:tcBorders>
            <w:gridSpan w:val="17"/>
            <w:vMerge w:val="continue"/>
          </w:tcPr>
          <w:p>
            <w:pPr>
              <w:spacing w:after="0"/>
              <w:rPr>
                <w:sz w:val="18"/>
                <w:szCs w:val="18"/>
                <w:color w:val="auto"/>
              </w:rPr>
            </w:pPr>
          </w:p>
        </w:tc>
        <w:tc>
          <w:tcPr>
            <w:tcW w:w="72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8"/>
              </w:rPr>
              <w:t>October 28, 2023</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18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4"/>
          </w:tcPr>
          <w:p>
            <w:pPr>
              <w:jc w:val="center"/>
              <w:ind w:left="150"/>
              <w:spacing w:after="0" w:line="19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1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Six Months Ended October 26,</w:t>
            </w:r>
          </w:p>
        </w:tc>
        <w:tc>
          <w:tcPr>
            <w:tcW w:w="500" w:type="dxa"/>
            <w:vAlign w:val="bottom"/>
            <w:gridSpan w:val="3"/>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60" w:type="dxa"/>
            <w:vAlign w:val="bottom"/>
            <w:tcBorders>
              <w:bottom w:val="single" w:sz="8" w:color="0000FF"/>
            </w:tcBorders>
            <w:gridSpan w:val="18"/>
            <w:vMerge w:val="continue"/>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60" w:type="dxa"/>
            <w:vAlign w:val="bottom"/>
            <w:tcBorders>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8"/>
              </w:rPr>
              <w:t>2024 and October 28, 2023</w:t>
            </w: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36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4"/>
          </w:tcPr>
          <w:p>
            <w:pPr>
              <w:jc w:val="center"/>
              <w:ind w:left="150"/>
              <w:spacing w:after="0" w:line="196" w:lineRule="exact"/>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3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Shareholders' Equity for the Three and Six Months Ended October 26, 2024</w:t>
            </w:r>
          </w:p>
        </w:tc>
        <w:tc>
          <w:tcPr>
            <w:tcW w:w="320" w:type="dxa"/>
            <w:vAlign w:val="bottom"/>
            <w:gridSpan w:val="2"/>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340" w:type="dxa"/>
            <w:vAlign w:val="bottom"/>
            <w:tcBorders>
              <w:bottom w:val="single" w:sz="8" w:color="0000FF"/>
            </w:tcBorders>
            <w:gridSpan w:val="19"/>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Borders>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8"/>
              </w:rPr>
              <w:t>and October 28, 2023</w:t>
            </w:r>
          </w:p>
        </w:tc>
        <w:tc>
          <w:tcPr>
            <w:tcW w:w="280" w:type="dxa"/>
            <w:vAlign w:val="bottom"/>
          </w:tcPr>
          <w:p>
            <w:pPr>
              <w:spacing w:after="0"/>
              <w:rPr>
                <w:sz w:val="17"/>
                <w:szCs w:val="17"/>
                <w:color w:val="auto"/>
              </w:rPr>
            </w:pPr>
          </w:p>
        </w:tc>
        <w:tc>
          <w:tcPr>
            <w:tcW w:w="20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54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4"/>
          </w:tcPr>
          <w:p>
            <w:pPr>
              <w:jc w:val="center"/>
              <w:ind w:left="150"/>
              <w:spacing w:after="0" w:line="196" w:lineRule="exact"/>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2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October 26, 2024 and October 28, 2023</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20" w:type="dxa"/>
            <w:vAlign w:val="bottom"/>
            <w:tcBorders>
              <w:bottom w:val="single" w:sz="8" w:color="0000FF"/>
            </w:tcBorders>
            <w:gridSpan w:val="20"/>
            <w:vMerge w:val="continue"/>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1720" w:type="dxa"/>
            <w:vAlign w:val="bottom"/>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60" w:type="dxa"/>
            <w:vAlign w:val="bottom"/>
            <w:tcBorders>
              <w:bottom w:val="single" w:sz="8" w:color="0000FF"/>
            </w:tcBorders>
            <w:gridSpan w:val="14"/>
            <w:vMerge w:val="continue"/>
          </w:tcPr>
          <w:p>
            <w:pPr>
              <w:spacing w:after="0"/>
              <w:rPr>
                <w:sz w:val="18"/>
                <w:szCs w:val="18"/>
                <w:color w:val="auto"/>
              </w:rPr>
            </w:pPr>
          </w:p>
        </w:tc>
        <w:tc>
          <w:tcPr>
            <w:tcW w:w="1720" w:type="dxa"/>
            <w:vAlign w:val="bottom"/>
          </w:tcPr>
          <w:p>
            <w:pPr>
              <w:spacing w:after="0"/>
              <w:rPr>
                <w:sz w:val="18"/>
                <w:szCs w:val="18"/>
                <w:color w:val="auto"/>
              </w:rPr>
            </w:pPr>
          </w:p>
        </w:tc>
        <w:tc>
          <w:tcPr>
            <w:tcW w:w="2680" w:type="dxa"/>
            <w:vAlign w:val="bottom"/>
            <w:gridSpan w:val="6"/>
          </w:tcPr>
          <w:p>
            <w:pPr>
              <w:spacing w:after="0"/>
              <w:rPr>
                <w:sz w:val="18"/>
                <w:szCs w:val="18"/>
                <w:color w:val="auto"/>
              </w:rPr>
            </w:pPr>
          </w:p>
        </w:tc>
        <w:tc>
          <w:tcPr>
            <w:tcW w:w="4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0"/>
              </w:rPr>
              <w:t>Item 2.</w:t>
            </w:r>
          </w:p>
        </w:tc>
        <w:tc>
          <w:tcPr>
            <w:tcW w:w="860" w:type="dxa"/>
            <w:vAlign w:val="bottom"/>
            <w:gridSpan w:val="5"/>
          </w:tcPr>
          <w:p>
            <w:pPr>
              <w:spacing w:after="0"/>
              <w:rPr>
                <w:sz w:val="17"/>
                <w:szCs w:val="17"/>
                <w:color w:val="auto"/>
              </w:rPr>
            </w:pPr>
          </w:p>
        </w:tc>
        <w:tc>
          <w:tcPr>
            <w:tcW w:w="64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8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23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860" w:type="dxa"/>
            <w:vAlign w:val="bottom"/>
            <w:gridSpan w:val="5"/>
          </w:tcPr>
          <w:p>
            <w:pPr>
              <w:spacing w:after="0"/>
              <w:rPr>
                <w:sz w:val="18"/>
                <w:szCs w:val="18"/>
                <w:color w:val="auto"/>
              </w:rPr>
            </w:pP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80" w:type="dxa"/>
            <w:vAlign w:val="bottom"/>
            <w:gridSpan w:val="8"/>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780" w:type="dxa"/>
            <w:vAlign w:val="bottom"/>
            <w:gridSpan w:val="4"/>
          </w:tcPr>
          <w:p>
            <w:pPr>
              <w:spacing w:after="0"/>
              <w:rPr>
                <w:sz w:val="24"/>
                <w:szCs w:val="24"/>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0" w:type="dxa"/>
            <w:vAlign w:val="bottom"/>
            <w:tcBorders>
              <w:top w:val="single" w:sz="8" w:color="0000FF"/>
            </w:tcBorders>
          </w:tcPr>
          <w:p>
            <w:pPr>
              <w:spacing w:after="0"/>
              <w:rPr>
                <w:sz w:val="18"/>
                <w:szCs w:val="18"/>
                <w:color w:val="auto"/>
              </w:rPr>
            </w:pPr>
          </w:p>
        </w:tc>
        <w:tc>
          <w:tcPr>
            <w:tcW w:w="780" w:type="dxa"/>
            <w:vAlign w:val="bottom"/>
            <w:gridSpan w:val="4"/>
          </w:tcPr>
          <w:p>
            <w:pPr>
              <w:spacing w:after="0"/>
              <w:rPr>
                <w:sz w:val="18"/>
                <w:szCs w:val="18"/>
                <w:color w:val="auto"/>
              </w:rPr>
            </w:pPr>
          </w:p>
        </w:tc>
        <w:tc>
          <w:tcPr>
            <w:tcW w:w="14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700" w:type="dxa"/>
            <w:vAlign w:val="bottom"/>
            <w:gridSpan w:val="17"/>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140" w:type="dxa"/>
            <w:vAlign w:val="bottom"/>
            <w:gridSpan w:val="2"/>
          </w:tcPr>
          <w:p>
            <w:pPr>
              <w:spacing w:after="0"/>
              <w:rPr>
                <w:sz w:val="18"/>
                <w:szCs w:val="18"/>
                <w:color w:val="auto"/>
              </w:rPr>
            </w:pPr>
          </w:p>
        </w:tc>
        <w:tc>
          <w:tcPr>
            <w:tcW w:w="720" w:type="dxa"/>
            <w:vAlign w:val="bottom"/>
            <w:gridSpan w:val="3"/>
          </w:tcPr>
          <w:p>
            <w:pPr>
              <w:spacing w:after="0"/>
              <w:rPr>
                <w:sz w:val="18"/>
                <w:szCs w:val="18"/>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860" w:type="dxa"/>
            <w:vAlign w:val="bottom"/>
            <w:gridSpan w:val="5"/>
          </w:tcPr>
          <w:p>
            <w:pPr>
              <w:spacing w:after="0"/>
              <w:rPr>
                <w:sz w:val="18"/>
                <w:szCs w:val="18"/>
                <w:color w:val="auto"/>
              </w:rPr>
            </w:pPr>
          </w:p>
        </w:tc>
        <w:tc>
          <w:tcPr>
            <w:tcW w:w="2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3"/>
          </w:tcPr>
          <w:p>
            <w:pPr>
              <w:spacing w:after="0"/>
              <w:rPr>
                <w:sz w:val="18"/>
                <w:szCs w:val="18"/>
                <w:color w:val="auto"/>
              </w:rPr>
            </w:pPr>
          </w:p>
        </w:tc>
        <w:tc>
          <w:tcPr>
            <w:tcW w:w="4800" w:type="dxa"/>
            <w:vAlign w:val="bottom"/>
            <w:gridSpan w:val="9"/>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5.</w:t>
            </w:r>
          </w:p>
        </w:tc>
        <w:tc>
          <w:tcPr>
            <w:tcW w:w="860" w:type="dxa"/>
            <w:vAlign w:val="bottom"/>
            <w:gridSpan w:val="5"/>
          </w:tcPr>
          <w:p>
            <w:pPr>
              <w:spacing w:after="0"/>
              <w:rPr>
                <w:sz w:val="18"/>
                <w:szCs w:val="18"/>
                <w:color w:val="auto"/>
              </w:rPr>
            </w:pP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80" w:type="dxa"/>
            <w:vAlign w:val="bottom"/>
            <w:gridSpan w:val="14"/>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6.</w:t>
            </w:r>
          </w:p>
        </w:tc>
        <w:tc>
          <w:tcPr>
            <w:tcW w:w="860" w:type="dxa"/>
            <w:vAlign w:val="bottom"/>
            <w:gridSpan w:val="5"/>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2"/>
          </w:tcPr>
          <w:p>
            <w:pPr>
              <w:spacing w:after="0"/>
              <w:rPr>
                <w:sz w:val="18"/>
                <w:szCs w:val="18"/>
                <w:color w:val="auto"/>
              </w:rPr>
            </w:pPr>
          </w:p>
        </w:tc>
        <w:tc>
          <w:tcPr>
            <w:tcW w:w="7820" w:type="dxa"/>
            <w:vAlign w:val="bottom"/>
            <w:gridSpan w:val="18"/>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Index to Exhibits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3400" w:type="dxa"/>
            <w:vAlign w:val="bottom"/>
          </w:tcPr>
          <w:p>
            <w:pPr>
              <w:spacing w:after="0"/>
              <w:rPr>
                <w:sz w:val="24"/>
                <w:szCs w:val="24"/>
                <w:color w:val="auto"/>
              </w:rPr>
            </w:pPr>
          </w:p>
        </w:tc>
        <w:tc>
          <w:tcPr>
            <w:tcW w:w="49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3400" w:type="dxa"/>
            <w:vAlign w:val="bottom"/>
          </w:tcPr>
          <w:p>
            <w:pPr>
              <w:spacing w:after="0"/>
              <w:rPr>
                <w:sz w:val="19"/>
                <w:szCs w:val="19"/>
                <w:color w:val="auto"/>
              </w:rPr>
            </w:pPr>
          </w:p>
        </w:tc>
        <w:tc>
          <w:tcPr>
            <w:tcW w:w="49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400" w:type="dxa"/>
            <w:vAlign w:val="bottom"/>
          </w:tcPr>
          <w:p>
            <w:pPr>
              <w:spacing w:after="0"/>
              <w:rPr>
                <w:sz w:val="20"/>
                <w:szCs w:val="20"/>
                <w:color w:val="auto"/>
              </w:rPr>
            </w:pPr>
          </w:p>
        </w:tc>
        <w:tc>
          <w:tcPr>
            <w:tcW w:w="49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(in thousands, except per share data) (unaudited)</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5"/>
        </w:trPr>
        <w:tc>
          <w:tcPr>
            <w:tcW w:w="34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26,</w:t>
            </w:r>
          </w:p>
        </w:tc>
        <w:tc>
          <w:tcPr>
            <w:tcW w:w="26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38"/>
        </w:trPr>
        <w:tc>
          <w:tcPr>
            <w:tcW w:w="34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70"/>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134,352</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81,299</w:t>
            </w: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117,186</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138,008</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4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55,800</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47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50"/>
        </w:trPr>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47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422,792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401,949</w:t>
            </w:r>
          </w:p>
        </w:tc>
      </w:tr>
      <w:tr>
        <w:trPr>
          <w:trHeight w:val="250"/>
        </w:trPr>
        <w:tc>
          <w:tcPr>
            <w:tcW w:w="340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bl>
    <w:p>
      <w:pPr>
        <w:spacing w:after="0" w:line="9"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receivables, less current maturities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Intangibles,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Debt issuance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71,752</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21,163</w:t>
            </w:r>
          </w:p>
        </w:tc>
      </w:tr>
      <w:tr>
        <w:trPr>
          <w:trHeight w:val="270"/>
        </w:trPr>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25,862</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551,886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527,884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26,</w:t>
            </w:r>
          </w:p>
        </w:tc>
        <w:tc>
          <w:tcPr>
            <w:tcW w:w="260" w:type="dxa"/>
            <w:vAlign w:val="bottom"/>
          </w:tcPr>
          <w:p>
            <w:pPr>
              <w:spacing w:after="0"/>
              <w:rPr>
                <w:sz w:val="17"/>
                <w:szCs w:val="17"/>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41"/>
        </w:trPr>
        <w:tc>
          <w:tcPr>
            <w:tcW w:w="8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60,757</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65,524</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43,028</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w:t>
            </w:r>
          </w:p>
        </w:tc>
      </w:tr>
      <w:tr>
        <w:trPr>
          <w:trHeight w:val="27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w:t>
            </w: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192,296</w:t>
            </w:r>
          </w:p>
        </w:tc>
      </w:tr>
      <w:tr>
        <w:trPr>
          <w:trHeight w:val="237"/>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16,342</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53,164</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110,859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96,796</w:t>
            </w:r>
          </w:p>
        </w:tc>
      </w:tr>
      <w:tr>
        <w:trPr>
          <w:trHeight w:val="237"/>
        </w:trPr>
        <w:tc>
          <w:tcPr>
            <w:tcW w:w="8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 no par value, authorized 50 shares; no shares issued and outstanding</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no par value, authorized 115,000 shares; 48,810 and 48,121 shares issued as of October 26,</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and April 27, 2024, respectively</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65,525</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52,046</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138,031</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1,907 shares as of October 26, 2024 and April 27, 2024, respectively</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r>
      <w:tr>
        <w:trPr>
          <w:trHeight w:val="27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260,930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238,792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551,886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527,884</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348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36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October 26,</w:t>
            </w: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October 26,</w:t>
            </w: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r>
      <w:tr>
        <w:trPr>
          <w:trHeight w:val="241"/>
        </w:trPr>
        <w:tc>
          <w:tcPr>
            <w:tcW w:w="3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431,900</w:t>
            </w:r>
          </w:p>
        </w:tc>
      </w:tr>
      <w:tr>
        <w:trPr>
          <w:trHeight w:val="22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306,554</w:t>
            </w:r>
          </w:p>
        </w:tc>
      </w:tr>
      <w:tr>
        <w:trPr>
          <w:trHeight w:val="25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125,346</w:t>
            </w:r>
          </w:p>
        </w:tc>
      </w:tr>
      <w:tr>
        <w:trPr>
          <w:trHeight w:val="270"/>
        </w:trPr>
        <w:tc>
          <w:tcPr>
            <w:tcW w:w="3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r>
      <w:tr>
        <w:trPr>
          <w:trHeight w:val="27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20,488</w:t>
            </w:r>
          </w:p>
        </w:tc>
      </w:tr>
      <w:tr>
        <w:trPr>
          <w:trHeight w:val="270"/>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17,624</w:t>
            </w:r>
          </w:p>
        </w:tc>
      </w:tr>
      <w:tr>
        <w:trPr>
          <w:trHeight w:val="223"/>
        </w:trPr>
        <w:tc>
          <w:tcPr>
            <w:tcW w:w="3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65,694</w:t>
            </w:r>
          </w:p>
        </w:tc>
      </w:tr>
      <w:tr>
        <w:trPr>
          <w:trHeight w:val="250"/>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59,652</w:t>
            </w:r>
          </w:p>
        </w:tc>
      </w:tr>
      <w:tr>
        <w:trPr>
          <w:trHeight w:val="250"/>
        </w:trPr>
        <w:tc>
          <w:tcPr>
            <w:tcW w:w="36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w:t>
      </w:r>
    </w:p>
    <w:p>
      <w:pPr>
        <w:spacing w:after="0" w:line="63" w:lineRule="exact"/>
        <w:rPr>
          <w:sz w:val="20"/>
          <w:szCs w:val="20"/>
          <w:color w:val="auto"/>
        </w:rPr>
      </w:pPr>
    </w:p>
    <w:p>
      <w:pPr>
        <w:ind w:left="180" w:right="740"/>
        <w:spacing w:after="0" w:line="282" w:lineRule="auto"/>
        <w:rPr>
          <w:sz w:val="20"/>
          <w:szCs w:val="20"/>
          <w:color w:val="auto"/>
        </w:rPr>
      </w:pPr>
      <w:r>
        <w:rPr>
          <w:rFonts w:ascii="Times New Roman" w:cs="Times New Roman" w:eastAsia="Times New Roman" w:hAnsi="Times New Roman"/>
          <w:sz w:val="18"/>
          <w:szCs w:val="18"/>
          <w:color w:val="auto"/>
        </w:rPr>
        <w:t>Other expense and debt issuance costs write-off, net</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59" w:lineRule="exact"/>
        <w:rPr>
          <w:sz w:val="20"/>
          <w:szCs w:val="20"/>
          <w:color w:val="auto"/>
        </w:rPr>
      </w:pPr>
    </w:p>
    <w:p>
      <w:pPr>
        <w:ind w:left="180"/>
        <w:spacing w:after="0"/>
        <w:tabs>
          <w:tab w:leader="none" w:pos="3620" w:val="left"/>
        </w:tabs>
        <w:rPr>
          <w:sz w:val="20"/>
          <w:szCs w:val="20"/>
          <w:color w:val="auto"/>
        </w:rPr>
      </w:pPr>
      <w:r>
        <w:rPr>
          <w:rFonts w:ascii="Times New Roman" w:cs="Times New Roman" w:eastAsia="Times New Roman" w:hAnsi="Times New Roman"/>
          <w:sz w:val="18"/>
          <w:szCs w:val="18"/>
          <w:b w:val="1"/>
          <w:bCs w:val="1"/>
          <w:color w:val="auto"/>
        </w:rPr>
        <w:t>Net income</w:t>
      </w:r>
      <w:r>
        <w:rPr>
          <w:sz w:val="20"/>
          <w:szCs w:val="20"/>
          <w:color w:val="auto"/>
        </w:rPr>
        <w:tab/>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36" w:lineRule="exact"/>
        <w:rPr>
          <w:sz w:val="20"/>
          <w:szCs w:val="20"/>
          <w:color w:val="auto"/>
        </w:rPr>
      </w:pPr>
    </w:p>
    <w:p>
      <w:pPr>
        <w:ind w:left="180"/>
        <w:spacing w:after="0"/>
        <w:tabs>
          <w:tab w:leader="none" w:pos="3620" w:val="left"/>
        </w:tabs>
        <w:rPr>
          <w:sz w:val="20"/>
          <w:szCs w:val="20"/>
          <w:color w:val="auto"/>
        </w:rPr>
      </w:pPr>
      <w:r>
        <w:rPr>
          <w:rFonts w:ascii="Times New Roman" w:cs="Times New Roman" w:eastAsia="Times New Roman" w:hAnsi="Times New Roman"/>
          <w:sz w:val="18"/>
          <w:szCs w:val="18"/>
          <w:color w:val="auto"/>
        </w:rPr>
        <w:t>Basic</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80"/>
        <w:spacing w:after="0"/>
        <w:tabs>
          <w:tab w:leader="none" w:pos="3620" w:val="left"/>
        </w:tabs>
        <w:rPr>
          <w:sz w:val="20"/>
          <w:szCs w:val="20"/>
          <w:color w:val="auto"/>
        </w:rPr>
      </w:pPr>
      <w:r>
        <w:rPr>
          <w:rFonts w:ascii="Times New Roman" w:cs="Times New Roman" w:eastAsia="Times New Roman" w:hAnsi="Times New Roman"/>
          <w:sz w:val="18"/>
          <w:szCs w:val="18"/>
          <w:color w:val="auto"/>
        </w:rPr>
        <w:t>Diluted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273</w:t>
            </w:r>
          </w:p>
        </w:tc>
        <w:tc>
          <w:tcPr>
            <w:tcW w:w="6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10,304</w:t>
            </w: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w:t>
            </w:r>
          </w:p>
        </w:tc>
      </w:tr>
      <w:tr>
        <w:trPr>
          <w:trHeight w:val="486"/>
        </w:trPr>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(1,164)</w:t>
            </w: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w:t>
            </w:r>
          </w:p>
        </w:tc>
      </w:tr>
      <w:tr>
        <w:trPr>
          <w:trHeight w:val="52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25,183</w:t>
            </w: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34,253</w:t>
            </w: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3,777</w:t>
            </w:r>
          </w:p>
        </w:tc>
        <w:tc>
          <w:tcPr>
            <w:tcW w:w="6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2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12,892</w:t>
            </w:r>
          </w:p>
        </w:tc>
      </w:tr>
      <w:tr>
        <w:trPr>
          <w:trHeight w:val="223"/>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21,406</w:t>
            </w: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21,361</w:t>
            </w:r>
          </w:p>
        </w:tc>
      </w:tr>
      <w:tr>
        <w:trPr>
          <w:trHeight w:val="20"/>
        </w:trPr>
        <w:tc>
          <w:tcPr>
            <w:tcW w:w="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36"/>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46,796</w:t>
            </w: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46,576</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45,838</w:t>
            </w: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51,715</w:t>
            </w: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46,705</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46,454</w:t>
            </w:r>
          </w:p>
        </w:tc>
      </w:tr>
      <w:tr>
        <w:trPr>
          <w:trHeight w:val="769"/>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0.46</w:t>
            </w: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4"/>
                <w:szCs w:val="24"/>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5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0.22</w:t>
            </w: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1"/>
                <w:szCs w:val="21"/>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-2665095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-2322195</wp:posOffset>
            </wp:positionV>
            <wp:extent cx="7132320" cy="2322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322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720"/>
            <w:col w:w="6360"/>
          </w:cols>
          <w:pgMar w:left="320" w:top="121" w:right="3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31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4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October 26,</w:t>
            </w: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October 28,</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October 26,</w:t>
            </w: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October 28,</w:t>
            </w:r>
          </w:p>
        </w:tc>
      </w:tr>
      <w:tr>
        <w:trPr>
          <w:trHeight w:val="241"/>
        </w:trPr>
        <w:tc>
          <w:tcPr>
            <w:tcW w:w="4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2"/>
        </w:trPr>
        <w:tc>
          <w:tcPr>
            <w:tcW w:w="4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p>
      <w:pPr>
        <w:spacing w:after="0" w:line="63" w:lineRule="exact"/>
        <w:rPr>
          <w:sz w:val="20"/>
          <w:szCs w:val="20"/>
          <w:color w:val="auto"/>
        </w:rPr>
      </w:pPr>
    </w:p>
    <w:p>
      <w:pPr>
        <w:ind w:left="180" w:right="880"/>
        <w:spacing w:after="0" w:line="282" w:lineRule="auto"/>
        <w:rPr>
          <w:sz w:val="20"/>
          <w:szCs w:val="20"/>
          <w:color w:val="auto"/>
        </w:rPr>
      </w:pPr>
      <w:r>
        <w:rPr>
          <w:rFonts w:ascii="Times New Roman" w:cs="Times New Roman" w:eastAsia="Times New Roman" w:hAnsi="Times New Roman"/>
          <w:sz w:val="18"/>
          <w:szCs w:val="18"/>
          <w:color w:val="auto"/>
        </w:rPr>
        <w:t>Unrealized gain on available-for-sale securities, net of tax</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314</w:t>
            </w:r>
          </w:p>
        </w:tc>
        <w:tc>
          <w:tcPr>
            <w:tcW w:w="18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(1,190)</w:t>
            </w:r>
          </w:p>
        </w:tc>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442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r>
      <w:tr>
        <w:trPr>
          <w:trHeight w:val="486"/>
        </w:trPr>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w:t>
            </w:r>
          </w:p>
        </w:tc>
        <w:tc>
          <w:tcPr>
            <w:tcW w:w="1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9</w:t>
            </w:r>
          </w:p>
        </w:tc>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-624840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-307975</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4960" w:space="720"/>
            <w:col w:w="55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6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(1,426)</w:t>
            </w: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19,935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
                <w:szCs w:val="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27,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138,031</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238,792</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0" w:type="dxa"/>
            <w:vAlign w:val="bottom"/>
          </w:tcPr>
          <w:p>
            <w:pPr>
              <w:spacing w:after="0"/>
              <w:rPr>
                <w:sz w:val="1"/>
                <w:szCs w:val="1"/>
                <w:color w:val="auto"/>
              </w:rPr>
            </w:pPr>
          </w:p>
        </w:tc>
      </w:tr>
      <w:tr>
        <w:trPr>
          <w:trHeight w:val="196"/>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20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27,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133,085</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238,211</w:t>
            </w:r>
          </w:p>
        </w:tc>
        <w:tc>
          <w:tcPr>
            <w:tcW w:w="0" w:type="dxa"/>
            <w:vAlign w:val="bottom"/>
          </w:tcPr>
          <w:p>
            <w:pPr>
              <w:spacing w:after="0"/>
              <w:rPr>
                <w:sz w:val="1"/>
                <w:szCs w:val="1"/>
                <w:color w:val="auto"/>
              </w:rPr>
            </w:pPr>
          </w:p>
        </w:tc>
      </w:tr>
      <w:tr>
        <w:trPr>
          <w:trHeight w:val="189"/>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Unrealized gain on available-for-</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 securities, net of tax</w:t>
            </w: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 issued upon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Shares withheld for taxes on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Stock Unit issuances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26,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260,930</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
                <w:szCs w:val="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29,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103,410</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200,878</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19,196</w:t>
            </w:r>
          </w:p>
        </w:tc>
        <w:tc>
          <w:tcPr>
            <w:tcW w:w="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19,196</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Unrealized gain on available-for-</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 securities, net of tax</w:t>
            </w: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189"/>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29,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47,618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63,684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50,816</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122,606</w:t>
            </w:r>
          </w:p>
        </w:tc>
        <w:tc>
          <w:tcPr>
            <w:tcW w:w="8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(5,774)</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221,047</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198"/>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Unrealized gain on available-for-</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 securities, net of tax</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Shares withheld for taxes on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Stock Unit issuances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Common stock issued upon</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28,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47,930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64,643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51,047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124,771</w:t>
            </w:r>
          </w:p>
        </w:tc>
        <w:tc>
          <w:tcPr>
            <w:tcW w:w="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223,221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26,</w:t>
            </w:r>
          </w:p>
        </w:tc>
        <w:tc>
          <w:tcPr>
            <w:tcW w:w="240" w:type="dxa"/>
            <w:vAlign w:val="bottom"/>
          </w:tcPr>
          <w:p>
            <w:pPr>
              <w:spacing w:after="0"/>
              <w:rPr>
                <w:sz w:val="11"/>
                <w:szCs w:val="11"/>
                <w:color w:val="auto"/>
              </w:rPr>
            </w:pPr>
          </w:p>
        </w:tc>
        <w:tc>
          <w:tcPr>
            <w:tcW w:w="1240" w:type="dxa"/>
            <w:vAlign w:val="bottom"/>
          </w:tcPr>
          <w:p>
            <w:pPr>
              <w:jc w:val="right"/>
              <w:ind w:right="308"/>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5"/>
        </w:trPr>
        <w:tc>
          <w:tcPr>
            <w:tcW w:w="8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16,460</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21,361</w:t>
            </w: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9,494</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loss on sale of property, equipment and other assets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in loss of affiliates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(Recoveries of) provision for doubtful accounts,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2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convertible note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17,910</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Debt issuance costs write-off</w:t>
            </w:r>
          </w:p>
        </w:tc>
        <w:tc>
          <w:tcPr>
            <w:tcW w:w="2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(11,374)</w:t>
            </w:r>
          </w:p>
        </w:tc>
      </w:tr>
      <w:tr>
        <w:trPr>
          <w:trHeight w:val="189"/>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44,311</w:t>
            </w:r>
          </w:p>
        </w:tc>
      </w:tr>
      <w:tr>
        <w:trPr>
          <w:trHeight w:val="203"/>
        </w:trPr>
        <w:tc>
          <w:tcPr>
            <w:tcW w:w="8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(9,226)</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sales of property, equipment and other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equity and loans to equity investees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w:t>
            </w:r>
          </w:p>
        </w:tc>
      </w:tr>
      <w:tr>
        <w:trPr>
          <w:trHeight w:val="19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(12,073)</w:t>
            </w:r>
          </w:p>
        </w:tc>
      </w:tr>
      <w:tr>
        <w:trPr>
          <w:trHeight w:val="203"/>
        </w:trPr>
        <w:tc>
          <w:tcPr>
            <w:tcW w:w="8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on notes payable</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Payments on notes payable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(18,125)</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payments on long-term obligations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(6,454)</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Tax payments related to RSU issuances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196"/>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15,919</w:t>
            </w:r>
          </w:p>
        </w:tc>
      </w:tr>
      <w:tr>
        <w:trPr>
          <w:trHeight w:val="203"/>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52,674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48,296</w:t>
            </w:r>
          </w:p>
        </w:tc>
      </w:tr>
      <w:tr>
        <w:trPr>
          <w:trHeight w:val="203"/>
        </w:trPr>
        <w:tc>
          <w:tcPr>
            <w:tcW w:w="8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81,678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24,690</w:t>
            </w:r>
          </w:p>
        </w:tc>
      </w:tr>
      <w:tr>
        <w:trPr>
          <w:trHeight w:val="20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End of period</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134,352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72,986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8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for:</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11,874</w:t>
            </w:r>
          </w:p>
        </w:tc>
      </w:tr>
      <w:tr>
        <w:trPr>
          <w:trHeight w:val="202"/>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Contributions of common stock under the ESPP</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(dollar and share amounts in thousands, except per share data)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industry leaders in designing and manufacturing electronic scoreboards, programmable display systems and large screen video displays for sporting, commercial and transportation applications.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("GAAP") requires management to make estimates and assumptions affecting the reported amounts of assets and liabilities, revenues and expenses, and the disclosure of contingent liabilities. Estimates used in the preparation of the unaudited consolidated financial statements include, among others, revenue recognition, future warranty expenses, the fair value of long-term debt, the fair value of investments in affiliates, income tax expenses, and stock-based compensation. Due to the inherent uncertainty involved in making estimates, actual results in future periods may differ from those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disclosures normally included in financial statements prepared in accordance with GAAP have been condensed or omitted. The balance sheet as of April 27, 2024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fiscal year ended April 27, 2024,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fiscal year, an additional week is added to the first quarter, and each of the last three quarters is comprised of a 13-week period. The six months ended October 26, 2024 and October 28, 2023 contained operating results for 26 weeks.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and estimates as described in our Annual Report on Form 10-K for the fiscal year ended April 27,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statements of cash flows. Restricted cash consists of cash and cash equivalents held in bank deposit accounts to secure certain issuances of foreign bank guarantees.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October 26,</w:t>
            </w:r>
          </w:p>
        </w:tc>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2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0" w:type="dxa"/>
            <w:vAlign w:val="bottom"/>
          </w:tcPr>
          <w:p>
            <w:pPr>
              <w:spacing w:after="0"/>
              <w:rPr>
                <w:sz w:val="1"/>
                <w:szCs w:val="1"/>
                <w:color w:val="auto"/>
              </w:rPr>
            </w:pPr>
          </w:p>
        </w:tc>
      </w:tr>
      <w:tr>
        <w:trPr>
          <w:trHeight w:val="241"/>
        </w:trPr>
        <w:tc>
          <w:tcPr>
            <w:tcW w:w="66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155"/>
        </w:trPr>
        <w:tc>
          <w:tcPr>
            <w:tcW w:w="66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134,352</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72,986</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 of cash flows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foreign currency cash accounts to operate our global business. These accounts are impacted by changes in foreign currency rates. Of our $134,352 in cash and cash equivalent balances as of October 26, 2024, $123,981 were denominated in United States dollars, of which $5,947 were held by our foreign subsidiaries. As of October 26, 2024, we had an additional $10,371 in cash balances denominated in foreign currencies, of which $9,495 were maintained in accounts of our foreign subsidiaries.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significant Accounting Standard Updates ("ASU") issued that were adopted in the six months ended October 26,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Reportable Segment Disclosures </w:t>
      </w:r>
      <w:r>
        <w:rPr>
          <w:rFonts w:ascii="Times New Roman" w:cs="Times New Roman" w:eastAsia="Times New Roman" w:hAnsi="Times New Roman"/>
          <w:sz w:val="18"/>
          <w:szCs w:val="18"/>
          <w:color w:val="auto"/>
        </w:rPr>
        <w:t>("ASU 2023-07"). ASU 2023-07 requires enhanced disclosures about significant segment expenses.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adopt ASU 2023-07 for its annual reporting in fiscal year 2025 and for interim period reporting beginning in the first quarter of fiscal year 2026 on a retrospective basis. Early adoption is permitted. We are currently evaluating the impact of ASU 2023-07 on our segment disclosures.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the disclosure of specified additional information in its income tax rate reconciliation and to provide additional information for reconciling items that meet a quantitative threshold. ASU 2023-09 will also require disaggregation of income taxes paid disclosure by federal, state and foreign taxes, with further disaggregation required for significant individual jurisdictions. The Company is required to adopt this guidance for its annual reporting in fiscal year 2026 on a prospective basis. Early adoption and retroactive application are permitted. We are currently evaluating the impact of ASU 2023-09 on our income tax disclosures.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("ASU 2024-03"), requiring disclosure in the notes to the financial statements for specified information about certain costs and expenses.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2024-03 is effective for annual periods beginning after December 15, 2026, and interim periods beginning after December 15, 2027; however early adoption is permitted and can be applied either prospectively or retrospectively. We are currently evaluating the impact of ASU 2024-03 on our expense disaggregation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 in Affiliates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use the equity method to account for investments in companies if our investment provides us with the ability to exercise significant influence over operating and financial policies of the investee. Our judgment regarding the level of influence over each equity method investee includes considering key factors such as our ownership interest, representation on the board of directors, participation in policy-making decisions, other commercial arrangements, and material intercompany transactions. We evaluated the nature of our investment in affiliates of Xdisplay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("XDC"), which is developing micro-LED mass transfer expertise and technologies, and Miortech (dba Etulipa), which is developing low power outdoor electrowetting technology. Our ownership in Miortech was 55.9 percent and in XDC was 16.4 percent as of October 26, 2024. The aggregate amount of our investments accounted for under the equity method was $257 and $1,813 as of October 26, 2024 and April 27, 2024, respectively.</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determined both entities are variable interest entities, and based on management's analysis, we determined that Daktronics is not the primary beneficiary because the power criterion was not met. Therefore, as Daktronics does not have control, but is able to exercise significant influence, the investments in Miortech and XDC are accounted for under the equity method. Our proportional share of the respective affiliates' losses is included in the "Other expense and debt issuance costs write-off, net" line item in our Condensed Consolidated Statements of Operations. For the three and six months ended October 26, 2024, our share of the losses of our affiliates was $901 and $1,832 as compared to $771 and $1,461 for the three and six months ended October 28, 2023.</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our investments in affiliates for impairment indicators. There were no impairments recorded during the three and six months ended October 26, 2024 compared to an impairments of $212 and $654 during the three and six months ended October 28,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purchased services for research and development activities from our equity method investees. The total of these related party transactions for the six months ended October 26, 2024 and October 28, 2023 was $497 and $123, respectively, which is included in the "Product design and development" line item in our condensed consolidated statements of operations. A portion of our activities remain unpaid those amounts were $134 and $14 for the six months ended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2024 and October 28, 2023, respectively, which is included in the "Accounts payable" line item in our condensed consolidated balance sheets.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advanced our affiliates funds under convertible and promissory notes (collectively, the "Affiliate Notes"). We advanced $2,049 in the six months ended October 26, 2024 and $5,050 in fiscal year 2024 under the Affiliate Notes. The total outstanding amount of the Affiliate Notes was $16,396 and $14,241 as of October 26, 2024 and April 27, 2024, respectively. The balances of the Affiliate Notes are included in the "Investments in affiliates and other assets" line item in our condensed consolidated balance sheets. We evaluate the Affiliate Notes for impairment and credit losses. As of October 26, 2024 and April 27, 2024, no provision for losses was recorded, as management's analysis concluded the Affiliate Notes were collectable or realizable based on the rights of these instruments and related valuation of each affiliate.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Affiliate Notes balance combined with the investment in affiliates balance totaled $16,653 and $16,054 as of October 26, 2024 and April 27,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 ("EPS")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follow the provisions of Accounting Standards Codification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where basic earnings per share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shares of common stock or resulted in the issuance of shares of common stock which share in our earnings.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net income and common share amounts used in the calculation of basic and diluted EPS for the three and six months ended October 26, 2024 and October 28,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306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69"/>
        </w:trPr>
        <w:tc>
          <w:tcPr>
            <w:tcW w:w="48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October 26,</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October 26,</w:t>
            </w: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r>
      <w:tr>
        <w:trPr>
          <w:trHeight w:val="241"/>
        </w:trPr>
        <w:tc>
          <w:tcPr>
            <w:tcW w:w="48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tcPr>
          <w:p>
            <w:pPr>
              <w:spacing w:after="0"/>
              <w:rPr>
                <w:sz w:val="19"/>
                <w:szCs w:val="19"/>
                <w:color w:val="auto"/>
              </w:rPr>
            </w:pPr>
          </w:p>
        </w:tc>
        <w:tc>
          <w:tcPr>
            <w:tcW w:w="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21,361</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45,838</w:t>
            </w:r>
          </w:p>
        </w:tc>
      </w:tr>
      <w:tr>
        <w:trPr>
          <w:trHeight w:val="22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1"/>
        </w:trPr>
        <w:tc>
          <w:tcPr>
            <w:tcW w:w="4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on convertible note, net of tax</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21,361</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2"/>
        </w:trPr>
        <w:tc>
          <w:tcPr>
            <w:tcW w:w="4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45,838</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Dilution associated with convertible note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482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Weighted average common shares outstanding, assuming</w:t>
            </w: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r>
      <w:tr>
        <w:trPr>
          <w:trHeight w:val="24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dilution</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46,454</w:t>
            </w:r>
          </w:p>
        </w:tc>
      </w:tr>
      <w:tr>
        <w:trPr>
          <w:trHeight w:val="22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Options outstanding to purchase 51 and 521 shares of common stock with a weighted average exercise price of $10.44 and $10.76 for the three months ended October 26, 2024 and October 28, 2023, respectively, were not included in the computation of diluted EPS because the effects would be anti-dilutive.</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114 shares of common stock with a weighted average exercise price of $12.10 for the six months ended October 26, 2024 and 1,039 shares of common stock with a weighted average exercise price of $9.53 for the six months ended October 28, 2023 were excluded from the computation of diluted EPS because the effects would be anti-dilutive.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October 26, 2024, 4,037 potential shares of common stock issuable upon conversion of the secured convertible note in the original principal payment of $25,000 due on May 11, 2027 issued by the Company to Alta Fox Opportunities Fund, LP (the "Convertible Note"), were included in the computation of diluted EPS. For the six months ended October 26, 2024, 4,037 potential common shares issuable upon conversion of the Convertible Note were not included in the computation of diluted EPS, as the effect would be anti-dilutive.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October 28, 2023, 4,051 and 3,806, respectively, potential shares of common stock issuable upon conversion of the Convertible Note were not included in the computation of diluted EPS, as the effect would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October 26, 2024</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3"/>
                <w:szCs w:val="2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Table of Contents</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4"/>
        </w:trPr>
        <w:tc>
          <w:tcPr>
            <w:tcW w:w="1280" w:type="dxa"/>
            <w:vAlign w:val="bottom"/>
            <w:tcBorders>
              <w:top w:val="single" w:sz="8" w:color="0E32E1"/>
            </w:tcBorders>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 October 26, 2024</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40" w:type="dxa"/>
            <w:vAlign w:val="bottom"/>
          </w:tcPr>
          <w:p>
            <w:pPr>
              <w:spacing w:after="0"/>
              <w:rPr>
                <w:sz w:val="23"/>
                <w:szCs w:val="2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4"/>
        </w:trPr>
        <w:tc>
          <w:tcPr>
            <w:tcW w:w="25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159,898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October 28, 2023</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40" w:type="dxa"/>
            <w:vAlign w:val="bottom"/>
          </w:tcPr>
          <w:p>
            <w:pPr>
              <w:spacing w:after="0"/>
              <w:rPr>
                <w:sz w:val="23"/>
                <w:szCs w:val="2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4"/>
        </w:trPr>
        <w:tc>
          <w:tcPr>
            <w:tcW w:w="25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103,367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October 28, 2023</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40" w:type="dxa"/>
            <w:vAlign w:val="bottom"/>
          </w:tcPr>
          <w:p>
            <w:pPr>
              <w:spacing w:after="0"/>
              <w:rPr>
                <w:sz w:val="23"/>
                <w:szCs w:val="2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215,544</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188,088</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28,268</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431,900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190,988</w:t>
            </w: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134,042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240,912</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431,900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Segment Reporting" for a disaggregation of revenue by geography.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customers in excess of revenue recognized to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26,</w:t>
            </w: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1"/>
        </w:trPr>
        <w:tc>
          <w:tcPr>
            <w:tcW w:w="4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5"/>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19"/>
                <w:szCs w:val="19"/>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April 27, 2024 to October 26, 2024 were due to the timing of billing schedules and revenue recognition, which can vary significantly depending on the contractual payment terms and the seasonality of the sports markets. We had no significant impairments of contract assets for the six months ended October 26, 2024.</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liabilities" line items of our condensed consolidated balance sheets. Changes in unearned service-type warranty contracts, net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October 26,</w:t>
            </w:r>
          </w:p>
        </w:tc>
      </w:tr>
      <w:tr>
        <w:trPr>
          <w:trHeight w:val="241"/>
        </w:trPr>
        <w:tc>
          <w:tcPr>
            <w:tcW w:w="9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27,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w:t>
            </w: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contracts sold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26,007</w:t>
            </w:r>
          </w:p>
        </w:tc>
      </w:tr>
      <w:tr>
        <w:trPr>
          <w:trHeight w:val="229"/>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reductions for revenue recognized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(21,737)</w:t>
            </w:r>
          </w:p>
        </w:tc>
      </w:tr>
      <w:tr>
        <w:trPr>
          <w:trHeight w:val="229"/>
        </w:trPr>
        <w:tc>
          <w:tcPr>
            <w:tcW w:w="9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26,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in progress identified as loss contracts as of October 26, 2024 and April 27, 2024 were immaterial. Loss provisions are recorded in the "Accrued expenses" line item in our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October 26, 2024, we recognized revenue of $52,024 related to our contract liabilities as of April 27,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October 26, 2024, the aggregate amount of the transaction price allocated to the remaining performance obligations was $301,525. Remaining performance obligations related to product and service agreements as of October 26, 2024 were $235,982 and $65,543, respectively. We expect approximately $240,423 of our remaining performance obligations to be recognized over the next 12 months, with the remainder recognized thereafter.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 The amount of revenue recognized associated with performance obligations satisfied in prior years during the six months ended October 26, 2024 and October 28, 2023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Table of Contents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E32E1"/>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04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Segment Reporting</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00"/>
        </w:trPr>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31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1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October 26,</w:t>
            </w: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October 26,</w:t>
            </w: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r>
      <w:tr>
        <w:trPr>
          <w:trHeight w:val="241"/>
        </w:trPr>
        <w:tc>
          <w:tcPr>
            <w:tcW w:w="1280" w:type="dxa"/>
            <w:vAlign w:val="bottom"/>
            <w:tcBorders>
              <w:bottom w:val="single" w:sz="8" w:color="CCEEFF"/>
            </w:tcBorders>
          </w:tcPr>
          <w:p>
            <w:pPr>
              <w:spacing w:after="0"/>
              <w:rPr>
                <w:sz w:val="20"/>
                <w:szCs w:val="20"/>
                <w:color w:val="auto"/>
              </w:rPr>
            </w:pPr>
          </w:p>
        </w:tc>
        <w:tc>
          <w:tcPr>
            <w:tcW w:w="3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2"/>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89,336</w:t>
            </w:r>
          </w:p>
        </w:tc>
      </w:tr>
      <w:tr>
        <w:trPr>
          <w:trHeight w:val="229"/>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160,209</w:t>
            </w:r>
          </w:p>
        </w:tc>
      </w:tr>
      <w:tr>
        <w:trPr>
          <w:trHeight w:val="229"/>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105,176</w:t>
            </w:r>
          </w:p>
        </w:tc>
      </w:tr>
      <w:tr>
        <w:trPr>
          <w:trHeight w:val="230"/>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41,612</w:t>
            </w:r>
          </w:p>
        </w:tc>
      </w:tr>
      <w:tr>
        <w:trPr>
          <w:trHeight w:val="229"/>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35,567</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431,900</w:t>
            </w:r>
          </w:p>
        </w:tc>
      </w:tr>
      <w:tr>
        <w:trPr>
          <w:trHeight w:val="20"/>
        </w:trPr>
        <w:tc>
          <w:tcPr>
            <w:tcW w:w="43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r>
      <w:tr>
        <w:trPr>
          <w:trHeight w:val="230"/>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37,245</w:t>
            </w:r>
          </w:p>
        </w:tc>
      </w:tr>
      <w:tr>
        <w:trPr>
          <w:trHeight w:val="229"/>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w:t>
            </w:r>
          </w:p>
        </w:tc>
      </w:tr>
      <w:tr>
        <w:trPr>
          <w:trHeight w:val="229"/>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w:t>
            </w:r>
          </w:p>
        </w:tc>
      </w:tr>
      <w:tr>
        <w:trPr>
          <w:trHeight w:val="223"/>
        </w:trPr>
        <w:tc>
          <w:tcPr>
            <w:tcW w:w="128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125,346</w:t>
            </w:r>
          </w:p>
        </w:tc>
      </w:tr>
      <w:tr>
        <w:trPr>
          <w:trHeight w:val="250"/>
        </w:trPr>
        <w:tc>
          <w:tcPr>
            <w:tcW w:w="12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r>
      <w:tr>
        <w:trPr>
          <w:trHeight w:val="229"/>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20,488</w:t>
            </w:r>
          </w:p>
        </w:tc>
      </w:tr>
      <w:tr>
        <w:trPr>
          <w:trHeight w:val="230"/>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17,624</w:t>
            </w:r>
          </w:p>
        </w:tc>
      </w:tr>
      <w:tr>
        <w:trPr>
          <w:trHeight w:val="223"/>
        </w:trPr>
        <w:tc>
          <w:tcPr>
            <w:tcW w:w="128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65,694</w:t>
            </w:r>
          </w:p>
        </w:tc>
      </w:tr>
      <w:tr>
        <w:trPr>
          <w:trHeight w:val="223"/>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59,652</w:t>
            </w:r>
          </w:p>
        </w:tc>
      </w:tr>
      <w:tr>
        <w:trPr>
          <w:trHeight w:val="250"/>
        </w:trPr>
        <w:tc>
          <w:tcPr>
            <w:tcW w:w="128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income:</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r>
      <w:tr>
        <w:trPr>
          <w:trHeight w:val="270"/>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w:t>
            </w:r>
          </w:p>
        </w:tc>
      </w:tr>
      <w:tr>
        <w:trPr>
          <w:trHeight w:val="230"/>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and debt issuance costs write-off, net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r>
      <w:tr>
        <w:trPr>
          <w:trHeight w:val="223"/>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25,183</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34,253</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30"/>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Unallocated corporate depreciation and amortization</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324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39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October 26,</w:t>
            </w:r>
          </w:p>
        </w:tc>
        <w:tc>
          <w:tcPr>
            <w:tcW w:w="3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October 26,</w:t>
            </w: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October 28,</w:t>
            </w:r>
          </w:p>
        </w:tc>
      </w:tr>
      <w:tr>
        <w:trPr>
          <w:trHeight w:val="241"/>
        </w:trPr>
        <w:tc>
          <w:tcPr>
            <w:tcW w:w="39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184,438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391,657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392,737</w:t>
            </w:r>
          </w:p>
        </w:tc>
      </w:tr>
      <w:tr>
        <w:trPr>
          <w:trHeight w:val="229"/>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39,163</w:t>
            </w:r>
          </w:p>
        </w:tc>
      </w:tr>
      <w:tr>
        <w:trPr>
          <w:trHeight w:val="223"/>
        </w:trPr>
        <w:tc>
          <w:tcPr>
            <w:tcW w:w="39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208,331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199,369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434,419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431,900</w:t>
            </w:r>
          </w:p>
        </w:tc>
      </w:tr>
      <w:tr>
        <w:trPr>
          <w:trHeight w:val="20"/>
        </w:trPr>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October 26,</w:t>
            </w:r>
          </w:p>
        </w:tc>
        <w:tc>
          <w:tcPr>
            <w:tcW w:w="340" w:type="dxa"/>
            <w:vAlign w:val="bottom"/>
          </w:tcPr>
          <w:p>
            <w:pPr>
              <w:spacing w:after="0"/>
              <w:rPr>
                <w:sz w:val="17"/>
                <w:szCs w:val="17"/>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41"/>
        </w:trPr>
        <w:tc>
          <w:tcPr>
            <w:tcW w:w="7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64,332</w:t>
            </w: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r>
      <w:tr>
        <w:trPr>
          <w:trHeight w:val="223"/>
        </w:trPr>
        <w:tc>
          <w:tcPr>
            <w:tcW w:w="74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71,752</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percent or more of net sales; therefore, we are not economically dependent on a limited number of customers for the sale of our products and services.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percent or more of our cost of sales; however, we have a complex global supply chain subject to geopolitical and transportation risks and a number of single-source suppliers that could limit our supply or cause delays in obtaining raw materials and components needed in manufacturing.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the carrying amount of goodwill related to each segment with a goodwill balance for the six months ended October 26, 2024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27, 2024</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26, 2024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80" w:type="dxa"/>
            <w:vAlign w:val="bottom"/>
          </w:tcPr>
          <w:p>
            <w:pPr>
              <w:spacing w:after="0"/>
              <w:rPr>
                <w:sz w:val="19"/>
                <w:szCs w:val="19"/>
                <w:color w:val="auto"/>
              </w:rPr>
            </w:pPr>
          </w:p>
        </w:tc>
        <w:tc>
          <w:tcPr>
            <w:tcW w:w="154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perform an analysis of goodwill on an annual basis, and it is tested for impairment more frequently if events or changes in circumstances indicate that an asset might be impaired. Our annual analysis is performed during our third quarter of each fiscal year based on the goodwill amount as of the first business day of our third fiscal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impairments to goodwill as of October 26, 2024 and April 27, 2024 was $4,576.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Financing Agreements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817"/>
        </w:trPr>
        <w:tc>
          <w:tcPr>
            <w:tcW w:w="1280" w:type="dxa"/>
            <w:vAlign w:val="bottom"/>
            <w:tcBorders>
              <w:top w:val="single" w:sz="8" w:color="0E32E1"/>
            </w:tcBorders>
          </w:tcPr>
          <w:p>
            <w:pPr>
              <w:spacing w:after="0"/>
              <w:rPr>
                <w:sz w:val="24"/>
                <w:szCs w:val="24"/>
                <w:color w:val="auto"/>
              </w:rPr>
            </w:pPr>
          </w:p>
        </w:tc>
        <w:tc>
          <w:tcPr>
            <w:tcW w:w="6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October 26,</w:t>
            </w:r>
          </w:p>
        </w:tc>
        <w:tc>
          <w:tcPr>
            <w:tcW w:w="300" w:type="dxa"/>
            <w:vAlign w:val="bottom"/>
          </w:tcPr>
          <w:p>
            <w:pPr>
              <w:spacing w:after="0"/>
              <w:rPr>
                <w:sz w:val="24"/>
                <w:szCs w:val="24"/>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41"/>
        </w:trPr>
        <w:tc>
          <w:tcPr>
            <w:tcW w:w="1280" w:type="dxa"/>
            <w:vAlign w:val="bottom"/>
            <w:tcBorders>
              <w:bottom w:val="single" w:sz="8" w:color="CCEEFF"/>
            </w:tcBorders>
          </w:tcPr>
          <w:p>
            <w:pPr>
              <w:spacing w:after="0"/>
              <w:rPr>
                <w:sz w:val="20"/>
                <w:szCs w:val="20"/>
                <w:color w:val="auto"/>
              </w:rPr>
            </w:pPr>
          </w:p>
        </w:tc>
        <w:tc>
          <w:tcPr>
            <w:tcW w:w="6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w:t>
            </w:r>
          </w:p>
        </w:tc>
      </w:tr>
      <w:tr>
        <w:trPr>
          <w:trHeight w:val="229"/>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gross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38,875</w:t>
            </w:r>
          </w:p>
        </w:tc>
      </w:tr>
      <w:tr>
        <w:trPr>
          <w:trHeight w:val="22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issuance costs,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3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r>
      <w:tr>
        <w:trPr>
          <w:trHeight w:val="229"/>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8"/>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11, 2023, we closed on a $75,000 senior credit facility (the "Credit Facility"). The Credit Facility consists of a $60,000 asset-based revolving credit facility (the "ABL") maturing on May 11, 2026, which is secured by a first priority lien on the Company's assets, and a $15,000 delayed draw loan (the "Delayed Draw Loan") secured by a first priority mortgage on our Brookings, South Dakota real estate (the "Mortgage").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ABL, certain factors can impact our borrowing capacity. As of October 26, 2024, our borrowing capacity was $40,758, there were no borrowings outstanding, and there was $5,363 used to secure letters of credit outstanding. The interest rate on the ABL is set on a sliding scale based on the trailing 12-month fixed charge coverage and ranges from 2.5 to 3.5 percent over the standard overnight financing rate (SOFR).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$15,000 Delayed Draw Loan was funded on July 7, 2023. It amortizes over 10 years and has monthly payments of $125. The Delayed Draw Loan is subject to the terms of the Credit Agreement dated as of May 11, 2023 (the "Credit Agreement") and matures on May 11, 2026. The interest rate on the Delayed Draw Loan is set on a sliding scale based on the trailing 12-month fixed charge coverage ratio and ranges between 1.0 and 2.0 percent over the Commercial Bank Floating Rate (CBFR). The interest rate as of October 26, 2024 for Delayed Draw Loan was 9.5 percent.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11, 2023, we borrowed $25,000 in aggregate principal amount evidenced by the secured Convertible Note due May 11, 2027. Alta Fox Opportunities Fund, LP, as the holder (the "Holder") of the Convertible Note, has a second priority lien on assets securing the ABL facility and a first priority lien on substantially all of the other assets of the Company, excluding all real property.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Features</w:t>
      </w:r>
    </w:p>
    <w:p>
      <w:pPr>
        <w:spacing w:after="0" w:line="227" w:lineRule="exact"/>
        <w:rPr>
          <w:sz w:val="20"/>
          <w:szCs w:val="20"/>
          <w:color w:val="auto"/>
        </w:rPr>
      </w:pPr>
    </w:p>
    <w:p>
      <w:pPr>
        <w:jc w:val="both"/>
        <w:ind w:left="660" w:hanging="328"/>
        <w:spacing w:after="0" w:line="258"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Convertible Note allows the Holder and any of the Holder’s permitted transferees, donees, pledgees, assignees or successors-in-interest (collectively, the “Selling Shareholders”) to convert all or any portion of the principal amount of the Convertible Note, together with any accrued and unpaid interest and any other unpaid amounts, including late charges, if any (together, the “Conversion Amount”), into shares of the Company’s common stock at an initial conversion price of $6.31 per share, subject to adjustment in accordance with the terms of the Convertible Note (the “Conversion Price”).</w:t>
      </w:r>
    </w:p>
    <w:p>
      <w:pPr>
        <w:spacing w:after="0" w:line="183"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has a forced conversion right, which is exercisable on the occurrence of certain conditions set forth in the Convertible Note, pursuant to which it can cause all or any portion of the outstanding and unpaid Conversion Amount to be converted into shares of common stock at the Conversion Price.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if the Company fails other than by reason of a failure by the Holder to comply with its obligations, the Holder is permitted to cash payments from the Company until such conversion failure is cured.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Features</w:t>
      </w:r>
    </w:p>
    <w:p>
      <w:pPr>
        <w:spacing w:after="0" w:line="227" w:lineRule="exact"/>
        <w:rPr>
          <w:sz w:val="20"/>
          <w:szCs w:val="20"/>
          <w:color w:val="auto"/>
        </w:rPr>
      </w:pPr>
    </w:p>
    <w:p>
      <w:pPr>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were to have an "Event of Default", as defined by the Convertible Note, then the Holder may require the Company to redeem all or any portion of the Convertible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"Change of Control", as defined by the Convertible Note, then the Holder is entitled to payment of the outstanding amount of the Convertible Note at the "Change in Control Redemption Price," as defined in the Convertible Note.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Interest accruing under the Convertible Note is payable, at the option of the Company, in either (i) cash or (ii) a combination of cash interest and capitalized interest; provided, however, that at least fifty percent (50%) of the interest paid on each interest date must be paid as cash interest. The Convertible Note accrues interest quarterly at an annual rate of 9.0 percent when interest is paid in cash or an annual rate of 10.0 percent if interest is paid in kind. Upon an event of default under the Convertible Note, the annual interest rate will increase to 12.0 percent. The annual rate of 9.0 percent was used to calculate the interest accrued as of October 26, 2024, as interest will be paid in cash.</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elected the fair value option to account for the Convertible Note as described in "Note 10. Fair Value Measurement" of the Notes to our Condensed Consolidated Financial Statements included in this Form 10-Q. The financial liability was initially measured at its issue-date fair value and is subsequently remeasured at fair value on a recurring basis at each reporting period date. We have elected to present the fair value and the accrued interest component separately in the condensed consolidated statements of operations. Therefore, interest will be recognized and accrued separately in interest expense, with changes in fair value of the Convertible Note presented in the "Change in fair value of convertible note" line item in our condensed consolidated statements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fair value of the Convertible Note during the six months ended October 26, 2024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Liability Component</w:t>
            </w:r>
          </w:p>
        </w:tc>
      </w:tr>
      <w:tr>
        <w:trPr>
          <w:trHeight w:val="234"/>
        </w:trPr>
        <w:tc>
          <w:tcPr>
            <w:tcW w:w="2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27,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41,550</w:t>
            </w:r>
          </w:p>
        </w:tc>
      </w:tr>
      <w:tr>
        <w:trPr>
          <w:trHeight w:val="184"/>
        </w:trPr>
        <w:tc>
          <w:tcPr>
            <w:tcW w:w="2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Redemption of convertible promissory</w:t>
            </w: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 recognized</w:t>
            </w:r>
          </w:p>
        </w:tc>
        <w:tc>
          <w:tcPr>
            <w:tcW w:w="2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26,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52,836</w:t>
            </w:r>
          </w:p>
        </w:tc>
      </w:tr>
      <w:tr>
        <w:trPr>
          <w:trHeight w:val="20"/>
        </w:trPr>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estimated fair value of the Convertible Note upon its issuance date of May 11, 2023 was computed using the binomial lattice model. Given the appreciation of the Company’s stock price since inception of the Convertible Note combined with our intent and expectation of settlement as soon as is feasible through exercise of its forced conversion right, we determined that the Monte Carlo simulation ("MCS") model was appropriately suited to determine the fair value of the Convertible Note as of October 26, 2024. Both models incorporate significant inputs that are not observable in the market and thus represents a Level 3 measurement.</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determined the fair value by using the following key assumptions in the MCS and binomial lattice model as of October 26, 2024 and April 27, 2024, respectively: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October 26,</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41"/>
        </w:trPr>
        <w:tc>
          <w:tcPr>
            <w:tcW w:w="49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(Annual)</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Yield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15.81 %</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16.28 %</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 (Annual)</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40.00 %</w:t>
            </w: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(Annual)</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and the Convertible Note require a fixed charge coverage ratio of greater than 1.1 and include other customary non-financial covenants. As of October 26, 2024, we were in compliance with our financial covenants under the Credit Agreement and the Convertible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incurred and capitalized are amortized on a straight-line basis over the term of the associated debt agreement. If early principal payments or conversions occur, a proportional amount of unamortized debt issuance costs are expensed. As part of these financings, we capitalized $8,195 in debt issuance costs. During the six months ended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October 28, 2023, due to the Convertible Note being accounted for at fair value, we expensed $3,353 of the related debt issuance costs, which is included in the "Other expense and debt issuance costs write-off, net" line item in our condensed consolidated statements of operations. During the six months ended October 26, 2024 and October 28, 2023, we amortized $807 and $744, respectively, of debt issuance costs. The remaining debt issuance costs of $2,484 are being amortized over the remaining two-year term of the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Maturities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contractual maturities of debt in future fiscal years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r>
      <w:tr>
        <w:trPr>
          <w:trHeight w:val="25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38,125</w:t>
            </w:r>
          </w:p>
        </w:tc>
      </w:tr>
      <w:tr>
        <w:trPr>
          <w:trHeight w:val="20"/>
        </w:trPr>
        <w:tc>
          <w:tcPr>
            <w:tcW w:w="5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Times New Roman" w:cs="Times New Roman" w:eastAsia="Times New Roman" w:hAnsi="Times New Roman"/>
          <w:sz w:val="18"/>
          <w:szCs w:val="18"/>
          <w:i w:val="1"/>
          <w:iCs w:val="1"/>
          <w:color w:val="auto"/>
        </w:rPr>
        <w:t>Contingencies - Loss Contingencies</w:t>
      </w:r>
      <w:r>
        <w:rPr>
          <w:rFonts w:ascii="Times New Roman" w:cs="Times New Roman" w:eastAsia="Times New Roman" w:hAnsi="Times New Roman"/>
          <w:sz w:val="18"/>
          <w:szCs w:val="18"/>
          <w:color w:val="auto"/>
        </w:rPr>
        <w:t>. Our assessment of whether a loss is reasonably possible or probable is based on our assessment and consultation with legal counsel regarding the ultimate outcome of the matter following all appeals.</w:t>
      </w:r>
    </w:p>
    <w:p>
      <w:pPr>
        <w:spacing w:after="0" w:line="21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Warranties: </w:t>
      </w:r>
      <w:r>
        <w:rPr>
          <w:rFonts w:ascii="Times New Roman" w:cs="Times New Roman" w:eastAsia="Times New Roman" w:hAnsi="Times New Roman"/>
          <w:sz w:val="17"/>
          <w:szCs w:val="17"/>
          <w:color w:val="auto"/>
        </w:rPr>
        <w:t>Changes in our warranty obligation for the six months ended October 26, 2024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April 27, 2024</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Settlements made during the period</w:t>
      </w:r>
    </w:p>
    <w:p>
      <w:pPr>
        <w:spacing w:after="0" w:line="23" w:lineRule="exact"/>
        <w:rPr>
          <w:sz w:val="20"/>
          <w:szCs w:val="20"/>
          <w:color w:val="auto"/>
        </w:rPr>
      </w:pPr>
    </w:p>
    <w:p>
      <w:pPr>
        <w:ind w:left="20" w:right="913" w:firstLine="324"/>
        <w:spacing w:after="0" w:line="339" w:lineRule="auto"/>
        <w:rPr>
          <w:sz w:val="20"/>
          <w:szCs w:val="20"/>
          <w:color w:val="auto"/>
        </w:rPr>
      </w:pPr>
      <w:r>
        <w:rPr>
          <w:rFonts w:ascii="Times New Roman" w:cs="Times New Roman" w:eastAsia="Times New Roman" w:hAnsi="Times New Roman"/>
          <w:sz w:val="18"/>
          <w:szCs w:val="18"/>
          <w:color w:val="auto"/>
        </w:rPr>
        <w:t>Changes in accrued warranty obligations for pre-existing warranties during the period, including expirations Balance as of October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October 26,</w:t>
      </w: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30" w:lineRule="exact"/>
        <w:rPr>
          <w:sz w:val="20"/>
          <w:szCs w:val="20"/>
          <w:color w:val="auto"/>
        </w:rPr>
      </w:pPr>
    </w:p>
    <w:p>
      <w:pPr>
        <w:ind w:left="907" w:hanging="907"/>
        <w:spacing w:after="0"/>
        <w:tabs>
          <w:tab w:leader="none" w:pos="9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37,928</w:t>
      </w:r>
    </w:p>
    <w:p>
      <w:pPr>
        <w:spacing w:after="0" w:line="27" w:lineRule="exact"/>
        <w:rPr>
          <w:rFonts w:ascii="Times New Roman" w:cs="Times New Roman" w:eastAsia="Times New Roman" w:hAnsi="Times New Roman"/>
          <w:sz w:val="18"/>
          <w:szCs w:val="18"/>
          <w:color w:val="auto"/>
        </w:rPr>
      </w:pPr>
    </w:p>
    <w:p>
      <w:pPr>
        <w:ind w:left="9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7,779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(7,451)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132</w:t>
      </w:r>
    </w:p>
    <w:p>
      <w:pPr>
        <w:spacing w:after="0" w:line="31" w:lineRule="exact"/>
        <w:rPr>
          <w:sz w:val="20"/>
          <w:szCs w:val="20"/>
          <w:color w:val="auto"/>
        </w:rPr>
      </w:pPr>
    </w:p>
    <w:p>
      <w:pPr>
        <w:ind w:left="907" w:hanging="907"/>
        <w:spacing w:after="0"/>
        <w:tabs>
          <w:tab w:leader="none" w:pos="9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429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9053" w:space="720"/>
            <w:col w:w="1467"/>
          </w:cols>
          <w:pgMar w:left="320" w:top="121" w:right="339" w:bottom="1440" w:gutter="0" w:footer="0" w:header="0"/>
          <w:type w:val="continuous"/>
        </w:sectPr>
      </w:pPr>
    </w:p>
    <w:p>
      <w:pPr>
        <w:spacing w:after="0" w:line="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of our future performance on contracts, primarily construction-type contracts. As of October 26, 2024, we had outstanding letters of credit and surety bonds in the amount of $5,363 and $17,567, respectively. Performance guarantees are issued to certain customers to guarantee the operation and installation of the equipment and our ability to complete a contract. These performance guarantees have various terms but generally have a term of one year. We enter into written agreements with our customers, and those agreements often contain indemnification provisions that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require us to make the customer whole if certain acts or omissions by us cause the customer financial loss. We make efforts to negotiate reasonable caps and limitations on the recovery of such damages. As of October 26, 2024, we were not aware of any material indemnification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rates for the three and six months ended October 26, 2024, were 15.0 percent and 35.2 percent, respectively. Income before tax includes the impacts of the Convertible Note fair value adjustment, which is not deductible, in proportion to the period's increase in pre-tax income. The effective tax rate for the three and six months ended October 28, 2023 were 64.8 percent and 37.6 percent, respectively, and were driven by the increase in the fair value adjustment to expense.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both domestically and internationally and, as of October 26, 2024, the undistributed earnings of our foreign subsidiaries were considered to be reinvested indefinitely. Additionally, as of October 26, 2024, we had $492 of unrecognized tax benefits which would reduce our effective tax rate if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as of October 26, 2024 and April 27, 2024 according to the valuation techniques we used to determine their fair values. There have been no transfers of assets or liabilities among the fair value hierarchies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26, 2024</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134,352</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(52,836)</w:t>
            </w:r>
          </w:p>
        </w:tc>
      </w:tr>
      <w:tr>
        <w:trPr>
          <w:trHeight w:val="223"/>
        </w:trPr>
        <w:tc>
          <w:tcPr>
            <w:tcW w:w="50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134,352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81,516</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April 27, 2024</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81,299</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note</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(41,550)</w:t>
            </w:r>
          </w:p>
        </w:tc>
      </w:tr>
      <w:tr>
        <w:trPr>
          <w:trHeight w:val="248"/>
        </w:trPr>
        <w:tc>
          <w:tcPr>
            <w:tcW w:w="50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elected to value the Convertible Note at fair value in accordance with ASC 825-10-15-4(a) because of the embedded derivatives contained in the Convertible Note. The fair value of the Convertible Note as of April 27, 2024 was estimated using the binomial lattice model. The fair value of the Convertible Note as of October 26, 2024 was estimated using the MCS. Both models allow for the examination of the value to a holder and understanding the investment decision that would occur at each node.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Convertible Note entered into during the first quarter of fiscal 2024 was classified as Level 3 because certain inputs for the valuation were not readily determinable or observable.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see our Annual Report on Form 10-K for the fiscal year ended April 27, 2024 for the methods and assumptions used to estimate the fair value of each class of financial instrument. See "Note 7. Financing Agreements" for the methods and assumptions used to estimate the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2020, the Board had suspended the program. On December 2, 2021, the Board of Directors of Daktronics voted to reauthorize the stock repurchase program.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October 26, 2024, we repurchased no shares of common stock. As of October 26, 2024, we had $29,355 of remaining capacity under our current share repurchase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has adopted a written policy and procedures with respect to related party transactions, which the Audit Committee oversees. Under the policy, a "related party transaction" is generally defined as a transaction, arrangement, or relationship in which the Company was, is or will be a participant; the amount involved exceeds $120;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reported in Part II, Item 7 “Management’s Discussion and Analysis of Financial Condition and Results of Operations” in the section entitled “Liquidity and Capital Resources” of our Annual Report on Form 10-K for the fiscal year ended April 27, 2024, effective on May 11, 2023, the Company entered into the Securities Purchase Agreement with the Holder of the Convertible Note. Under the Securities Purchase Agreement, the Company sold and issued to the Holder the Convertible Note in exchange for the payment by the Holder to the Company of $25,000. As of May 11, 2023, and based on Amendment No. 2 to the Schedule 13D filed by the Holder and its affiliates named therein on May 15, 2023 with the SEC, the Holder and its affiliates beneficially owned 4,768 shares of common stock of the Company, representing 9.99 percent of the Company’s common stock, causing the Holder to be a “related party” of the Company under the Company’s written policy and procedures and the applicable definitions under the Securities Act of 1933. The Securities Purchase Agreement, the Convertible Note, the Pledge and Security Agreement dated as of May 11, 2023 by and between the Holder and the Company, and the Registration Rights Agreement were approved in advance of their execution by the Company’s Strategy and Financing Review Committee, the members of which include all members of the Company’s Audit Committee.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May 11, 2023, the largest aggregate amount outstanding under the Convertible Note was $25,563, consisting of $25,000 of principal and $563 of interest. In the first six months of fiscal 2025, we made interest payments of $1,125 under the Convertible Note.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description of the Securities Purchase Agreement, the Convertible Note, the Pledge and Security Agreement, and the Registration Rights Agreement dated as of May 11, 2023 by and between the Holder and the Company and their respective terms set forth in Part II, Item 7 “Management’s Discussion and Analysis of Financial Condition and Results of Operations” in the section entitled “Liquidity and Capital Resources” of the Company's Annual Report on Form 10-K for the fiscal year ended April 27, 2024 is hereby incorporated by reference into this Report. In addition, the Company was a party to the Standstill and Voting Agreement dated as of March 19, 2023 with Alta Fox Management, LLC and Connor Haley (the “Standstill Agreement”), who are affiliates of the Holder, which expired in accordance with its terms on September 5,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Amendment No. 3 (“Amendment No. 3”) to the Schedule 13D filed by the Holder and its affiliates named therein on June 9, 2023 with the SEC, and based on other information provided by the Holder, the following persons may be deemed to be beneficial owners of the shares of the Company’s common stock beneficially owned by the Holder: Alta Fox GenPar, LP, as the general partner of Alta Fox Opportunities Fund, LP; Alta Fox Equity, LLC, as the general partner of Alta Fox GenPar, LP; Alta Fox Capital Management, LLC, as the investment manager of Alta Fox Opportunities Fund, LP; and P. Connor Haley, as the sole owner, member and manager of each of Alta Fox Capital Management, LLC and Alta Fox Equity LLC.</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7, 2023, the Company received from the Holder a written notice of a decrease in the “Percentage Cap” (as such term is defined in the Convertible Note) from 9.99 percent to 4.99 percent, and on October 21, 2024, the Company received from the Holder a written notice to further decrease the Percentage Cap to 3.00 percent, and on November 25, 2024, the Company received from the Holder a written notice to increase the Percentage Cap to 14.99 percent. Each decrease became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immediately upon the Company’s receipt of such written notice and any increase becomes effective 61 days after receipt of such written notice. The Percentage Cap generally represents the maximum percentage of shares of the Company’s common stock the Holder may own. In Amendment No. 3, the Holder and its affiliates identified in Amendment No. 3 owned 2,293 shares of common stock on June 9, 2023, representing 4.99 percent of the common stock of the Company, meaning the Holder and its affiliates the were no longer “related parties” of the Company under the Company’s written policy and procedures and the applicable definitions under the Securities Act of 1933. However, according to information provided by the Holder to the Company in November 2024, the Holder owns 1,923 shares of the Company’s common stock. With these shares, along with the 3,962 shares subject to the Convertible Note, the Holder beneficially owns 11.15 percent of the Company’s common stock. This percentage assumes all of the shares subject to the Convertible Note are outstanding and thus are added to the denominator in determining the percentage. Thus, the Holder is again subject to the Company’s policy and procedures with respect to related party transactions administered by the Audit Committee.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six months of fiscal 2024, the Company and the South Dakota Board of Regents entered into a contract for a video display system for Dakota State University. The amount of the contract was $150. A member of the Company's Board of Directors is the President of Dakota State University.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Investments in Affiliates" for further details of related party transactions with our investments in the Affiliate Notes issued by our affiliates.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November 11, 2024, the Company issued notice to the Holder to force the conversion of $7.0 million of the principal balance on December 3, 2024 of the Convertible Note at the conversion price of $6.31 per share into 1,109 common shares. We will issue the shares upon the Holder’s indicating the ability to take delivery of the shares under the maximum ownership provisions of the Convertible Note. In addition, on November 25, 2024, the Company received from the Holder a written notice to increase the Percentage Cap to 14.99 percent. This increase from the in-effect 3.00 percent maximum ownership takes effect 61 days after receipt of notice. See "Note 12. Related Party Transactions" and "Note 7. Financing Agreements" for further information of the Convertible Note.</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Effective on November 19, 2024, the Board approved a Second Amendment to Rights Agreement, dated as of November 19, 2024 (the "Second Amendment "). The Second Amendment amends the Rights Agreements dated as of November 16, 2018 (the "Original Rights Agreement") between the Company and the Rights Agent, as amended by the First Amendment to Rights Agreement, dated as of November 19, 2021 (the "First Amendment," and collectively with the Original Right Agreement and the Second Amendment, the "Rights Agreement"). The Second Amendment extends the “Final Expiration Date” (as that term is defined in the Rights Agreement) of the rights (the “Rights”) from the close of business on November 19, 2024 to the close of business on November 19, 2025. The Second Amendment also changes the “Exercise Price” (as that term is defined in the Rights Agreement) to $40.00 per Right.The Second Amendment provides for the addition of the defined terms “Triggering Percentage,” which is defined to mean 15.00 percent, and “13G Triggering Percentage,” which is defined to mean 20.00 percent.</w:t>
      </w:r>
    </w:p>
    <w:p>
      <w:pPr>
        <w:spacing w:after="0" w:line="2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of the Rights are more fully described in Item 1.01 of the Company's Current Report 8-K filed with the Securities and Exchange Commission on November 19, 2024, including the First Amendment filed as Exhibit 4.3 to such Current Report on Form 8-K.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Company’s (i) financial condition during the period from the most recent fiscal year-end, April 27, 2024, to and including October 26, 2024 and (ii) results of operations during the current fiscal period(s) as compared to the corresponding period(s) of the preceding fiscal year.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including the MD&amp;A, contains "forward-looking statements" within the meaning of the Private Securities Litigation Reform Act of 1995. These statements reflect our current views with respect to future events and financial performance. The words "may," "would," "could," "should," "will," "expect," "estimate," "anticipate," "believe," "intend," "plan," "forecast," "project" and similar expressions are intended to identify forward-looking statements within the meaning of the Private Securities Litigation Reform Act of 1995. Any and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forward-looking statements in this report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 Important factors that may cause actual results to differ materially from those in the forward-looking statements include, but are not limited to, changes in economic and market conditions, management of growth, timing and magnitude of future contracts and orders, fluctuations in margins, the introduction of new products and technology, the impact of adverse weather conditions, increased regulation, and the other risk factors described more fully in the Company’s Annual Report on Form 10-K for the fiscal year ended April 27, 2024 filed with the SEC, as well as other publicly available information about the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our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undertake no obligation to update publicly or revise any forward-looking statements, whether as a result of new information, future events or otherwise.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MD&amp;A should be read in conjunction with the Consolidated Financial Statements and related Notes included in Item 1 of Part 1 of this Quarterly Report on Form 10-Q and our Annual Report on Form 10-K for the fiscal year ended April 27, 2024 (including the information presented therein under "Item 1A. Risk Factors" of Part I), as well as other publicly available information about our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quarter-over-quarter comparisons in this MD&amp;A are as of and for the fiscal quarters ended October 26, 2024 and October 28, 2023 unless otherwise stated.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we use and consists of gross profit less selling expenses. Selling expenses consist primarily of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costs, travel and entertainment expenses, marketing related expenses (show rooms, product demonstration, depreciation and maintenance, conventions and trade show expenses), the cost of customer relationship management/marketing systems, bad debt expenses, third-party commissions, and other expenses. In addition to gross profit, management uses contribution margin as another measure of assessing segment profitability and allocating</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resources to each segment. Management believes that contribution margin is useful to investors because it permits investors to view and evaluate our segment financial performance through the same lens as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Daktronics, Inc. and its subsidiaries are industry leaders in designing and manufacturing electronic scoreboards, programmable display systems and large screen video displays for sporting, commercial and transportation applications. We serve our customers by providing high quality standard display products as well as custom-designed and integrated systems. We offer a complete line of products, from small scoreboards and electronic displays to large multimillion-dollar video display systems as well as related control, timing, and sound systems. We are recognized as a technical leader with the capabilities to design, market, manufacture, install and service complete integrated systems displaying real-time data, graphics, animation and video. We engage in a full range of activities: marketing and sales, engineering and product design and development, manufacturing, technical contracting, professional services and customer service and support.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fiscal year, an additional week is added to the first quarter, and each of the last three quarters is comprised of a 13-week period. The six months ended October 26, 2024 and October 28, 2023 contained operating results for 26 weeks.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2024, we converted pandemic related pent-up backlog into record levels of sales and gross profit. In fiscal 2025 and beyond, we are more dependent on the timing, size, and profitability profile of the orders we win to be able to generate sales and gross profit at similar levels. We are investing in capacity and resources to grow the business and penetrate markets. As a result, we currently expect that our order volume and operating expenses in fiscal 2025 will exceed that of fiscal 2024. While the expansion of use of digital display systems in the global market is expected, actual market increases are uncertain, and a number of factors can impact customers' timing to commit to a system. We carefully evaluate our capacity and resource levels; however, there can be periods during which sales and expenses can be misaligned and impact our profitability levels.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investments have been made in manufacturing capacity and the advancement in display and control technologies. A majority of digital displays are constructed using standard surface mount display technology. Chip on board technologies are advancing for narrow pixel pitch (NPP) applications. Micro-LED technologies (also referred to as NPP) are being used and advanced, especially for displays installed for short viewing distances. Advancements continue in technologies related to digital displays used in professional services, including the use of artificial intelligence and other software which improve content creation, user interfaces, digital display monitoring systems, and security. We rely on a complex supply chain for raw material and component imports and the global distribution of our products. Governmental regulation changes, including recent announcements from the new US presidential administration about increased and expansive import tariffs and other geopolitical reactions could impact our costs and change the competitive landscape. We continue to monitor the evolving plans. We are adopting our manufacturing, sourcing capabilities, and product development priorities for these evolving changes in market and technology trends.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Overall, we have a unique leadership position in our target markets, which are large, growing, and enjoy resilient demand driven by our customers’ desire to improve their audience experience in sports, commercial, and transportation environments. To capitalize on this position, we are focused on digital and business transformation, improving our cost structure, and further growing our markets. To accelerate these initiatives, we are projecting to spend between $8 and $10 million for transformation efforts in fiscal 2025. In addition, we formed a Business Transformation Office (BTO), which has undertaken a comprehensive review of the Company’s business, strategy and operations and is developing a set of strategic initiatives, enabled in part by the Company’s previously announced digital transformation, to provide even better outcomes for customers, deeper penetration of the Company's current and adjacent market verticals, above-market growth, and more efficient delivery, fulfillment, and service. The goal of these initiatives is to grow revenue faster than the Company’s addressable market, expand operating margins, and generate returns on capital in the mid-to-high-teens and consistently above the Company’s cost of capital.</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audiovisual industry fundamentals of increased use of LED display systems across industries and our development of new technologies, services, and sales channels will drive long-term growth for our Company.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OCTOBER 26, 2024 AND OCTOBER 28,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metrics defined by generally accepted accounting principles in the United States of America ("GAAP"), and our methodology for determining orders and backlog may vary from the methodology used by other companies in determining their orders and backlog amounts.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Order and backlog levels provide management and investors additional details surrounding the results of our business activities in the marketplace and highlight fluctuations caused by seasonality and multi-million dollar projects. Management uses orders to evaluate market share and performance in the competitive environment. Management uses backlog information for capacity and resource planning. Order fulfillment timing is dependent on customer schedules, supply chain conditions, and our capacity availability. We believe order information is useful to investors because it provides an indication of our market share and future revenues.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order backlog as of October 26, 2024 was $236.0 million as compared to $306.9 million as of October 28, 2023 and $316.9 million as of April 27, 2024. The decrease in backlog to more historical levels is a result of fulfilling orders at a greater pace as supply chain conditions have stabilized and production lead times have improved, we have been utilizing our increased capacity, and our order pace has returned to more normalized rates.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fulfill the backlog as of October 26, 2024 within the next 24 months. The timing of backlog fulfillment may be impacted by project delays resulting from customer site conditions, which are outside our control.</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Performance Summary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an analysis of changes in key items included in the statements of operations for the three months ended October 26, 2024 and October 28,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October 26, 2024</w:t>
            </w: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 of Net sales </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28, 2023</w:t>
            </w: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 of Net sales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Dollar Change </w:t>
            </w:r>
            <w:r>
              <w:rPr>
                <w:rFonts w:ascii="Times New Roman" w:cs="Times New Roman" w:eastAsia="Times New Roman" w:hAnsi="Times New Roman"/>
                <w:sz w:val="21"/>
                <w:szCs w:val="21"/>
                <w:b w:val="1"/>
                <w:bCs w:val="1"/>
                <w:color w:val="auto"/>
                <w:vertAlign w:val="superscript"/>
              </w:rPr>
              <w:t>(1)</w:t>
            </w: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xml:space="preserve">Percent Change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09"/>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208,331</w:t>
            </w: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199,369</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8,962</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152,468</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145,170</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55,863</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54,199</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53"/>
        </w:trPr>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14,704</w:t>
            </w:r>
          </w:p>
        </w:tc>
        <w:tc>
          <w:tcPr>
            <w:tcW w:w="8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14,653</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General and</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15,550</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10,889</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Product design and</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9,839</w:t>
            </w:r>
          </w:p>
        </w:tc>
        <w:tc>
          <w:tcPr>
            <w:tcW w:w="8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10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80" w:type="dxa"/>
            <w:vAlign w:val="bottom"/>
          </w:tcPr>
          <w:p>
            <w:pPr>
              <w:spacing w:after="0"/>
              <w:rPr>
                <w:sz w:val="14"/>
                <w:szCs w:val="14"/>
                <w:color w:val="auto"/>
              </w:rPr>
            </w:pPr>
          </w:p>
        </w:tc>
        <w:tc>
          <w:tcPr>
            <w:tcW w:w="15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40,093</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34,763</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7"/>
        </w:trPr>
        <w:tc>
          <w:tcPr>
            <w:tcW w:w="1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15,770</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19,436</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53"/>
        </w:trPr>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Nonoperating (expense)</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(120.6)</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net</w:t>
            </w: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Change in fair value of</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10,304</w:t>
            </w:r>
          </w:p>
        </w:tc>
        <w:tc>
          <w:tcPr>
            <w:tcW w:w="8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(10,650)</w:t>
            </w:r>
          </w:p>
        </w:tc>
        <w:tc>
          <w:tcPr>
            <w:tcW w:w="100" w:type="dxa"/>
            <w:vAlign w:val="bottom"/>
          </w:tcPr>
          <w:p>
            <w:pPr>
              <w:spacing w:after="0"/>
              <w:rPr>
                <w:sz w:val="14"/>
                <w:szCs w:val="14"/>
                <w:color w:val="auto"/>
              </w:rPr>
            </w:pPr>
          </w:p>
        </w:tc>
        <w:tc>
          <w:tcPr>
            <w:tcW w:w="15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20,954</w:t>
            </w:r>
          </w:p>
        </w:tc>
        <w:tc>
          <w:tcPr>
            <w:tcW w:w="80" w:type="dxa"/>
            <w:vAlign w:val="bottom"/>
          </w:tcPr>
          <w:p>
            <w:pPr>
              <w:spacing w:after="0"/>
              <w:rPr>
                <w:sz w:val="14"/>
                <w:szCs w:val="14"/>
                <w:color w:val="auto"/>
              </w:rPr>
            </w:pPr>
          </w:p>
        </w:tc>
        <w:tc>
          <w:tcPr>
            <w:tcW w:w="15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(196.8)</w:t>
            </w:r>
          </w:p>
        </w:tc>
        <w:tc>
          <w:tcPr>
            <w:tcW w:w="0" w:type="dxa"/>
            <w:vAlign w:val="bottom"/>
          </w:tcPr>
          <w:p>
            <w:pPr>
              <w:spacing w:after="0"/>
              <w:rPr>
                <w:sz w:val="1"/>
                <w:szCs w:val="1"/>
                <w:color w:val="auto"/>
              </w:rPr>
            </w:pPr>
          </w:p>
        </w:tc>
      </w:tr>
      <w:tr>
        <w:trPr>
          <w:trHeight w:val="213"/>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note</w:t>
            </w: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Other expense and debt</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issuance costs write-off,</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92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b w:val="1"/>
                <w:bCs w:val="1"/>
                <w:color w:val="auto"/>
              </w:rPr>
              <w:t>Income before income</w:t>
            </w: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25,183</w:t>
            </w:r>
          </w:p>
        </w:tc>
        <w:tc>
          <w:tcPr>
            <w:tcW w:w="80" w:type="dxa"/>
            <w:vAlign w:val="bottom"/>
          </w:tcPr>
          <w:p>
            <w:pPr>
              <w:spacing w:after="0"/>
              <w:rPr>
                <w:sz w:val="12"/>
                <w:szCs w:val="12"/>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6,157</w:t>
            </w:r>
          </w:p>
        </w:tc>
        <w:tc>
          <w:tcPr>
            <w:tcW w:w="100" w:type="dxa"/>
            <w:vAlign w:val="bottom"/>
          </w:tcPr>
          <w:p>
            <w:pPr>
              <w:spacing w:after="0"/>
              <w:rPr>
                <w:sz w:val="12"/>
                <w:szCs w:val="12"/>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19,026</w:t>
            </w:r>
          </w:p>
        </w:tc>
        <w:tc>
          <w:tcPr>
            <w:tcW w:w="80" w:type="dxa"/>
            <w:vAlign w:val="bottom"/>
          </w:tcPr>
          <w:p>
            <w:pPr>
              <w:spacing w:after="0"/>
              <w:rPr>
                <w:sz w:val="12"/>
                <w:szCs w:val="12"/>
                <w:color w:val="auto"/>
              </w:rPr>
            </w:pPr>
          </w:p>
        </w:tc>
        <w:tc>
          <w:tcPr>
            <w:tcW w:w="15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309.0</w:t>
            </w:r>
          </w:p>
        </w:tc>
        <w:tc>
          <w:tcPr>
            <w:tcW w:w="0" w:type="dxa"/>
            <w:vAlign w:val="bottom"/>
          </w:tcPr>
          <w:p>
            <w:pPr>
              <w:spacing w:after="0"/>
              <w:rPr>
                <w:sz w:val="1"/>
                <w:szCs w:val="1"/>
                <w:color w:val="auto"/>
              </w:rPr>
            </w:pPr>
          </w:p>
        </w:tc>
      </w:tr>
      <w:tr>
        <w:trPr>
          <w:trHeight w:val="214"/>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21,406</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19,241</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888.7 %</w:t>
            </w:r>
          </w:p>
        </w:tc>
        <w:tc>
          <w:tcPr>
            <w:tcW w:w="0" w:type="dxa"/>
            <w:vAlign w:val="bottom"/>
          </w:tcPr>
          <w:p>
            <w:pPr>
              <w:spacing w:after="0"/>
              <w:rPr>
                <w:sz w:val="1"/>
                <w:szCs w:val="1"/>
                <w:color w:val="auto"/>
              </w:rPr>
            </w:pPr>
          </w:p>
        </w:tc>
      </w:tr>
      <w:tr>
        <w:trPr>
          <w:trHeight w:val="20"/>
        </w:trPr>
        <w:tc>
          <w:tcPr>
            <w:tcW w:w="1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340.0 %</w:t>
            </w: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Diluted weighted average</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51,715</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46,705</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outstanding</w:t>
            </w: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177,590</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183,693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are calculated based on unrounded numbers and therefore may not recalculate using the rounded numbers provided. In addition, percentages may not add in total due to rounding.</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sales increase in the second quarter of fiscal 2025 compared to the same period in fiscal 2024 was the result of comparatively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 in the Live Events and Transportation business units offset by lower sales levels in the International business unit. Sales in our Commercial and High School Park Recreation business units were relatively flat. This sales mix difference is the result of variability of orders described below and because during fiscal 2024, the operating environment and supply chain stabilized. We were able to capitalize on our capacity investments to fulfill the overbuilt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backlog and return to more normalized lead times, especially in the High School Park and Recreation market. These more normalized conditions have continued since and through the fiscal second quarter of 2025. The amount of revenue recognized associated with performance obligations satisfied in prior years during the three months ended October 26, 2024 and October 28, 2023 was immaterial.</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Order </w:t>
      </w:r>
      <w:r>
        <w:rPr>
          <w:rFonts w:ascii="Times New Roman" w:cs="Times New Roman" w:eastAsia="Times New Roman" w:hAnsi="Times New Roman"/>
          <w:sz w:val="18"/>
          <w:szCs w:val="18"/>
          <w:color w:val="auto"/>
        </w:rPr>
        <w:t>volume decline in the second quarter of fiscal 2025 compared to the same period in fiscal 2024 was primarily due to an order decrease in the Live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Transportation, and International business units. Variability in orders comparatively is natural in these large project business areas and during the time of year for sports projects. These declines were offset by large project bookings in the Spectacular niche and increases in the Out-of-Home niche and High School Parks and Recreation business unit. Digital billboard orders increased as a result of marketing efforts to independent billboard operators and the timing of a bulk order from a national Out-of-Home advertising company. The increase in order bookings in the High School Parks and Recreation business unit is attributable to sales of more higher selling priced video products versus fixed digit scoreboards.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as a percentage of net sales decreased slightly to 26.8 percent for the second quarter of fiscal 2025 as compared to 27.2 percent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 year ago. Total warranty expense as a percentage of sales decreased to 1.7 percent for the second quarter of fiscal 2025 as compared to 2.2 percent for same period from a year ago.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Selling expenses </w:t>
      </w:r>
      <w:r>
        <w:rPr>
          <w:rFonts w:ascii="Times New Roman" w:cs="Times New Roman" w:eastAsia="Times New Roman" w:hAnsi="Times New Roman"/>
          <w:sz w:val="18"/>
          <w:szCs w:val="18"/>
          <w:color w:val="auto"/>
        </w:rPr>
        <w:t>in the second quarter of fiscal 2025 remained relatively flat compared to the same period last year.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expenses increased in the second quarter of fiscal 2025 compared to the same period in fiscal 2024 because of higher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wages and benefits for increased staffing levels, increased professional fees, and increased expenses for technology resources related to digital transformation strategies. In addition, during the second quarter of fiscal 2025, the Company incurred $3.3 million of consultant related expenses associated with the previously announced strategic and digital transformation initiatives.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w:t>
      </w:r>
      <w:r>
        <w:rPr>
          <w:rFonts w:ascii="Times New Roman" w:cs="Times New Roman" w:eastAsia="Times New Roman" w:hAnsi="Times New Roman"/>
          <w:sz w:val="18"/>
          <w:szCs w:val="18"/>
          <w:color w:val="auto"/>
        </w:rPr>
        <w:t>expenses increased in the second quarter of fiscal 2025 primarily due to personnel-related expenses and for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staffing levels. Our focus has been to advance product features aligned with customer needs and to reduce product costs. We focused these efforts on both standard product and control offerings and in new emerging areas, including micro-LED products and new control capabilities.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expenses increased in the second quarter of fiscal 2025 primarily due to interest income earned on cash balances.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Convertible Note </w:t>
      </w:r>
      <w:r>
        <w:rPr>
          <w:rFonts w:ascii="Times New Roman" w:cs="Times New Roman" w:eastAsia="Times New Roman" w:hAnsi="Times New Roman"/>
          <w:sz w:val="18"/>
          <w:szCs w:val="18"/>
          <w:color w:val="auto"/>
        </w:rPr>
        <w:t>results from accounting for the convertible note (the "Convertible Note") dated May 11, 2023 we issued to Alta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Fox Opportunities Fund, LP during fiscal 2024 under the fair value option. The fair value change was primarily caused by the decrease in value of the embedded features of the Convertible Note, as our stock price has decreased since July 27,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and debt issuance costs write-off, net </w:t>
      </w:r>
      <w:r>
        <w:rPr>
          <w:rFonts w:ascii="Times New Roman" w:cs="Times New Roman" w:eastAsia="Times New Roman" w:hAnsi="Times New Roman"/>
          <w:sz w:val="18"/>
          <w:szCs w:val="18"/>
          <w:color w:val="auto"/>
        </w:rPr>
        <w:t>were relatively flat compared to the same period last year.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three months ended October 26, 2024, our effective tax rate was 15.0 percent compared to an effective tax rate of 64.8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October 28, 2023. The lower tax rate is due to the reduction of the Convertible Note fair value adjustment to expense in proportion to the period's increase in pre-tax income, whereas the tax rate was higher in the prior period due to an increase in the fair value adjustment in proportion to the pre-tax income during the quarter.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Performance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our reportable segment financial performance of contribution margin reconciled to GAAP operating income for the three months ended October 26, 2024 and October 28,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60" w:type="dxa"/>
            <w:vAlign w:val="bottom"/>
            <w:gridSpan w:val="6"/>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Three Months Ended October 26, 2024</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Percent of</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80" w:type="dxa"/>
            <w:vAlign w:val="bottom"/>
          </w:tcPr>
          <w:p>
            <w:pPr>
              <w:spacing w:after="0"/>
              <w:rPr>
                <w:sz w:val="8"/>
                <w:szCs w:val="8"/>
                <w:color w:val="auto"/>
              </w:rPr>
            </w:pPr>
          </w:p>
        </w:tc>
        <w:tc>
          <w:tcPr>
            <w:tcW w:w="700" w:type="dxa"/>
            <w:vAlign w:val="bottom"/>
          </w:tcPr>
          <w:p>
            <w:pPr>
              <w:jc w:val="center"/>
              <w:ind w:right="46"/>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26"/>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 xml:space="preserve">net sales </w:t>
            </w:r>
            <w:r>
              <w:rPr>
                <w:rFonts w:ascii="Times New Roman" w:cs="Times New Roman" w:eastAsia="Times New Roman" w:hAnsi="Times New Roman"/>
                <w:sz w:val="14"/>
                <w:szCs w:val="14"/>
                <w:b w:val="1"/>
                <w:bCs w:val="1"/>
                <w:color w:val="auto"/>
                <w:w w:val="94"/>
                <w:vertAlign w:val="superscript"/>
              </w:rPr>
              <w:t>(1)</w:t>
            </w: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4"/>
              </w:rPr>
              <w:t xml:space="preserve">sales </w:t>
            </w:r>
            <w:r>
              <w:rPr>
                <w:rFonts w:ascii="Times New Roman" w:cs="Times New Roman" w:eastAsia="Times New Roman" w:hAnsi="Times New Roman"/>
                <w:sz w:val="14"/>
                <w:szCs w:val="14"/>
                <w:b w:val="1"/>
                <w:bCs w:val="1"/>
                <w:color w:val="auto"/>
                <w:w w:val="84"/>
                <w:vertAlign w:val="superscript"/>
              </w:rPr>
              <w:t>(1)</w:t>
            </w:r>
          </w:p>
        </w:tc>
        <w:tc>
          <w:tcPr>
            <w:tcW w:w="80" w:type="dxa"/>
            <w:vAlign w:val="bottom"/>
          </w:tcPr>
          <w:p>
            <w:pPr>
              <w:spacing w:after="0"/>
              <w:rPr>
                <w:sz w:val="14"/>
                <w:szCs w:val="14"/>
                <w:color w:val="auto"/>
              </w:rPr>
            </w:pPr>
          </w:p>
        </w:tc>
        <w:tc>
          <w:tcPr>
            <w:tcW w:w="7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4"/>
              </w:rPr>
              <w:t xml:space="preserve">sales </w:t>
            </w:r>
            <w:r>
              <w:rPr>
                <w:rFonts w:ascii="Times New Roman" w:cs="Times New Roman" w:eastAsia="Times New Roman" w:hAnsi="Times New Roman"/>
                <w:sz w:val="14"/>
                <w:szCs w:val="14"/>
                <w:b w:val="1"/>
                <w:bCs w:val="1"/>
                <w:color w:val="auto"/>
                <w:w w:val="84"/>
                <w:vertAlign w:val="superscript"/>
              </w:rPr>
              <w:t>(1)</w:t>
            </w:r>
          </w:p>
        </w:tc>
        <w:tc>
          <w:tcPr>
            <w:tcW w:w="0" w:type="dxa"/>
            <w:vAlign w:val="bottom"/>
          </w:tcPr>
          <w:p>
            <w:pPr>
              <w:spacing w:after="0"/>
              <w:rPr>
                <w:sz w:val="1"/>
                <w:szCs w:val="1"/>
                <w:color w:val="auto"/>
              </w:rPr>
            </w:pPr>
          </w:p>
        </w:tc>
      </w:tr>
      <w:tr>
        <w:trPr>
          <w:trHeight w:val="135"/>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43,439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77,207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48,071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21,478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18,136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208,331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32,301</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62,237</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80.6 %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30,267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63.0 %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12,806</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59.6 %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14,857</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152,468</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73.2 %</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11,138</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14,970</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17,804</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37.0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8,672</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3,279</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18.1</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55,863</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26.8</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4,554</w:t>
            </w:r>
          </w:p>
        </w:tc>
        <w:tc>
          <w:tcPr>
            <w:tcW w:w="10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2,293</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4,001</w:t>
            </w:r>
          </w:p>
        </w:tc>
        <w:tc>
          <w:tcPr>
            <w:tcW w:w="8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1,402</w:t>
            </w:r>
          </w:p>
        </w:tc>
        <w:tc>
          <w:tcPr>
            <w:tcW w:w="8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2,454</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14,704</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7.1</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6,584</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12,677</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13,803</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28.7</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7,270</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825</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41,159</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19.8</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15,550</w:t>
            </w:r>
          </w:p>
        </w:tc>
        <w:tc>
          <w:tcPr>
            <w:tcW w:w="100" w:type="dxa"/>
            <w:vAlign w:val="bottom"/>
          </w:tcPr>
          <w:p>
            <w:pPr>
              <w:spacing w:after="0"/>
              <w:rPr>
                <w:sz w:val="9"/>
                <w:szCs w:val="9"/>
                <w:color w:val="auto"/>
              </w:rPr>
            </w:pPr>
          </w:p>
        </w:tc>
        <w:tc>
          <w:tcPr>
            <w:tcW w:w="7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9,839</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6,584</w:t>
            </w: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12,677</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13,803</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28.7 %</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7,270</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33.8 %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825</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15,770</w:t>
            </w: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7.6 %</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44,548</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70,524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35,838</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12,222</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14,458</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177,590</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60" w:type="dxa"/>
            <w:vAlign w:val="bottom"/>
            <w:gridSpan w:val="6"/>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Three Months Ended October 28, 2023</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Percent of</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80" w:type="dxa"/>
            <w:vAlign w:val="bottom"/>
          </w:tcPr>
          <w:p>
            <w:pPr>
              <w:spacing w:after="0"/>
              <w:rPr>
                <w:sz w:val="8"/>
                <w:szCs w:val="8"/>
                <w:color w:val="auto"/>
              </w:rPr>
            </w:pPr>
          </w:p>
        </w:tc>
        <w:tc>
          <w:tcPr>
            <w:tcW w:w="700" w:type="dxa"/>
            <w:vAlign w:val="bottom"/>
          </w:tcPr>
          <w:p>
            <w:pPr>
              <w:jc w:val="center"/>
              <w:ind w:right="46"/>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26"/>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 xml:space="preserve">net sales </w:t>
            </w:r>
            <w:r>
              <w:rPr>
                <w:rFonts w:ascii="Times New Roman" w:cs="Times New Roman" w:eastAsia="Times New Roman" w:hAnsi="Times New Roman"/>
                <w:sz w:val="14"/>
                <w:szCs w:val="14"/>
                <w:b w:val="1"/>
                <w:bCs w:val="1"/>
                <w:color w:val="auto"/>
                <w:w w:val="94"/>
                <w:vertAlign w:val="superscript"/>
              </w:rPr>
              <w:t>(1)</w:t>
            </w: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4"/>
              </w:rPr>
              <w:t xml:space="preserve">sales </w:t>
            </w:r>
            <w:r>
              <w:rPr>
                <w:rFonts w:ascii="Times New Roman" w:cs="Times New Roman" w:eastAsia="Times New Roman" w:hAnsi="Times New Roman"/>
                <w:sz w:val="14"/>
                <w:szCs w:val="14"/>
                <w:b w:val="1"/>
                <w:bCs w:val="1"/>
                <w:color w:val="auto"/>
                <w:w w:val="84"/>
                <w:vertAlign w:val="superscript"/>
              </w:rPr>
              <w:t>(1)</w:t>
            </w:r>
          </w:p>
        </w:tc>
        <w:tc>
          <w:tcPr>
            <w:tcW w:w="80" w:type="dxa"/>
            <w:vAlign w:val="bottom"/>
          </w:tcPr>
          <w:p>
            <w:pPr>
              <w:spacing w:after="0"/>
              <w:rPr>
                <w:sz w:val="14"/>
                <w:szCs w:val="14"/>
                <w:color w:val="auto"/>
              </w:rPr>
            </w:pPr>
          </w:p>
        </w:tc>
        <w:tc>
          <w:tcPr>
            <w:tcW w:w="7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4"/>
              </w:rPr>
              <w:t xml:space="preserve">sales </w:t>
            </w:r>
            <w:r>
              <w:rPr>
                <w:rFonts w:ascii="Times New Roman" w:cs="Times New Roman" w:eastAsia="Times New Roman" w:hAnsi="Times New Roman"/>
                <w:sz w:val="14"/>
                <w:szCs w:val="14"/>
                <w:b w:val="1"/>
                <w:bCs w:val="1"/>
                <w:color w:val="auto"/>
                <w:w w:val="84"/>
                <w:vertAlign w:val="superscript"/>
              </w:rPr>
              <w:t>(1)</w:t>
            </w:r>
          </w:p>
        </w:tc>
        <w:tc>
          <w:tcPr>
            <w:tcW w:w="0" w:type="dxa"/>
            <w:vAlign w:val="bottom"/>
          </w:tcPr>
          <w:p>
            <w:pPr>
              <w:spacing w:after="0"/>
              <w:rPr>
                <w:sz w:val="1"/>
                <w:szCs w:val="1"/>
                <w:color w:val="auto"/>
              </w:rPr>
            </w:pPr>
          </w:p>
        </w:tc>
      </w:tr>
      <w:tr>
        <w:trPr>
          <w:trHeight w:val="136"/>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42,453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68,210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48,942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20,243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19,521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199,369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35,222</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83.0 %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48,976</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71.8 %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32,522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66.5 %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13,463</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14,987</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76.8 %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145,170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72.8 %</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7,231</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19,234</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28.2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16,420</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33.5</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6,780</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4,534</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54,199</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27.2</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4,828</w:t>
            </w:r>
          </w:p>
        </w:tc>
        <w:tc>
          <w:tcPr>
            <w:tcW w:w="10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2,662</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3,674</w:t>
            </w:r>
          </w:p>
        </w:tc>
        <w:tc>
          <w:tcPr>
            <w:tcW w:w="8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1,028</w:t>
            </w:r>
          </w:p>
        </w:tc>
        <w:tc>
          <w:tcPr>
            <w:tcW w:w="8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2,461</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14,653</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2,403</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16,572</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12,746</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5,752</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2,073</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39,546</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19.8</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10,889</w:t>
            </w:r>
          </w:p>
        </w:tc>
        <w:tc>
          <w:tcPr>
            <w:tcW w:w="100" w:type="dxa"/>
            <w:vAlign w:val="bottom"/>
          </w:tcPr>
          <w:p>
            <w:pPr>
              <w:spacing w:after="0"/>
              <w:rPr>
                <w:sz w:val="9"/>
                <w:szCs w:val="9"/>
                <w:color w:val="auto"/>
              </w:rPr>
            </w:pPr>
          </w:p>
        </w:tc>
        <w:tc>
          <w:tcPr>
            <w:tcW w:w="7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5.5</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9,221</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2,403</w:t>
            </w: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16,572</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24.3 %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12,746</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26.0 %</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5,752</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28.4 %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2,073</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10.6 %</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19,436</w:t>
            </w: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9.7 %</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34,209</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79,016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32,800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21,500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16,168</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183,693</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9"/>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Three Months Ended Net Dollar and % Change</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80" w:type="dxa"/>
            <w:vAlign w:val="bottom"/>
          </w:tcPr>
          <w:p>
            <w:pPr>
              <w:spacing w:after="0"/>
              <w:rPr>
                <w:sz w:val="8"/>
                <w:szCs w:val="8"/>
                <w:color w:val="auto"/>
              </w:rPr>
            </w:pPr>
          </w:p>
        </w:tc>
        <w:tc>
          <w:tcPr>
            <w:tcW w:w="700" w:type="dxa"/>
            <w:vAlign w:val="bottom"/>
          </w:tcPr>
          <w:p>
            <w:pPr>
              <w:jc w:val="center"/>
              <w:ind w:right="46"/>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26"/>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80" w:type="dxa"/>
            <w:vAlign w:val="bottom"/>
          </w:tcPr>
          <w:p>
            <w:pPr>
              <w:spacing w:after="0"/>
              <w:rPr>
                <w:sz w:val="14"/>
                <w:szCs w:val="14"/>
                <w:color w:val="auto"/>
              </w:rPr>
            </w:pPr>
          </w:p>
        </w:tc>
        <w:tc>
          <w:tcPr>
            <w:tcW w:w="7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1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0" w:type="dxa"/>
            <w:vAlign w:val="bottom"/>
          </w:tcPr>
          <w:p>
            <w:pPr>
              <w:spacing w:after="0"/>
              <w:rPr>
                <w:sz w:val="1"/>
                <w:szCs w:val="1"/>
                <w:color w:val="auto"/>
              </w:rPr>
            </w:pPr>
          </w:p>
        </w:tc>
      </w:tr>
      <w:tr>
        <w:trPr>
          <w:trHeight w:val="135"/>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986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8,997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w w:val="99"/>
              </w:rPr>
              <w:t>(1.8)%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1,235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(2,921)</w:t>
            </w:r>
          </w:p>
        </w:tc>
        <w:tc>
          <w:tcPr>
            <w:tcW w:w="100" w:type="dxa"/>
            <w:vAlign w:val="bottom"/>
          </w:tcPr>
          <w:p>
            <w:pPr>
              <w:spacing w:after="0"/>
              <w:rPr>
                <w:sz w:val="12"/>
                <w:szCs w:val="12"/>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13,261</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(2,255)</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(657)</w:t>
            </w:r>
          </w:p>
        </w:tc>
        <w:tc>
          <w:tcPr>
            <w:tcW w:w="8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7,298</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3,907</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54.0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(4,264)</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(22.2)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1,384</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1,892</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(1,255)</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(27.7)</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1,664</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100" w:type="dxa"/>
            <w:vAlign w:val="bottom"/>
          </w:tcPr>
          <w:p>
            <w:pPr>
              <w:spacing w:after="0"/>
              <w:rPr>
                <w:sz w:val="12"/>
                <w:szCs w:val="12"/>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100" w:type="dxa"/>
            <w:vAlign w:val="bottom"/>
          </w:tcPr>
          <w:p>
            <w:pPr>
              <w:spacing w:after="0"/>
              <w:rPr>
                <w:sz w:val="12"/>
                <w:szCs w:val="12"/>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327</w:t>
            </w:r>
          </w:p>
        </w:tc>
        <w:tc>
          <w:tcPr>
            <w:tcW w:w="8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374</w:t>
            </w:r>
          </w:p>
        </w:tc>
        <w:tc>
          <w:tcPr>
            <w:tcW w:w="8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4,181</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174.0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(3,895)</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(23.5)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1,057</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1,518</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(1,248)</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(60.2)</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1,613</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4,661</w:t>
            </w:r>
          </w:p>
        </w:tc>
        <w:tc>
          <w:tcPr>
            <w:tcW w:w="100" w:type="dxa"/>
            <w:vAlign w:val="bottom"/>
          </w:tcPr>
          <w:p>
            <w:pPr>
              <w:spacing w:after="0"/>
              <w:rPr>
                <w:sz w:val="9"/>
                <w:szCs w:val="9"/>
                <w:color w:val="auto"/>
              </w:rPr>
            </w:pPr>
          </w:p>
        </w:tc>
        <w:tc>
          <w:tcPr>
            <w:tcW w:w="7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42.8</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6.7</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4,181</w:t>
            </w: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174.0 %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(3,895)</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1"/>
                <w:szCs w:val="11"/>
                <w:color w:val="auto"/>
                <w:w w:val="94"/>
              </w:rPr>
              <w:t>(23.5)%</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1,057</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8.3 %</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1,518</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26.4 %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(1,248)</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(3,666)</w:t>
            </w: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10,339</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30.2 %</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(8,492)</w:t>
            </w:r>
          </w:p>
        </w:tc>
        <w:tc>
          <w:tcPr>
            <w:tcW w:w="100" w:type="dxa"/>
            <w:vAlign w:val="bottom"/>
          </w:tcPr>
          <w:p>
            <w:pPr>
              <w:spacing w:after="0"/>
              <w:rPr>
                <w:sz w:val="12"/>
                <w:szCs w:val="12"/>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94"/>
              </w:rPr>
              <w:t>(10.7)%</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3,038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9.3 %</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(9,278)</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(6,103)</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are calculated on unrounded numbers and therefore may not recalculate using the rounded numbers provided. In addition, percentages may not add in total due to rounding.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of fiscal 2025, sales increased and gross profit percentage declined slightly due to the following:</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Sales were relatively flat during second quarter of fiscal 2025 compared to the same period one year ago. The slight increase was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fulfilling orders in our digital billboards niche. Spectacular LED video display projects and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On-Premise digital signage sales were similar to last year. Gross profit as a percentage of sales increased due to a shift in mix to products with higher margins. Selling expenses remained relatively flat in dollars but decreased as percent of sales primarily because of leveraging flat selling capacity over increased revenue. The increase in order bookings in our Spectacular niche was attributable to LED video display project orders with governmental and multi-use commercial and retail facilities during the second quarter of fiscal 2025. Digital billboard order bookings during the quarter increased as a result of marketing efforts to independent billboard operators and the timing of a bulk order from a national Out-of-Home advertising company.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increase in net sales in the second quarter of fiscal 2025 was driven by fulfilling order backlog for upgrades in sports-related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in colleges and universities. The decline in gross profit as a percentage of sales in the quarter is partially attributable to sales mix differences between periods. Selling expenses decreased as a percent of sales and decreased in dollar amounts primarily because of a reduction in bad debt expense. Order bookings vary because of large project booking timing.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Sales were relatively flat during second quarter of fiscal 2025 compared to the same period one year ago. Gross profit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percentage of sales increased due to the market shift to more video projects, in addition to a more cost-effective video offering. Selling expenses increased primarily because of personnel related wages and benefit costs for investments in staffing to support future growth. Order bookings increase is attributable to more sales of video scoreboards versus fixed digit scoreboards.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Sales were relatively flat during the second quarter of fiscal 2025 compared to the same period one year ago. Gross profit as a percentage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increased as a result of a change in product mix and the recognition of a $1.0 million project related insurance reimbursement. Selling expenses increased primarily because of personnel related wages and benefit costs for investments in staffing to support future growth. Order bookings vary because of the timing of large project bookings which have inherent volatility.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decrease in net sales in the second quarter of fiscal 2025 was driven by lower backlog and lower orders. Global geopolitical events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macroeconomic trends have driven down the amount of market activity for digital display systems and large-sized projects, causing the decrease in orders. Gross margin decreased primarily because of underutilized factory capacity. Order bookings vary because of large project booking timing and have been impacted by general economic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OCTOBER 26, 2024 AND OCTOBER 28,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Performance Summary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an analysis of changes in key items included in the statements of operations for the six months ended October 26, 2024 and October 28, 2023:</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October 26, 2024</w:t>
            </w: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 of Net sales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28, 2023</w:t>
            </w: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 xml:space="preserve">% of Net sales </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Dollar Change </w:t>
            </w:r>
            <w:r>
              <w:rPr>
                <w:rFonts w:ascii="Times New Roman" w:cs="Times New Roman" w:eastAsia="Times New Roman" w:hAnsi="Times New Roman"/>
                <w:sz w:val="21"/>
                <w:szCs w:val="21"/>
                <w:b w:val="1"/>
                <w:bCs w:val="1"/>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Percent Change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434,419</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431,900</w:t>
            </w: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318,858</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306,554</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153.8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12,304</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115,561</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125,346</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53"/>
        </w:trPr>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30,340</w:t>
            </w:r>
          </w:p>
        </w:tc>
        <w:tc>
          <w:tcPr>
            <w:tcW w:w="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27,582</w:t>
            </w:r>
          </w:p>
        </w:tc>
        <w:tc>
          <w:tcPr>
            <w:tcW w:w="8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10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20,488</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162"/>
        </w:trPr>
        <w:tc>
          <w:tcPr>
            <w:tcW w:w="204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Product design and</w:t>
            </w: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19,462</w:t>
            </w:r>
          </w:p>
        </w:tc>
        <w:tc>
          <w:tcPr>
            <w:tcW w:w="80" w:type="dxa"/>
            <w:vAlign w:val="bottom"/>
          </w:tcPr>
          <w:p>
            <w:pPr>
              <w:spacing w:after="0"/>
              <w:rPr>
                <w:sz w:val="14"/>
                <w:szCs w:val="14"/>
                <w:color w:val="auto"/>
              </w:rPr>
            </w:pPr>
          </w:p>
        </w:tc>
        <w:tc>
          <w:tcPr>
            <w:tcW w:w="14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17,624</w:t>
            </w:r>
          </w:p>
        </w:tc>
        <w:tc>
          <w:tcPr>
            <w:tcW w:w="8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tcPr>
          <w:p>
            <w:pPr>
              <w:spacing w:after="0"/>
              <w:rPr>
                <w:sz w:val="14"/>
                <w:szCs w:val="14"/>
                <w:color w:val="auto"/>
              </w:rPr>
            </w:pPr>
          </w:p>
        </w:tc>
        <w:tc>
          <w:tcPr>
            <w:tcW w:w="14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development</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77,075</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65,694</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11,381</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7"/>
        </w:trPr>
        <w:tc>
          <w:tcPr>
            <w:tcW w:w="2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38,486</w:t>
            </w: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59,652</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(21,166)</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53"/>
        </w:trPr>
        <w:tc>
          <w:tcPr>
            <w:tcW w:w="2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Nonoperating (expense)</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4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Interest (expense) income,</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(109.2)</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w:t>
            </w: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Change in fair value of</w:t>
            </w: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(11,286)</w:t>
            </w:r>
          </w:p>
        </w:tc>
        <w:tc>
          <w:tcPr>
            <w:tcW w:w="80" w:type="dxa"/>
            <w:vAlign w:val="bottom"/>
          </w:tcPr>
          <w:p>
            <w:pPr>
              <w:spacing w:after="0"/>
              <w:rPr>
                <w:sz w:val="14"/>
                <w:szCs w:val="14"/>
                <w:color w:val="auto"/>
              </w:rPr>
            </w:pP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(17,910)</w:t>
            </w:r>
          </w:p>
        </w:tc>
        <w:tc>
          <w:tcPr>
            <w:tcW w:w="80" w:type="dxa"/>
            <w:vAlign w:val="bottom"/>
          </w:tcPr>
          <w:p>
            <w:pPr>
              <w:spacing w:after="0"/>
              <w:rPr>
                <w:sz w:val="14"/>
                <w:szCs w:val="14"/>
                <w:color w:val="auto"/>
              </w:rPr>
            </w:pPr>
          </w:p>
        </w:tc>
        <w:tc>
          <w:tcPr>
            <w:tcW w:w="15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6,624</w:t>
            </w:r>
          </w:p>
        </w:tc>
        <w:tc>
          <w:tcPr>
            <w:tcW w:w="100" w:type="dxa"/>
            <w:vAlign w:val="bottom"/>
          </w:tcPr>
          <w:p>
            <w:pPr>
              <w:spacing w:after="0"/>
              <w:rPr>
                <w:sz w:val="14"/>
                <w:szCs w:val="14"/>
                <w:color w:val="auto"/>
              </w:rPr>
            </w:pP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3"/>
        </w:trPr>
        <w:tc>
          <w:tcPr>
            <w:tcW w:w="2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convertible note</w:t>
            </w: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4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Other expense and debt</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issuance costs write-off,</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4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b w:val="1"/>
                <w:bCs w:val="1"/>
                <w:color w:val="auto"/>
              </w:rPr>
              <w:t>Income before income</w:t>
            </w: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25,403</w:t>
            </w:r>
          </w:p>
        </w:tc>
        <w:tc>
          <w:tcPr>
            <w:tcW w:w="80" w:type="dxa"/>
            <w:vAlign w:val="bottom"/>
          </w:tcPr>
          <w:p>
            <w:pPr>
              <w:spacing w:after="0"/>
              <w:rPr>
                <w:sz w:val="12"/>
                <w:szCs w:val="12"/>
                <w:color w:val="auto"/>
              </w:rPr>
            </w:pPr>
          </w:p>
        </w:tc>
        <w:tc>
          <w:tcPr>
            <w:tcW w:w="14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34,253</w:t>
            </w:r>
          </w:p>
        </w:tc>
        <w:tc>
          <w:tcPr>
            <w:tcW w:w="80" w:type="dxa"/>
            <w:vAlign w:val="bottom"/>
          </w:tcPr>
          <w:p>
            <w:pPr>
              <w:spacing w:after="0"/>
              <w:rPr>
                <w:sz w:val="12"/>
                <w:szCs w:val="12"/>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(8,850)</w:t>
            </w:r>
          </w:p>
        </w:tc>
        <w:tc>
          <w:tcPr>
            <w:tcW w:w="100" w:type="dxa"/>
            <w:vAlign w:val="bottom"/>
          </w:tcPr>
          <w:p>
            <w:pPr>
              <w:spacing w:after="0"/>
              <w:rPr>
                <w:sz w:val="12"/>
                <w:szCs w:val="12"/>
                <w:color w:val="auto"/>
              </w:rPr>
            </w:pP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4"/>
        </w:trPr>
        <w:tc>
          <w:tcPr>
            <w:tcW w:w="20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12,892</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12"/>
        </w:trPr>
        <w:tc>
          <w:tcPr>
            <w:tcW w:w="20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16,460</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21,361</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165"/>
        </w:trPr>
        <w:tc>
          <w:tcPr>
            <w:tcW w:w="20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Diluted weighted average</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47,507</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46,454</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outstanding</w:t>
            </w: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353,760</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342,323</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are calculated based on unrounded numbers and therefore may not recalculate using the rounded numbers provided. In addition, percentages may not add in total due to rounding.</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net sales increase in the first six months of fiscal 2025 was the result of comparatively higher volumes in the Live Events and Transportation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units offset by lower sales levels in the Commercial, High School Park and Recreation, and International business units. The amount of revenue recognized associated with performance obligations satisfied in prior years during the six months ended October 26, 2024 and October 28, 2023 was immaterial.</w:t>
      </w:r>
    </w:p>
    <w:p>
      <w:pPr>
        <w:spacing w:after="0" w:line="141"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Order </w:t>
      </w:r>
      <w:r>
        <w:rPr>
          <w:rFonts w:ascii="Times New Roman" w:cs="Times New Roman" w:eastAsia="Times New Roman" w:hAnsi="Times New Roman"/>
          <w:sz w:val="18"/>
          <w:szCs w:val="18"/>
          <w:color w:val="auto"/>
        </w:rPr>
        <w:t>volume growth was driven by rebounding demand in the On-Premise, Spectacular and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Home markets in our Commercial business unit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solid growth in the High School Parks and Recreation business unit. These higher orders offset an order decrease in the Live Events, Transportation, and International business units. Variability in orders comparatively is natural in these large project business areas.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as a percentage of sales decreased in the first six months of fiscal 2025 partially because of sales mix differences between periods.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expense as a percent of sales decreased to 1.9 percent for the first six months of fiscal 2025 as compared to 2.2 percent for same period from a year ago.</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expenses </w:t>
      </w:r>
      <w:r>
        <w:rPr>
          <w:rFonts w:ascii="Times New Roman" w:cs="Times New Roman" w:eastAsia="Times New Roman" w:hAnsi="Times New Roman"/>
          <w:sz w:val="18"/>
          <w:szCs w:val="18"/>
          <w:color w:val="auto"/>
        </w:rPr>
        <w:t>increased because of increases in personnel related wages and benefits expenses for increased staffing levels to support future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 and entertainment; and marketing, conventions and advertising.</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expenses increased in the first six months of fiscal 2025 because of personnel related wages and benefits for increased staffing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levels, increased professional fees, and increased expenses for technology resources for our digital transformation strategies. In addition, during the first six months of fiscal 2025, the Company incurred $4.3 million of consultant related expenses associated with the previously announced strategic and digital transformation initiatives.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w:t>
      </w:r>
      <w:r>
        <w:rPr>
          <w:rFonts w:ascii="Times New Roman" w:cs="Times New Roman" w:eastAsia="Times New Roman" w:hAnsi="Times New Roman"/>
          <w:sz w:val="18"/>
          <w:szCs w:val="18"/>
          <w:color w:val="auto"/>
        </w:rPr>
        <w:t>expenses increased in the first six months of fiscal 2025 primarily due to personnel-related expenses and for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staffing levels. Our focus has been to advance product features aligned with customer needs and to reduce product costs. We focused these efforts on both standard product and control offerings and in new emerging areas, including micro-LED products and new control capabilities.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increased primarily due to interest income earned on cash balances.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Convertible Note </w:t>
      </w:r>
      <w:r>
        <w:rPr>
          <w:rFonts w:ascii="Times New Roman" w:cs="Times New Roman" w:eastAsia="Times New Roman" w:hAnsi="Times New Roman"/>
          <w:sz w:val="18"/>
          <w:szCs w:val="18"/>
          <w:color w:val="auto"/>
        </w:rPr>
        <w:t>results from accounting for the Convertible Note we issued to Alta Fox Opportunities Fund, LP during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under the fair value option. The fair value change was primarily caused by the increase in value of the embedded features of the Convertible Note, as our stock price has increased since April 27, 2024.</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and debt issuance costs write-off, net: </w:t>
      </w:r>
      <w:r>
        <w:rPr>
          <w:rFonts w:ascii="Times New Roman" w:cs="Times New Roman" w:eastAsia="Times New Roman" w:hAnsi="Times New Roman"/>
          <w:sz w:val="18"/>
          <w:szCs w:val="18"/>
          <w:color w:val="auto"/>
        </w:rPr>
        <w:t>The change in Other expense and debt issuance costs write-off, net for the first six months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compared to the same period one year ago was primarily due to losses recorded for our equity method affiliates and foreign currency volatility. In addition, during fiscal 2024, we expensed $3.4 million of debt issuance costs related to the Convertible Note issuance.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six months ended October 26, 2024, we recorded an effective tax rate of 35.2 percent, as compared to 37.6 percent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October 28, 2023. Both periods' income before taxes included the impacts of the change in Convertible Note fair value adjustment to expense which is not deductible and is the primary driver of the effective tax rate for both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Performance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our contribution margin reconciled to GAAP operating income of our reportable segments for the six months ended October 26, 2024 and October 28, 2023: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Six Months Ended October 26, 2024</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00" w:type="dxa"/>
            <w:vAlign w:val="bottom"/>
          </w:tcPr>
          <w:p>
            <w:pPr>
              <w:spacing w:after="0"/>
              <w:rPr>
                <w:sz w:val="8"/>
                <w:szCs w:val="8"/>
                <w:color w:val="auto"/>
              </w:rPr>
            </w:pPr>
          </w:p>
        </w:tc>
        <w:tc>
          <w:tcPr>
            <w:tcW w:w="780" w:type="dxa"/>
            <w:vAlign w:val="bottom"/>
            <w:gridSpan w:val="2"/>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0" w:type="dxa"/>
            <w:vAlign w:val="bottom"/>
          </w:tcPr>
          <w:p>
            <w:pPr>
              <w:spacing w:after="0"/>
              <w:rPr>
                <w:sz w:val="1"/>
                <w:szCs w:val="1"/>
                <w:color w:val="auto"/>
              </w:rPr>
            </w:pPr>
          </w:p>
        </w:tc>
      </w:tr>
      <w:tr>
        <w:trPr>
          <w:trHeight w:val="142"/>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77,638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185,815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96,077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43,968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30,921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434,419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58,905</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144,817</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60,957</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27,547</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26,632</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318,858</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73.4 %</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18,733</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40,998</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35,120</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16,421</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37.3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4,289</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115,561</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26.6</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8,938</w:t>
            </w:r>
          </w:p>
        </w:tc>
        <w:tc>
          <w:tcPr>
            <w:tcW w:w="1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5,181</w:t>
            </w:r>
          </w:p>
        </w:tc>
        <w:tc>
          <w:tcPr>
            <w:tcW w:w="8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8,087</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2,801</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5,333</w:t>
            </w:r>
          </w:p>
        </w:tc>
        <w:tc>
          <w:tcPr>
            <w:tcW w:w="8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30,340</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7.0</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9,795</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35,817</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27,033</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28.1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13,620</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85,221</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19.6</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27,273</w:t>
            </w:r>
          </w:p>
        </w:tc>
        <w:tc>
          <w:tcPr>
            <w:tcW w:w="100" w:type="dxa"/>
            <w:vAlign w:val="bottom"/>
          </w:tcPr>
          <w:p>
            <w:pPr>
              <w:spacing w:after="0"/>
              <w:rPr>
                <w:sz w:val="9"/>
                <w:szCs w:val="9"/>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6.3</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19,462</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9,795</w:t>
            </w:r>
          </w:p>
        </w:tc>
        <w:tc>
          <w:tcPr>
            <w:tcW w:w="100" w:type="dxa"/>
            <w:vAlign w:val="bottom"/>
          </w:tcPr>
          <w:p>
            <w:pPr>
              <w:spacing w:after="0"/>
              <w:rPr>
                <w:sz w:val="7"/>
                <w:szCs w:val="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12.6 %</w:t>
            </w:r>
          </w:p>
        </w:tc>
        <w:tc>
          <w:tcPr>
            <w:tcW w:w="100" w:type="dxa"/>
            <w:vAlign w:val="bottom"/>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35,817</w:t>
            </w:r>
          </w:p>
        </w:tc>
        <w:tc>
          <w:tcPr>
            <w:tcW w:w="80" w:type="dxa"/>
            <w:vAlign w:val="bottom"/>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19.3 %</w:t>
            </w:r>
          </w:p>
        </w:tc>
        <w:tc>
          <w:tcPr>
            <w:tcW w:w="10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27,033</w:t>
            </w:r>
          </w:p>
        </w:tc>
        <w:tc>
          <w:tcPr>
            <w:tcW w:w="100" w:type="dxa"/>
            <w:vAlign w:val="bottom"/>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28.1 %</w:t>
            </w:r>
          </w:p>
        </w:tc>
        <w:tc>
          <w:tcPr>
            <w:tcW w:w="10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13,620</w:t>
            </w:r>
          </w:p>
        </w:tc>
        <w:tc>
          <w:tcPr>
            <w:tcW w:w="10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31.0 %</w:t>
            </w:r>
          </w:p>
        </w:tc>
        <w:tc>
          <w:tcPr>
            <w:tcW w:w="8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8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7"/>
                <w:szCs w:val="7"/>
                <w:color w:val="auto"/>
              </w:rPr>
            </w:pPr>
          </w:p>
        </w:tc>
        <w:tc>
          <w:tcPr>
            <w:tcW w:w="14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38,486</w:t>
            </w:r>
          </w:p>
        </w:tc>
        <w:tc>
          <w:tcPr>
            <w:tcW w:w="10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8.9 %</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(loss)</w:t>
            </w:r>
          </w:p>
        </w:tc>
        <w:tc>
          <w:tcPr>
            <w:tcW w:w="10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86,670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121,423</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82,285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34,981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28,401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353,760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Six Months Ended October 28, 2023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0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High School</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0" w:type="dxa"/>
            <w:vAlign w:val="bottom"/>
          </w:tcPr>
          <w:p>
            <w:pPr>
              <w:spacing w:after="0"/>
              <w:rPr>
                <w:sz w:val="1"/>
                <w:szCs w:val="1"/>
                <w:color w:val="auto"/>
              </w:rPr>
            </w:pPr>
          </w:p>
        </w:tc>
      </w:tr>
      <w:tr>
        <w:trPr>
          <w:trHeight w:val="142"/>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89,336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160,209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105,176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41,612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35,567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431,900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69,336</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77.6 %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113,035</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70.6 %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67,931</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27,743</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28,509</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306,554</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71.0 %</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20,000</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22.4</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47,174</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37,245</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35.4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13,869</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7,058</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19.8</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125,346</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29.0</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8,876</w:t>
            </w:r>
          </w:p>
        </w:tc>
        <w:tc>
          <w:tcPr>
            <w:tcW w:w="1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5,187</w:t>
            </w:r>
          </w:p>
        </w:tc>
        <w:tc>
          <w:tcPr>
            <w:tcW w:w="8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7,036</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1,927</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4,556</w:t>
            </w:r>
          </w:p>
        </w:tc>
        <w:tc>
          <w:tcPr>
            <w:tcW w:w="8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27,582</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6.4</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11,124</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41,987</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30,209</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28.7</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11,942</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28.7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2,502</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97,764</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22.6</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20,488</w:t>
            </w:r>
          </w:p>
        </w:tc>
        <w:tc>
          <w:tcPr>
            <w:tcW w:w="100" w:type="dxa"/>
            <w:vAlign w:val="bottom"/>
          </w:tcPr>
          <w:p>
            <w:pPr>
              <w:spacing w:after="0"/>
              <w:rPr>
                <w:sz w:val="9"/>
                <w:szCs w:val="9"/>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17,624</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11,124</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41,987</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30,209</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28.7 %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11,942</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28.7 %</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2,502</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7.0 %</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59,652</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13.8 %</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66,643</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131,219</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68,539</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40,485</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35,437</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342,323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9"/>
          </w:tcPr>
          <w:p>
            <w:pPr>
              <w:ind w:left="600"/>
              <w:spacing w:after="0"/>
              <w:rPr>
                <w:sz w:val="20"/>
                <w:szCs w:val="20"/>
                <w:color w:val="auto"/>
              </w:rPr>
            </w:pPr>
            <w:r>
              <w:rPr>
                <w:rFonts w:ascii="Times New Roman" w:cs="Times New Roman" w:eastAsia="Times New Roman" w:hAnsi="Times New Roman"/>
                <w:sz w:val="11"/>
                <w:szCs w:val="11"/>
                <w:b w:val="1"/>
                <w:bCs w:val="1"/>
                <w:color w:val="auto"/>
              </w:rPr>
              <w:t>Six Months Ended Net Dollar and % Change</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00" w:type="dxa"/>
            <w:vAlign w:val="bottom"/>
          </w:tcPr>
          <w:p>
            <w:pPr>
              <w:spacing w:after="0"/>
              <w:rPr>
                <w:sz w:val="8"/>
                <w:szCs w:val="8"/>
                <w:color w:val="auto"/>
              </w:rPr>
            </w:pPr>
          </w:p>
        </w:tc>
        <w:tc>
          <w:tcPr>
            <w:tcW w:w="780" w:type="dxa"/>
            <w:vAlign w:val="bottom"/>
            <w:gridSpan w:val="2"/>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Change (1)</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Change (1)</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Change (1)</w:t>
            </w: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Change (1)</w:t>
            </w: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Change (1)</w:t>
            </w:r>
          </w:p>
        </w:tc>
        <w:tc>
          <w:tcPr>
            <w:tcW w:w="1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Change (1)</w:t>
            </w:r>
          </w:p>
        </w:tc>
        <w:tc>
          <w:tcPr>
            <w:tcW w:w="0" w:type="dxa"/>
            <w:vAlign w:val="bottom"/>
          </w:tcPr>
          <w:p>
            <w:pPr>
              <w:spacing w:after="0"/>
              <w:rPr>
                <w:sz w:val="1"/>
                <w:szCs w:val="1"/>
                <w:color w:val="auto"/>
              </w:rPr>
            </w:pPr>
          </w:p>
        </w:tc>
      </w:tr>
      <w:tr>
        <w:trPr>
          <w:trHeight w:val="142"/>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(11,698)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25,606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16.0 %</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(9,099)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2,356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5.7 %</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2,519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0.6 %</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(10,431)</w:t>
            </w:r>
          </w:p>
        </w:tc>
        <w:tc>
          <w:tcPr>
            <w:tcW w:w="1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31,782</w:t>
            </w:r>
          </w:p>
        </w:tc>
        <w:tc>
          <w:tcPr>
            <w:tcW w:w="8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(6,974)</w:t>
            </w:r>
          </w:p>
        </w:tc>
        <w:tc>
          <w:tcPr>
            <w:tcW w:w="10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10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(1,877)</w:t>
            </w:r>
          </w:p>
        </w:tc>
        <w:tc>
          <w:tcPr>
            <w:tcW w:w="8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12,304</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(1,267)</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(6,176)</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(2,125)</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2,552</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(2,769)</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(39.2)</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(9,785)</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1,051</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874</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777</w:t>
            </w:r>
          </w:p>
        </w:tc>
        <w:tc>
          <w:tcPr>
            <w:tcW w:w="8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2,758</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(1,329)</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(6,170)</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(3,176)</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1,678</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14.1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(3,546)</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(141.7)</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(12,543)</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(12.8)</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6,785</w:t>
            </w:r>
          </w:p>
        </w:tc>
        <w:tc>
          <w:tcPr>
            <w:tcW w:w="100" w:type="dxa"/>
            <w:vAlign w:val="bottom"/>
          </w:tcPr>
          <w:p>
            <w:pPr>
              <w:spacing w:after="0"/>
              <w:rPr>
                <w:sz w:val="9"/>
                <w:szCs w:val="9"/>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33.1</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1,838</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10.4</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(1,329)</w:t>
            </w:r>
          </w:p>
        </w:tc>
        <w:tc>
          <w:tcPr>
            <w:tcW w:w="100" w:type="dxa"/>
            <w:vAlign w:val="bottom"/>
          </w:tcPr>
          <w:p>
            <w:pPr>
              <w:spacing w:after="0"/>
              <w:rPr>
                <w:sz w:val="7"/>
                <w:szCs w:val="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(6,170)</w:t>
            </w:r>
          </w:p>
        </w:tc>
        <w:tc>
          <w:tcPr>
            <w:tcW w:w="80" w:type="dxa"/>
            <w:vAlign w:val="bottom"/>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(3,176)</w:t>
            </w:r>
          </w:p>
        </w:tc>
        <w:tc>
          <w:tcPr>
            <w:tcW w:w="100" w:type="dxa"/>
            <w:vAlign w:val="bottom"/>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1,678</w:t>
            </w:r>
          </w:p>
        </w:tc>
        <w:tc>
          <w:tcPr>
            <w:tcW w:w="10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14.1 %</w:t>
            </w:r>
          </w:p>
        </w:tc>
        <w:tc>
          <w:tcPr>
            <w:tcW w:w="8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(3,546)</w:t>
            </w:r>
          </w:p>
        </w:tc>
        <w:tc>
          <w:tcPr>
            <w:tcW w:w="8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(141.7)%</w:t>
            </w:r>
          </w:p>
        </w:tc>
        <w:tc>
          <w:tcPr>
            <w:tcW w:w="100" w:type="dxa"/>
            <w:vAlign w:val="bottom"/>
          </w:tcPr>
          <w:p>
            <w:pPr>
              <w:spacing w:after="0"/>
              <w:rPr>
                <w:sz w:val="7"/>
                <w:szCs w:val="7"/>
                <w:color w:val="auto"/>
              </w:rPr>
            </w:pPr>
          </w:p>
        </w:tc>
        <w:tc>
          <w:tcPr>
            <w:tcW w:w="14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(21,166)</w:t>
            </w:r>
          </w:p>
        </w:tc>
        <w:tc>
          <w:tcPr>
            <w:tcW w:w="10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(35.5)%</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(loss)</w:t>
            </w:r>
          </w:p>
        </w:tc>
        <w:tc>
          <w:tcPr>
            <w:tcW w:w="10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20,027</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30.1 %</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(9,796)</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13,746</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20.1 %</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(5,504)</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(7,036)</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11,437</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are calculated on unrounded numbers and therefore may not recalculate using the rounded numbers provided. In addition, percentages may not add in total due to rounding.</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six months of fiscal 2025, sales were relatively flat, and gross profit levels declined because of the change in operating environments over the two periods.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On-Premise digital signage sales and digital billboards for the first six months of fiscal 2025 were similar to the same period last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we fulfilled fewer larger sized Spectacular LED video display projects in the first six months of fiscal 2025, causing a decline in sales. In the first six months of fiscal 2025, there were fewer large sized projects in the market as compared to prior years. Gross profit as a percentage of sales increased due to the market shift to more surface mount technology message centers and Spectaculars. Selling expenses remained relatively flat in dollars; however, they increased as percent of sales. Order bookings increased in our Spectacular LED video display projects. Digital billboard order bookings increased as a result in our marketing efforts to independent billboard operators.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increase in net sales for the first six months of fiscal 2025 was driven by fulfilling the order backlog for upgrades in sports-related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primarily in colleges and universities. The decline in gross profit as a percentage of sales is partially attributable to the sales mix differences between periods. Selling expenses remained relatively flat in dollar amounts and decreased as a percent of sales. Order bookings decreased due to the variability of large project booking timing.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During fiscal 2024, we returned to normalized lead times, which led to higher sales in the first six months of fiscal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fiscal 2025's more normalized levels. Gross profit as a percentage of sales increased due to the market shift to more video projects in addition to a more cost-effective video offering. Selling expenses increased primarily because of personnel related wages and benefit costs for investments in staffing to support future growth. Order bookings increased as a result of the trends for schools increasingly using video solutions which are larger dollar-sized transactions than traditional scoreboard projects.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increase in net sales during the first six months of fiscal 2025 was driven by fulfilling orders in backlog and continued order bookings,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especially in large intelligent transportation system projects. Gross profit as a percentage of sales increased as a result of a change in product mix and the recognition of $1.0 million project related insurance reimbursement. Selling expenses increased primarily because of personnel related wages and benefit costs for investments in staffing to support future growth. The timing of large projects is uncertain which causes variability in large project order bookings.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decrease in net sales in the first six months of fiscal 2025 was driven by lower backlog and lower orders. Global geopolitical events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macroeconomic trends have driven down the amount of market activity for digital display systems and large-sized projects, causing the decrease in orders. Gross margin decreased primarily because of underutilized factory capacity. Even with efforts to decrease selling and other operational costs, our International business unit operated at a negative $1.0 million contribution margin. Order bookings vary because of large project booking timing and have been impacted by general economic conditions.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86"/>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October 26,</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28,</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Dollar Change</w:t>
            </w:r>
          </w:p>
        </w:tc>
      </w:tr>
      <w:tr>
        <w:trPr>
          <w:trHeight w:val="27"/>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18,509</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w:t>
            </w:r>
          </w:p>
        </w:tc>
      </w:tr>
      <w:tr>
        <w:trPr>
          <w:trHeight w:val="21"/>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The $62.8 million of cash provided by operating activities during the first six months of fiscal 2025 was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changes in net operating asset and liabilities. During the first six months of fiscal 2025, cash increased due to accounts receivable collection, reduction in inventory, and decreases in contract assets.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net operating assets and liabilities for the six months ended October 26, 2024 and October 28, 2023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26,</w:t>
            </w:r>
          </w:p>
        </w:tc>
        <w:tc>
          <w:tcPr>
            <w:tcW w:w="2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October 28,</w:t>
            </w:r>
          </w:p>
        </w:tc>
      </w:t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During the first six months of fiscal 2025 and fiscal 2024, purchases of property and equipment totaled $10.5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$9.2 million, respectively, and investments in affiliates were $2.0 million and $2.9 million, respectively.</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During the first six months of fiscal 2025, financing cash inflow included the $4.2 million received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stock options, partially offset by payments on notes payable. Cash inflow from the first six months of fiscal 2024 resulted from closing on the $25.0 million Convertible Note financing and the $15.0 million mortgage financing to add liquidity to the Company in the first quarter of fiscal 2024. These inflows were offset by the payoff of our previous credit line of $18.1 million, expending $6.5 million of debt issuance costs, and principal payments made on the mortgage loan described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Cash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$60.0 million asset-based revolving credit facility ("ABL") with a maturity date of May 11, 2026 subject to customary covenants and conditions. As of October 26, 2024, we had no borrowings against the ABL and $5.4 million used to secure letters of credit outstanding. We also have a loan of $13.1 million secured by a first priority mortgage lien on our Brookings, South Dakota real estate and $25.0 million evidenced by the Convertible Note secured by a second priority lien on the assets securing the ABL facility and a first priority lien on substantially all the other assets of the Company, excluding all real property.</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November 11, 2024, the Company issued notice to the holder ("Holder") to force the conversion of $7.0 million of the principal balance on December 3, 2024 of the Convertible Note at the conversion price of $6.31 per share into 1.1 million common shares. We will issue the shares upon the Holder’s indicating the ability to take delivery of the shares under the maximum ownership provisions of the Convertible Note. In addition, on November 25, 2024, the Company received from the Holder a written notice to increase the Percentage Cap to 14.99 percent. This increase from the in-effect 3.00 percent maximum ownership takes effect 61 days after receipt of notice. The Company intends to convert the remainder of the Convertible Note over the next several months in tranches of up to $7.0 million in face value every 30 days, as practical and as provided for in the Convertible Note.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26, 2024, we had $134.4 million in cash and cash equivalents and $40.8 million in borrowing capacity under our ABL. We believe cash flow from operations, existing line of credit, and access to debt and capital markets will be sufficient to meet our current liquidity needs, and we have committed liquidity and cash reserves in excess of our anticipated funding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and cash equivalent balances consist of high-quality, short-term money market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Working capital was $242.7 million and $209.7 million as of October 26, 2024 and April 27, 2024, respectively. The changes in working capital, particularly changes in inventory, accounts payable, accounts receivable, and contract assets and liabilities, are impacted by the sports market and construction seasonality. These changes can have a significant impact on the amount of net cash provided by or used in operating activities largely due to the timing of payments for inventory and subcontractors and receipts from our customers. On multimillion-dollar orders, the time between order acceptance and project completion may extend up to or exceed 12 months depending on the amount of custom work and a customer’s delivery needs. We use cash to purchase inventory and services at the beginning of these orders and often receive down payments or progress payments on these orders to balance cash flows.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$8.7 million of retainage on long-term contracts included in receivables and contract assets as of October 26, 2024, which we expect to collect within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and Capital Uses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long-term capital allocation strategy is to first fund operations and investments in growth, maintain a reasonable liquidity and leverage ratio that reflects a prudent and compliant capital structure in light of the cyclically of business, reduce debt, and then, as allowed under any restrictive debt covenants, return excess cash over time to shareholders through dividends and share repurchases.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and strategic investments. We are projecting to spend between $8 and $10 million for these transformation efforts and for our total capital expenditures to be approximately $27 million for fiscal 2025. Projected capital expenditures include purchasing manufacturing equipment for new or enhanced product production and expanded capacity and increased automation of processes; investments in quality and reliability equipment and demonstration and showroom assets; and continued information infrastructure investments.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capital expenditures, we plan to make additional investments in our general and administration expenses to execute our broad digital transformation strategies to modernize our service systems for field service automation, to advance our enterprise performance planning capabilities, and to improve and automate quoting and sales processes.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evaluate and may make strategic investments in new technologies or in our affiliates or acquire companies aligned with our business strategy. We are committed to invest an additional $0.5 million in fiscal 2025 in our current affiliates. We may make additional investments beyond our commitments.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an aggregate of $190.0 million bonding line available through surety companies. If we were unable to complete the installation work, and our customer would call upon the bond for payment, the surety company would subrogate its loss to Daktronics. As of October 26, 2024, we had $17.6 million of bonded work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six months of fiscal 2025, there have been no material changes in our contractual obligations. See our Annual Report on Form 10-K for the fiscal year ended April 27, 2024 for additional information regarding our contractual obligations and commercial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describe our significant accounting policies in "Note 1. Nature of Business and Summary of Significant Accounting Policies" of the Notes to Consolidated Financial Statements included in our Annual Report on Form 10-K for the fiscal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year ended April 27, 2024. We discuss our critical accounting estimates in "Part II, Item 7. Management’s Discussion and Analysis of Financial Condition and Results of Operations" in our Annual Report on Form 10-K for the fiscal year ended April 27,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interest rate, foreign currency, and commodity risks as disclosed in our Annual Report on Form 10-K for the fiscal year ended April 27,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other material changes in our exposure to these risks during the first six months of fiscal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our Company is responsible for establishing and maintaining effective disclosure controls and procedures as defined in Rules 13a-15(e) and 15d-15(e) under the Securities Exchange Act of 1934. As of October 26, 2024, an evaluation was performed, under the supervision and with the participation of management, including our Chief Executive Officer and Chief Financial Officer, of the effectiveness of the design and operation of our disclosure controls and procedures. Based upon that evaluation, our Chief Executive Officer and Chief Financial Officer concluded that as of October 26, 2024, our disclosure controls and procedures were effective at the reasonable assurance level to ensure information required to be disclosed in the Condensed Consolidated Financial Statements included in this Quarterly Report on Form 10-Q was recorded, processed, summarized and reported within the time period required by the SEC's rules and forms and accumulated and communicated to management, including the Chief Executive Officer and Chief Financial Officer, to allow timely decisions regarding required disclosure.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Chief Executive Officer and Chief Financial Officer believe the Condensed Consolidated Financial Statements included in this Quarterly Report on Form 10-Q fairly represent, in all material respects, our financial condition, results of operations and cash flows for the periods presented in conformity with accounting principles generally accepted in the United States of America.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October 26, 2024, there have been no changes in our internal control over financial reporting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8. Commitments and Contingencies" of the Notes to our Condensed Consolidated Financial Statements included in this Quarterly Report on Form 10-Q for further information on any legal proceedings and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discussion of our business and operations included in this Quarterly Report on Form 10-Q should be read together with the risk factors described in Item 1A. of Part I of our Annual Report on Form 10-K for the fiscal year ended April 27, 2024. They describe various risks and uncertainties to which we are or may become subject. These risks and uncertainties,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together with other factors described elsewhere in this Quarterly Report on Form 10-Q,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October 26, 2024, we did not repurchase any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filed as part of this Report is set forth in the following Index to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001-38747 unless otherwise indicated.</w:t>
      </w:r>
    </w:p>
    <w:p>
      <w:pPr>
        <w:sectPr>
          <w:pgSz w:w="11900" w:h="16838" w:orient="portrait"/>
          <w:cols w:equalWidth="0" w:num="1">
            <w:col w:w="11240"/>
          </w:cols>
          <w:pgMar w:left="320" w:top="12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52"/>
        </w:trPr>
        <w:tc>
          <w:tcPr>
            <w:tcW w:w="340" w:type="dxa"/>
            <w:vAlign w:val="bottom"/>
            <w:tcBorders>
              <w:bottom w:val="single" w:sz="8" w:color="CCEEFF"/>
            </w:tcBorders>
            <w:gridSpan w:val="3"/>
            <w:shd w:val="clear" w:color="auto" w:fill="CCEEFF"/>
          </w:tcPr>
          <w:p>
            <w:pPr>
              <w:ind w:left="2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shd w:val="clear" w:color="auto" w:fill="CCEEFF"/>
          </w:tcPr>
          <w:p>
            <w:pPr>
              <w:spacing w:after="0"/>
              <w:rPr>
                <w:sz w:val="21"/>
                <w:szCs w:val="21"/>
                <w:color w:val="auto"/>
              </w:rPr>
            </w:pPr>
          </w:p>
        </w:tc>
        <w:tc>
          <w:tcPr>
            <w:tcW w:w="10120" w:type="dxa"/>
            <w:vAlign w:val="bottom"/>
            <w:tcBorders>
              <w:bottom w:val="single" w:sz="8" w:color="0000FF"/>
            </w:tcBorders>
            <w:gridSpan w:val="34"/>
            <w:shd w:val="clear" w:color="auto" w:fill="CCEEFF"/>
          </w:tcPr>
          <w:p>
            <w:pPr>
              <w:spacing w:after="0"/>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Amended and Restated Articles of Incorporation of the Company. (Incorporated by reference to Exhibit 3.1 of the Quarterly Report on Form</w:t>
              </w:r>
            </w:hyperlink>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136"/>
        </w:trPr>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620" w:type="dxa"/>
            <w:vAlign w:val="bottom"/>
            <w:tcBorders>
              <w:top w:val="single" w:sz="8" w:color="CCEEFF"/>
              <w:right w:val="single" w:sz="8" w:color="CCEEFF"/>
            </w:tcBorders>
            <w:shd w:val="clear" w:color="auto" w:fill="CCEEFF"/>
          </w:tcPr>
          <w:p>
            <w:pPr>
              <w:spacing w:after="0"/>
              <w:rPr>
                <w:sz w:val="11"/>
                <w:szCs w:val="11"/>
                <w:color w:val="auto"/>
              </w:rPr>
            </w:pPr>
          </w:p>
        </w:tc>
        <w:tc>
          <w:tcPr>
            <w:tcW w:w="10120" w:type="dxa"/>
            <w:vAlign w:val="bottom"/>
            <w:tcBorders>
              <w:top w:val="single" w:sz="8" w:color="CCEEFF"/>
            </w:tcBorders>
            <w:gridSpan w:val="34"/>
            <w:shd w:val="clear" w:color="auto" w:fill="CCEEFF"/>
          </w:tcPr>
          <w:p>
            <w:pPr>
              <w:spacing w:after="0" w:line="136" w:lineRule="exact"/>
              <w:rPr>
                <w:rFonts w:ascii="Times New Roman" w:cs="Times New Roman" w:eastAsia="Times New Roman" w:hAnsi="Times New Roman"/>
                <w:sz w:val="15"/>
                <w:szCs w:val="15"/>
                <w:color w:val="0000FF"/>
              </w:rPr>
            </w:pPr>
            <w:hyperlink r:id="rId64">
              <w:r>
                <w:rPr>
                  <w:rFonts w:ascii="Times New Roman" w:cs="Times New Roman" w:eastAsia="Times New Roman" w:hAnsi="Times New Roman"/>
                  <w:sz w:val="15"/>
                  <w:szCs w:val="15"/>
                  <w:color w:val="0000FF"/>
                </w:rPr>
                <w:t>10-Q/A (Amendment No. 1) of Daktronics, Inc. filed on December 21, 2018).</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360" w:type="dxa"/>
            <w:vAlign w:val="bottom"/>
            <w:gridSpan w:val="46"/>
          </w:tcPr>
          <w:p>
            <w:pPr>
              <w:spacing w:after="0" w:line="202"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Amended and Restated Bylaws of the Company (Incorporated by reference to Exhibit 3.1 filed with our Current Report on Form 8-K filed</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300" w:type="dxa"/>
            <w:vAlign w:val="bottom"/>
            <w:tcBorders>
              <w:top w:val="single" w:sz="8" w:color="0000EE"/>
            </w:tcBorders>
            <w:gridSpan w:val="43"/>
          </w:tcPr>
          <w:p>
            <w:pPr>
              <w:spacing w:after="0" w:line="182"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on January 30,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34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Rights Agreement dated as of November 16, 2018 between Daktronics, Inc. and Equiniti Trust Company, as Rights Agent (Incorporated by</w:t>
              </w:r>
            </w:hyperlink>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CCEEFF"/>
              <w:right w:val="single" w:sz="8" w:color="CCEEFF"/>
            </w:tcBorders>
            <w:shd w:val="clear" w:color="auto" w:fill="CCEEFF"/>
          </w:tcPr>
          <w:p>
            <w:pPr>
              <w:spacing w:after="0"/>
              <w:rPr>
                <w:sz w:val="15"/>
                <w:szCs w:val="15"/>
                <w:color w:val="auto"/>
              </w:rPr>
            </w:pPr>
          </w:p>
        </w:tc>
        <w:tc>
          <w:tcPr>
            <w:tcW w:w="10280" w:type="dxa"/>
            <w:vAlign w:val="bottom"/>
            <w:tcBorders>
              <w:top w:val="single" w:sz="8" w:color="0000EE"/>
            </w:tcBorders>
            <w:gridSpan w:val="42"/>
            <w:shd w:val="clear" w:color="auto" w:fill="CCEEFF"/>
          </w:tcPr>
          <w:p>
            <w:pPr>
              <w:spacing w:after="0" w:line="182"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reference to Exhibit 4.1 of the Current Report on Form 8-K of Daktronics, Inc. filed on November 16, 2018, Commission File No. 000-</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CCEEFF"/>
            </w:tcBorders>
            <w:shd w:val="clear" w:color="auto" w:fill="CCEEFF"/>
          </w:tcPr>
          <w:p>
            <w:pPr>
              <w:spacing w:after="0"/>
              <w:rPr>
                <w:sz w:val="17"/>
                <w:szCs w:val="17"/>
                <w:color w:val="auto"/>
              </w:rPr>
            </w:pPr>
          </w:p>
        </w:tc>
        <w:tc>
          <w:tcPr>
            <w:tcW w:w="72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23246).</w:t>
              </w:r>
            </w:hyperlink>
          </w:p>
        </w:tc>
        <w:tc>
          <w:tcPr>
            <w:tcW w:w="3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tcBorders>
            <w:shd w:val="clear" w:color="auto" w:fill="CCEEFF"/>
          </w:tcPr>
          <w:p>
            <w:pPr>
              <w:spacing w:after="0"/>
              <w:rPr>
                <w:sz w:val="17"/>
                <w:szCs w:val="17"/>
                <w:color w:val="auto"/>
              </w:rPr>
            </w:pPr>
          </w:p>
        </w:tc>
        <w:tc>
          <w:tcPr>
            <w:tcW w:w="6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2460" w:type="dxa"/>
            <w:vAlign w:val="bottom"/>
            <w:tcBorders>
              <w:top w:val="single" w:sz="8" w:color="0000EE"/>
            </w:tcBorders>
            <w:shd w:val="clear" w:color="auto" w:fill="CCEEFF"/>
          </w:tcPr>
          <w:p>
            <w:pPr>
              <w:spacing w:after="0"/>
              <w:rPr>
                <w:sz w:val="17"/>
                <w:szCs w:val="17"/>
                <w:color w:val="auto"/>
              </w:rPr>
            </w:pPr>
          </w:p>
        </w:tc>
        <w:tc>
          <w:tcPr>
            <w:tcW w:w="11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360" w:type="dxa"/>
            <w:vAlign w:val="bottom"/>
            <w:gridSpan w:val="46"/>
          </w:tcPr>
          <w:p>
            <w:pPr>
              <w:spacing w:after="0" w:line="202"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First Amendment to Rights Agreement dated as of November 19, 2021 between Daktronics, Inc. and Equiniti Trust Company, as Rights</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760" w:type="dxa"/>
            <w:vAlign w:val="bottom"/>
            <w:tcBorders>
              <w:top w:val="single" w:sz="8" w:color="0000EE"/>
            </w:tcBorders>
            <w:gridSpan w:val="24"/>
          </w:tcPr>
          <w:p>
            <w:pPr>
              <w:spacing w:after="0" w:line="182"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Agent (Incorporated by reference to Exhibit 4.2 of the Current Report on Form 8-K of Daktronics, Inc. filed on November 19, 2021).</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6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260" w:type="dxa"/>
            <w:vAlign w:val="bottom"/>
            <w:gridSpan w:val="2"/>
            <w:shd w:val="clear" w:color="auto" w:fill="CCEEFF"/>
          </w:tcPr>
          <w:p>
            <w:pPr>
              <w:ind w:left="20"/>
              <w:spacing w:after="0" w:line="202" w:lineRule="exact"/>
              <w:rPr>
                <w:rFonts w:ascii="Times New Roman" w:cs="Times New Roman" w:eastAsia="Times New Roman" w:hAnsi="Times New Roman"/>
                <w:sz w:val="18"/>
                <w:szCs w:val="18"/>
                <w:color w:val="0000FF"/>
                <w:w w:val="97"/>
              </w:rPr>
            </w:pPr>
            <w:hyperlink r:id="rId7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Second Amendment to Rights Agreement, dated as of November 19, 2024, by and between Daktronics, Inc. and Equiniti Trust Company,</w:t>
              </w:r>
            </w:hyperlink>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9900" w:type="dxa"/>
            <w:vAlign w:val="bottom"/>
            <w:tcBorders>
              <w:top w:val="single" w:sz="8" w:color="0000FF"/>
              <w:bottom w:val="single" w:sz="8" w:color="0000FF"/>
            </w:tcBorders>
            <w:gridSpan w:val="27"/>
            <w:shd w:val="clear" w:color="auto" w:fill="CCEEFF"/>
          </w:tcPr>
          <w:p>
            <w:pPr>
              <w:spacing w:after="0" w:line="182"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LLC, as Rights Agent (incorporated by reference to Exhibit 4.3 to the Current Report on Form 8-K filed by Daktronics, Inc. on November</w:t>
              </w:r>
            </w:hyperlink>
          </w:p>
        </w:tc>
        <w:tc>
          <w:tcPr>
            <w:tcW w:w="40" w:type="dxa"/>
            <w:vAlign w:val="bottom"/>
            <w:tcBorders>
              <w:top w:val="single" w:sz="8" w:color="CCEEFF"/>
              <w:bottom w:val="single" w:sz="8" w:color="0000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20, 2024).</w:t>
              </w:r>
            </w:hyperlink>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w w:val="95"/>
              </w:rPr>
            </w:pPr>
            <w:hyperlink r:id="rId7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360" w:type="dxa"/>
            <w:vAlign w:val="bottom"/>
            <w:gridSpan w:val="46"/>
          </w:tcPr>
          <w:p>
            <w:pPr>
              <w:spacing w:after="0" w:line="202"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Daktronics, Inc. 2020 Stock Incentive Plan ("2020 Plan") (Incorporated by reference to Exhibit A to the Company's Definitive Proxy</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320" w:type="dxa"/>
            <w:vAlign w:val="bottom"/>
            <w:tcBorders>
              <w:top w:val="single" w:sz="8" w:color="0000EE"/>
            </w:tcBorders>
            <w:gridSpan w:val="44"/>
          </w:tcPr>
          <w:p>
            <w:pPr>
              <w:spacing w:after="0" w:line="182"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Statement on Schedule 14A filed on July 16,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34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w w:val="95"/>
              </w:rPr>
            </w:pPr>
            <w:hyperlink r:id="rId7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Restricted Stock Award Agreement under the 2020 Plan (Incorporated by reference to Exhibit 10.2 filed with our Current Report on</w:t>
              </w:r>
            </w:hyperlink>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520" w:type="dxa"/>
            <w:vAlign w:val="bottom"/>
            <w:tcBorders>
              <w:top w:val="single" w:sz="8" w:color="0000EE"/>
              <w:bottom w:val="single" w:sz="8" w:color="0000EE"/>
            </w:tcBorders>
            <w:gridSpan w:val="7"/>
            <w:shd w:val="clear" w:color="auto" w:fill="CCEEFF"/>
          </w:tcPr>
          <w:p>
            <w:pPr>
              <w:spacing w:after="0" w:line="182" w:lineRule="exact"/>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Form 8-K on September 3, 2020).*</w:t>
              </w:r>
            </w:hyperlink>
          </w:p>
        </w:tc>
        <w:tc>
          <w:tcPr>
            <w:tcW w:w="7800" w:type="dxa"/>
            <w:vAlign w:val="bottom"/>
            <w:tcBorders>
              <w:top w:val="single" w:sz="8" w:color="0000EE"/>
              <w:bottom w:val="single" w:sz="8" w:color="CCEEFF"/>
            </w:tcBorders>
            <w:gridSpan w:val="37"/>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2"/>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w w:val="95"/>
              </w:rPr>
            </w:pPr>
            <w:hyperlink r:id="rId7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360" w:type="dxa"/>
            <w:vAlign w:val="bottom"/>
            <w:gridSpan w:val="46"/>
          </w:tcPr>
          <w:p>
            <w:pPr>
              <w:spacing w:after="0" w:line="202"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Non-Qualified Stock Option Agreement Terms and Conditions under the 2020 Plan (Incorporated by reference to Exhibit 10.3 filed</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340" w:type="dxa"/>
            <w:vAlign w:val="bottom"/>
            <w:tcBorders>
              <w:top w:val="single" w:sz="8" w:color="0000EE"/>
            </w:tcBorders>
            <w:gridSpan w:val="45"/>
          </w:tcPr>
          <w:p>
            <w:pPr>
              <w:spacing w:after="0" w:line="182"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with our Current Report on Form 8-K on September 3, 2020).*</w:t>
              </w:r>
            </w:hyperlink>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34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w w:val="95"/>
              </w:rPr>
            </w:pPr>
            <w:hyperlink r:id="rId77">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Incentive Stock Option Terms and Conditions under the 2020 Plan (Incorporated by reference to Exhibit 10.4 filed with our Current</w:t>
              </w:r>
            </w:hyperlink>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3280" w:type="dxa"/>
            <w:vAlign w:val="bottom"/>
            <w:tcBorders>
              <w:top w:val="single" w:sz="8" w:color="0000EE"/>
              <w:bottom w:val="single" w:sz="8" w:color="0000EE"/>
            </w:tcBorders>
            <w:gridSpan w:val="8"/>
            <w:shd w:val="clear" w:color="auto" w:fill="CCEEFF"/>
          </w:tcPr>
          <w:p>
            <w:pPr>
              <w:spacing w:after="0" w:line="182"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Report on Form 8-K on September 3, 2020).*</w:t>
              </w:r>
            </w:hyperlink>
          </w:p>
        </w:tc>
        <w:tc>
          <w:tcPr>
            <w:tcW w:w="6940" w:type="dxa"/>
            <w:vAlign w:val="bottom"/>
            <w:tcBorders>
              <w:top w:val="single" w:sz="8" w:color="0000EE"/>
              <w:bottom w:val="single" w:sz="8" w:color="CCEEFF"/>
            </w:tcBorders>
            <w:gridSpan w:val="31"/>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2"/>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w w:val="95"/>
              </w:rPr>
            </w:pPr>
            <w:hyperlink r:id="rId7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360" w:type="dxa"/>
            <w:vAlign w:val="bottom"/>
            <w:gridSpan w:val="46"/>
          </w:tcPr>
          <w:p>
            <w:pPr>
              <w:spacing w:after="0" w:line="202"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Restricted Stock Unit Terms and Conditions under the 2020 Plan (Incorporated by reference to Exhibit 10.5 filed with our Current</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60" w:type="dxa"/>
            <w:vAlign w:val="bottom"/>
            <w:tcBorders>
              <w:top w:val="single" w:sz="8" w:color="0000EE"/>
            </w:tcBorders>
            <w:gridSpan w:val="41"/>
          </w:tcPr>
          <w:p>
            <w:pPr>
              <w:spacing w:after="0" w:line="182"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Report on Form 8-K on September 3, 2020).*</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34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w w:val="95"/>
              </w:rPr>
            </w:pPr>
            <w:hyperlink r:id="rId8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Cooperation Agreement dated July 23, 2022 by and between the Company and Prairieland Holdco, LLC (Incorporated by reference to</w:t>
              </w:r>
            </w:hyperlink>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5360" w:type="dxa"/>
            <w:vAlign w:val="bottom"/>
            <w:tcBorders>
              <w:top w:val="single" w:sz="8" w:color="0000EE"/>
              <w:bottom w:val="single" w:sz="8" w:color="0000EE"/>
            </w:tcBorders>
            <w:gridSpan w:val="12"/>
            <w:shd w:val="clear" w:color="auto" w:fill="CCEEFF"/>
          </w:tcPr>
          <w:p>
            <w:pPr>
              <w:spacing w:after="0" w:line="182"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Exhibit 10.1 filed with our Current Report on Form 8-K on July 27, 2022).</w:t>
              </w:r>
            </w:hyperlink>
          </w:p>
        </w:tc>
        <w:tc>
          <w:tcPr>
            <w:tcW w:w="4880" w:type="dxa"/>
            <w:vAlign w:val="bottom"/>
            <w:tcBorders>
              <w:top w:val="single" w:sz="8" w:color="0000EE"/>
              <w:bottom w:val="single" w:sz="8" w:color="CCEEFF"/>
            </w:tcBorders>
            <w:gridSpan w:val="28"/>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4"/>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w w:val="95"/>
              </w:rPr>
            </w:pPr>
            <w:hyperlink r:id="rId8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7</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360" w:type="dxa"/>
            <w:vAlign w:val="bottom"/>
            <w:gridSpan w:val="46"/>
          </w:tcPr>
          <w:p>
            <w:pPr>
              <w:spacing w:after="0" w:line="202"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Standstill and Voting Agreement dated as of March 19, 2023 by and among Daktronics, Inc., Alta Fox Management, LLC and Connor Haley</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160" w:type="dxa"/>
            <w:vAlign w:val="bottom"/>
            <w:tcBorders>
              <w:top w:val="single" w:sz="8" w:color="0000FF"/>
            </w:tcBorders>
            <w:gridSpan w:val="36"/>
          </w:tcPr>
          <w:p>
            <w:pPr>
              <w:spacing w:after="0" w:line="182"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(Incorporated by reference to Exhibit 10.1 filed with the Current Report on Form 8-K of Daktronics, Inc. filed on March 20,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4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w w:val="95"/>
              </w:rPr>
            </w:pPr>
            <w:hyperlink r:id="rId8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8</w:t>
              </w:r>
            </w:hyperlink>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Credit Agreement dated as of May 11, 2023 by and among Daktronics, Inc. and the other Borrowers; the other Loan Parties to the Credit</w:t>
              </w:r>
            </w:hyperlink>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9740" w:type="dxa"/>
            <w:vAlign w:val="bottom"/>
            <w:tcBorders>
              <w:top w:val="single" w:sz="8" w:color="0000FF"/>
              <w:bottom w:val="single" w:sz="8" w:color="0000FF"/>
            </w:tcBorders>
            <w:gridSpan w:val="23"/>
            <w:shd w:val="clear" w:color="auto" w:fill="CCEEFF"/>
          </w:tcPr>
          <w:p>
            <w:pPr>
              <w:spacing w:after="0" w:line="182"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Agreement; the Lenders party to the Credit Agreement; and JPMorgan Chase Bank, N.A., in its capacity as administrative agent for the</w:t>
              </w:r>
            </w:hyperlink>
          </w:p>
        </w:tc>
        <w:tc>
          <w:tcPr>
            <w:tcW w:w="8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360" w:type="dxa"/>
            <w:vAlign w:val="bottom"/>
            <w:gridSpan w:val="46"/>
            <w:shd w:val="clear" w:color="auto" w:fill="CCEEFF"/>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Lenders ("Credit Agreement") (Incorporated by reference to Exhibit 10.1 filed with the Current Report on Form 8-K of Daktronics, Inc. filed</w:t>
              </w:r>
            </w:hyperlink>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CCEEFF"/>
              <w:right w:val="single" w:sz="8" w:color="CCEEFF"/>
            </w:tcBorders>
            <w:shd w:val="clear" w:color="auto" w:fill="CCEEFF"/>
          </w:tcPr>
          <w:p>
            <w:pPr>
              <w:spacing w:after="0"/>
              <w:rPr>
                <w:sz w:val="15"/>
                <w:szCs w:val="15"/>
                <w:color w:val="auto"/>
              </w:rPr>
            </w:pPr>
          </w:p>
        </w:tc>
        <w:tc>
          <w:tcPr>
            <w:tcW w:w="10180" w:type="dxa"/>
            <w:vAlign w:val="bottom"/>
            <w:tcBorders>
              <w:top w:val="single" w:sz="8" w:color="0000FF"/>
            </w:tcBorders>
            <w:gridSpan w:val="37"/>
            <w:shd w:val="clear" w:color="auto" w:fill="CCEEFF"/>
          </w:tcPr>
          <w:p>
            <w:pPr>
              <w:spacing w:after="0" w:line="18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on May 12, 2023).</w:t>
              </w:r>
            </w:hyperlink>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w w:val="95"/>
              </w:rPr>
            </w:pPr>
            <w:hyperlink r:id="rId8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9</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360" w:type="dxa"/>
            <w:vAlign w:val="bottom"/>
            <w:gridSpan w:val="46"/>
          </w:tcPr>
          <w:p>
            <w:pPr>
              <w:spacing w:after="0" w:line="202"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Pledge and Security Agreement dated as of May 11, 2023 by and among Daktronics, Inc., Daktronics Installation, Inc., and JPMorgan Chase</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140" w:type="dxa"/>
            <w:vAlign w:val="bottom"/>
            <w:tcBorders>
              <w:top w:val="single" w:sz="8" w:color="0000FF"/>
              <w:bottom w:val="single" w:sz="8" w:color="0000FF"/>
            </w:tcBorders>
            <w:gridSpan w:val="35"/>
          </w:tcPr>
          <w:p>
            <w:pPr>
              <w:spacing w:after="0" w:line="182"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Bank, N.A. (Incorporated by reference to Exhibit 10.2 filed with the Current Report on Form 8-K of Daktronics, Inc. filed on May 12, 2023)</w:t>
              </w:r>
            </w:hyperlink>
          </w:p>
        </w:tc>
        <w:tc>
          <w:tcPr>
            <w:tcW w:w="60" w:type="dxa"/>
            <w:vAlign w:val="bottom"/>
            <w:tcBorders>
              <w:bottom w:val="single" w:sz="8" w:color="0000FF"/>
            </w:tcBorders>
            <w:gridSpan w:val="3"/>
          </w:tcPr>
          <w:p>
            <w:pPr>
              <w:jc w:val="right"/>
              <w:ind w:right="60"/>
              <w:spacing w:after="0"/>
              <w:rPr>
                <w:rFonts w:ascii="Times New Roman" w:cs="Times New Roman" w:eastAsia="Times New Roman" w:hAnsi="Times New Roman"/>
                <w:sz w:val="11"/>
                <w:szCs w:val="11"/>
                <w:color w:val="0000FF"/>
                <w:w w:val="70"/>
              </w:rPr>
            </w:pPr>
            <w:hyperlink r:id="rId84">
              <w:r>
                <w:rPr>
                  <w:rFonts w:ascii="Times New Roman" w:cs="Times New Roman" w:eastAsia="Times New Roman" w:hAnsi="Times New Roman"/>
                  <w:sz w:val="11"/>
                  <w:szCs w:val="11"/>
                  <w:color w:val="0000FF"/>
                  <w:w w:val="70"/>
                </w:rPr>
                <w:t>.</w:t>
              </w:r>
            </w:hyperlink>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tcBorders>
              <w:right w:val="single" w:sz="8" w:color="CCEEFF"/>
            </w:tcBorders>
            <w:gridSpan w:val="5"/>
            <w:shd w:val="clear" w:color="auto" w:fill="CCEEFF"/>
          </w:tcPr>
          <w:p>
            <w:pPr>
              <w:ind w:left="20"/>
              <w:spacing w:after="0" w:line="20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Securities Purchase Agreement dated as of May 11, 2023 by and between Daktronics, Inc. and Alta Fox Opportunities Fund, LP</w:t>
              </w:r>
            </w:hyperlink>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right w:val="single" w:sz="8" w:color="CCEEFF"/>
            </w:tcBorders>
            <w:shd w:val="clear" w:color="auto" w:fill="CCEEFF"/>
          </w:tcPr>
          <w:p>
            <w:pPr>
              <w:spacing w:after="0"/>
              <w:rPr>
                <w:sz w:val="15"/>
                <w:szCs w:val="15"/>
                <w:color w:val="auto"/>
              </w:rPr>
            </w:pPr>
          </w:p>
        </w:tc>
        <w:tc>
          <w:tcPr>
            <w:tcW w:w="620" w:type="dxa"/>
            <w:vAlign w:val="bottom"/>
            <w:tcBorders>
              <w:top w:val="single" w:sz="8" w:color="CCEEFF"/>
              <w:right w:val="single" w:sz="8" w:color="CCEEFF"/>
            </w:tcBorders>
            <w:shd w:val="clear" w:color="auto" w:fill="CCEEFF"/>
          </w:tcPr>
          <w:p>
            <w:pPr>
              <w:spacing w:after="0"/>
              <w:rPr>
                <w:sz w:val="15"/>
                <w:szCs w:val="15"/>
                <w:color w:val="auto"/>
              </w:rPr>
            </w:pPr>
          </w:p>
        </w:tc>
        <w:tc>
          <w:tcPr>
            <w:tcW w:w="9220" w:type="dxa"/>
            <w:vAlign w:val="bottom"/>
            <w:tcBorders>
              <w:top w:val="single" w:sz="8" w:color="0000FF"/>
            </w:tcBorders>
            <w:gridSpan w:val="16"/>
            <w:shd w:val="clear" w:color="auto" w:fill="CCEEFF"/>
          </w:tcPr>
          <w:p>
            <w:pPr>
              <w:spacing w:after="0" w:line="182"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(Incorporated by reference to Exhibit 10.3 filed with the Current Report on Form 8-K of Daktronics, Inc. filed on May 12, 2023)</w:t>
              </w:r>
            </w:hyperlink>
          </w:p>
        </w:tc>
        <w:tc>
          <w:tcPr>
            <w:tcW w:w="320" w:type="dxa"/>
            <w:vAlign w:val="bottom"/>
            <w:tcBorders>
              <w:top w:val="single" w:sz="8" w:color="CCEEFF"/>
              <w:right w:val="single" w:sz="8" w:color="CCEEFF"/>
            </w:tcBorders>
            <w:gridSpan w:val="3"/>
            <w:shd w:val="clear" w:color="auto" w:fill="CCEEFF"/>
          </w:tcPr>
          <w:p>
            <w:pPr>
              <w:jc w:val="right"/>
              <w:ind w:right="260"/>
              <w:spacing w:after="0" w:line="182" w:lineRule="exact"/>
              <w:rPr>
                <w:rFonts w:ascii="Times New Roman" w:cs="Times New Roman" w:eastAsia="Times New Roman" w:hAnsi="Times New Roman"/>
                <w:sz w:val="18"/>
                <w:szCs w:val="18"/>
                <w:color w:val="0000FF"/>
                <w:w w:val="87"/>
              </w:rPr>
            </w:pPr>
            <w:hyperlink r:id="rId85">
              <w:r>
                <w:rPr>
                  <w:rFonts w:ascii="Times New Roman" w:cs="Times New Roman" w:eastAsia="Times New Roman" w:hAnsi="Times New Roman"/>
                  <w:sz w:val="18"/>
                  <w:szCs w:val="18"/>
                  <w:color w:val="0000FF"/>
                  <w:w w:val="87"/>
                </w:rPr>
                <w:t>.</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4"/>
            <w:shd w:val="clear" w:color="auto" w:fill="CCEEFF"/>
          </w:tcPr>
          <w:p>
            <w:pPr>
              <w:spacing w:after="0"/>
              <w:rPr>
                <w:sz w:val="15"/>
                <w:szCs w:val="15"/>
                <w:color w:val="auto"/>
              </w:rPr>
            </w:pPr>
          </w:p>
        </w:tc>
        <w:tc>
          <w:tcPr>
            <w:tcW w:w="12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c>
          <w:tcPr>
            <w:tcW w:w="120" w:type="dxa"/>
            <w:vAlign w:val="bottom"/>
            <w:tcBorders>
              <w:top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CCEEFF"/>
              <w:right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46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40" w:type="dxa"/>
            <w:vAlign w:val="bottom"/>
            <w:gridSpan w:val="4"/>
          </w:tcPr>
          <w:p>
            <w:pPr>
              <w:ind w:left="20"/>
              <w:spacing w:after="0" w:line="202" w:lineRule="exact"/>
              <w:rPr>
                <w:rFonts w:ascii="Times New Roman" w:cs="Times New Roman" w:eastAsia="Times New Roman" w:hAnsi="Times New Roman"/>
                <w:sz w:val="18"/>
                <w:szCs w:val="18"/>
                <w:color w:val="0000FF"/>
                <w:w w:val="93"/>
              </w:rPr>
            </w:pPr>
            <w:hyperlink r:id="rId86">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620" w:type="dxa"/>
            <w:vAlign w:val="bottom"/>
          </w:tcPr>
          <w:p>
            <w:pPr>
              <w:spacing w:after="0"/>
              <w:rPr>
                <w:sz w:val="17"/>
                <w:szCs w:val="17"/>
                <w:color w:val="auto"/>
              </w:rPr>
            </w:pPr>
          </w:p>
        </w:tc>
        <w:tc>
          <w:tcPr>
            <w:tcW w:w="10360" w:type="dxa"/>
            <w:vAlign w:val="bottom"/>
            <w:gridSpan w:val="46"/>
          </w:tcPr>
          <w:p>
            <w:pPr>
              <w:spacing w:after="0" w:line="202"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Senior Secured Convertible Note dated as of May 11, 2023 issued by Daktronics, Inc. to Alta Fox Opportunities Fund, LP (Incorporated by</w:t>
              </w:r>
            </w:hyperlink>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2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reference to Exhibit 10.4 filed with the Current Report on Form 8-K of Daktronics, Inc. filed on May 12, 2023).</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60" w:type="dxa"/>
            <w:vAlign w:val="bottom"/>
            <w:tcBorders>
              <w:top w:val="single" w:sz="8" w:color="0000FF"/>
            </w:tcBorders>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420" w:type="dxa"/>
            <w:vAlign w:val="bottom"/>
            <w:tcBorders>
              <w:right w:val="single" w:sz="8" w:color="CCEEFF"/>
            </w:tcBorders>
            <w:gridSpan w:val="3"/>
            <w:shd w:val="clear" w:color="auto" w:fill="CCEEFF"/>
          </w:tcPr>
          <w:p>
            <w:pPr>
              <w:spacing w:after="0" w:line="202" w:lineRule="exact"/>
              <w:rPr>
                <w:rFonts w:ascii="Times New Roman" w:cs="Times New Roman" w:eastAsia="Times New Roman" w:hAnsi="Times New Roman"/>
                <w:sz w:val="18"/>
                <w:szCs w:val="18"/>
                <w:color w:val="0000FF"/>
                <w:w w:val="93"/>
              </w:rPr>
            </w:pPr>
            <w:hyperlink r:id="rId87">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12</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Pledge and Security Agreement dated as of May 11, 2023 by and among Daktronics, Inc., Daktronics Installation, Inc., and Alta Fox</w:t>
              </w:r>
            </w:hyperlink>
          </w:p>
        </w:tc>
      </w:tr>
      <w:tr>
        <w:trPr>
          <w:trHeight w:val="20"/>
        </w:trPr>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60" w:type="dxa"/>
            <w:vAlign w:val="bottom"/>
            <w:gridSpan w:val="6"/>
            <w:shd w:val="clear" w:color="auto" w:fill="0000FF"/>
          </w:tcPr>
          <w:p>
            <w:pPr>
              <w:spacing w:after="0" w:line="20" w:lineRule="exact"/>
              <w:rPr>
                <w:sz w:val="1"/>
                <w:szCs w:val="1"/>
                <w:color w:val="auto"/>
              </w:rPr>
            </w:pPr>
          </w:p>
        </w:tc>
        <w:tc>
          <w:tcPr>
            <w:tcW w:w="4040" w:type="dxa"/>
            <w:vAlign w:val="bottom"/>
            <w:gridSpan w:val="4"/>
            <w:shd w:val="clear" w:color="auto" w:fill="0000FF"/>
          </w:tcPr>
          <w:p>
            <w:pPr>
              <w:spacing w:after="0" w:line="20" w:lineRule="exact"/>
              <w:rPr>
                <w:sz w:val="1"/>
                <w:szCs w:val="1"/>
                <w:color w:val="auto"/>
              </w:rPr>
            </w:pPr>
          </w:p>
        </w:tc>
        <w:tc>
          <w:tcPr>
            <w:tcW w:w="340" w:type="dxa"/>
            <w:vAlign w:val="bottom"/>
            <w:tcBorders>
              <w:right w:val="single" w:sz="8" w:color="CCEEFF"/>
            </w:tcBorders>
            <w:gridSpan w:val="4"/>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gridSpan w:val="4"/>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c>
          <w:tcPr>
            <w:tcW w:w="120" w:type="dxa"/>
            <w:vAlign w:val="bottom"/>
            <w:gridSpan w:val="6"/>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620" w:type="dxa"/>
            <w:vAlign w:val="bottom"/>
            <w:tcBorders>
              <w:bottom w:val="single" w:sz="8" w:color="CCEEFF"/>
              <w:right w:val="single" w:sz="8" w:color="CCEEFF"/>
            </w:tcBorders>
            <w:shd w:val="clear" w:color="auto" w:fill="CCEEFF"/>
          </w:tcPr>
          <w:p>
            <w:pPr>
              <w:spacing w:after="0"/>
              <w:rPr>
                <w:sz w:val="15"/>
                <w:szCs w:val="15"/>
                <w:color w:val="auto"/>
              </w:rPr>
            </w:pPr>
          </w:p>
        </w:tc>
        <w:tc>
          <w:tcPr>
            <w:tcW w:w="9880" w:type="dxa"/>
            <w:vAlign w:val="bottom"/>
            <w:tcBorders>
              <w:bottom w:val="single" w:sz="8" w:color="0000FF"/>
            </w:tcBorders>
            <w:gridSpan w:val="26"/>
            <w:shd w:val="clear" w:color="auto" w:fill="CCEEFF"/>
          </w:tcPr>
          <w:p>
            <w:pPr>
              <w:spacing w:after="0" w:line="182"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Opportunities Fund, LP (Incorporated by reference to Exhibit 10.5 filed with the Current Report on Form 8-K of Daktronics, Inc. filed on</w:t>
              </w:r>
            </w:hyperlink>
          </w:p>
        </w:tc>
        <w:tc>
          <w:tcPr>
            <w:tcW w:w="480" w:type="dxa"/>
            <w:vAlign w:val="bottom"/>
            <w:tcBorders>
              <w:bottom w:val="single" w:sz="8" w:color="CCEEFF"/>
            </w:tcBorders>
            <w:gridSpan w:val="20"/>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360" w:type="dxa"/>
            <w:vAlign w:val="bottom"/>
            <w:gridSpan w:val="46"/>
            <w:shd w:val="clear" w:color="auto" w:fill="CCEEFF"/>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May 12, 2023).</w:t>
              </w:r>
            </w:hyperlink>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060" w:type="dxa"/>
            <w:vAlign w:val="bottom"/>
            <w:gridSpan w:val="5"/>
          </w:tcPr>
          <w:p>
            <w:pPr>
              <w:ind w:left="20"/>
              <w:spacing w:after="0" w:line="20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0360" w:type="dxa"/>
            <w:vAlign w:val="bottom"/>
            <w:gridSpan w:val="46"/>
          </w:tcPr>
          <w:p>
            <w:pPr>
              <w:spacing w:after="0" w:line="20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Registration Rights Agreement dated as of May 11, 2023 by and between Daktronics, Inc. and Alta Fox Opportunities Fund, LP</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(Incorporated by reference to Exhibit 10.6 filed with the Current Report on Form 8-K of Daktronics, Inc. filed on May 12, 2023)</w:t>
              </w:r>
            </w:hyperlink>
          </w:p>
        </w:tc>
        <w:tc>
          <w:tcPr>
            <w:tcW w:w="340" w:type="dxa"/>
            <w:vAlign w:val="bottom"/>
            <w:gridSpan w:val="4"/>
          </w:tcPr>
          <w:p>
            <w:pPr>
              <w:jc w:val="right"/>
              <w:ind w:right="260"/>
              <w:spacing w:after="0" w:line="18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w:t>
              </w:r>
            </w:hyperlink>
          </w:p>
        </w:tc>
        <w:tc>
          <w:tcPr>
            <w:tcW w:w="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7"/>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tcBorders>
              <w:right w:val="single" w:sz="8" w:color="CCEEFF"/>
            </w:tcBorders>
            <w:gridSpan w:val="5"/>
            <w:shd w:val="clear" w:color="auto" w:fill="CCEEFF"/>
          </w:tcPr>
          <w:p>
            <w:pPr>
              <w:ind w:left="20"/>
              <w:spacing w:after="0" w:line="20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10360" w:type="dxa"/>
            <w:vAlign w:val="bottom"/>
            <w:gridSpan w:val="46"/>
            <w:shd w:val="clear" w:color="auto" w:fill="CCEEFF"/>
          </w:tcPr>
          <w:p>
            <w:pPr>
              <w:spacing w:after="0" w:line="20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Intercreditor Agreement dated as of May 11, 2023 by and among Daktronics, Inc., JPMorgan Chase Bank, N.A., and Alta Fox Opportunities</w:t>
              </w:r>
            </w:hyperlink>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00" w:type="dxa"/>
            <w:vAlign w:val="bottom"/>
            <w:tcBorders>
              <w:top w:val="single" w:sz="8" w:color="0000FF"/>
              <w:bottom w:val="single" w:sz="8" w:color="0000FF"/>
            </w:tcBorders>
            <w:gridSpan w:val="29"/>
            <w:shd w:val="clear" w:color="auto" w:fill="CCEEFF"/>
          </w:tcPr>
          <w:p>
            <w:pPr>
              <w:spacing w:after="0" w:line="182"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Fund, LP (Incorporated by reference to Exhibit 10.7 filed with the Current Report on Form 8-K of Daktronics, Inc. filed on May 12, 2023).</w:t>
              </w:r>
            </w:hyperlink>
          </w:p>
        </w:tc>
        <w:tc>
          <w:tcPr>
            <w:tcW w:w="100" w:type="dxa"/>
            <w:vAlign w:val="bottom"/>
            <w:tcBorders>
              <w:top w:val="single" w:sz="8" w:color="0000FF"/>
              <w:bottom w:val="single" w:sz="8" w:color="CCEEFF"/>
            </w:tcBorders>
            <w:gridSpan w:val="4"/>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6"/>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1060" w:type="dxa"/>
            <w:vAlign w:val="bottom"/>
            <w:gridSpan w:val="5"/>
          </w:tcPr>
          <w:p>
            <w:pPr>
              <w:ind w:left="20"/>
              <w:spacing w:after="0" w:line="20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10360" w:type="dxa"/>
            <w:vAlign w:val="bottom"/>
            <w:gridSpan w:val="46"/>
          </w:tcPr>
          <w:p>
            <w:pPr>
              <w:spacing w:after="0" w:line="20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Letter Amendment dated as of August 15, 2024 by and among Daktronics, Inc. and the other Borrowers; the other Loan Parties to the Credit</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22"/>
          </w:tcPr>
          <w:p>
            <w:pPr>
              <w:spacing w:after="0" w:line="182"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Agreement; the Lenders party to the Credit Agreement; and JPMorgan Chase Bank, N.A., in its capacity as administrative agent for the</w:t>
              </w:r>
            </w:hyperlink>
          </w:p>
        </w:tc>
        <w:tc>
          <w:tcPr>
            <w:tcW w:w="360" w:type="dxa"/>
            <w:vAlign w:val="bottom"/>
            <w:tcBorders>
              <w:top w:val="single" w:sz="8" w:color="0000FF"/>
            </w:tcBorders>
            <w:gridSpan w:val="10"/>
          </w:tcPr>
          <w:p>
            <w:pPr>
              <w:spacing w:after="0"/>
              <w:rPr>
                <w:sz w:val="15"/>
                <w:szCs w:val="15"/>
                <w:color w:val="auto"/>
              </w:rPr>
            </w:pPr>
          </w:p>
        </w:tc>
        <w:tc>
          <w:tcPr>
            <w:tcW w:w="120" w:type="dxa"/>
            <w:vAlign w:val="bottom"/>
            <w:gridSpan w:val="6"/>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360" w:type="dxa"/>
            <w:vAlign w:val="bottom"/>
            <w:gridSpan w:val="46"/>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Lenders to Credit Agreement (Incorporated by reference to Exhibit 10.1 filed with the Current Report on Form 8-K of Daktronics, Inc. filed</w:t>
              </w:r>
            </w:hyperlink>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6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on August 29, 2024).</w:t>
              </w:r>
            </w:hyperlink>
          </w:p>
        </w:tc>
        <w:tc>
          <w:tcPr>
            <w:tcW w:w="140" w:type="dxa"/>
            <w:vAlign w:val="bottom"/>
            <w:gridSpan w:val="7"/>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34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36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u w:val="single" w:color="auto"/>
                <w:color w:val="0000EE"/>
              </w:rPr>
              <w:t>Certification of the Chief Executive Officer required by Rule 13a-14(a) or Rule 15d-14(a) under the Securities Exchange Act of 1934, as</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620" w:type="dxa"/>
            <w:vAlign w:val="bottom"/>
            <w:tcBorders>
              <w:top w:val="single" w:sz="8" w:color="CCEEFF"/>
              <w:right w:val="single" w:sz="8" w:color="CCEEFF"/>
            </w:tcBorders>
            <w:shd w:val="clear" w:color="auto" w:fill="CCEEFF"/>
          </w:tcPr>
          <w:p>
            <w:pPr>
              <w:spacing w:after="0"/>
              <w:rPr>
                <w:sz w:val="16"/>
                <w:szCs w:val="16"/>
                <w:color w:val="auto"/>
              </w:rPr>
            </w:pPr>
          </w:p>
        </w:tc>
        <w:tc>
          <w:tcPr>
            <w:tcW w:w="10320" w:type="dxa"/>
            <w:vAlign w:val="bottom"/>
            <w:tcBorders>
              <w:top w:val="single" w:sz="8" w:color="CCEEFF"/>
            </w:tcBorders>
            <w:gridSpan w:val="44"/>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adopted pursuant to Section 302 of the Sarbanes-Oxley Act of 2002. (1)</w:t>
            </w:r>
            <w:r>
              <w:rPr>
                <w:rFonts w:ascii="Times New Roman" w:cs="Times New Roman" w:eastAsia="Times New Roman" w:hAnsi="Times New Roman"/>
                <w:sz w:val="21"/>
                <w:szCs w:val="21"/>
                <w:u w:val="single" w:color="auto"/>
                <w:color w:val="0000EE"/>
                <w:vertAlign w:val="superscript"/>
              </w:rPr>
              <w:t>1</w:t>
            </w:r>
          </w:p>
        </w:tc>
        <w:tc>
          <w:tcPr>
            <w:tcW w:w="40" w:type="dxa"/>
            <w:vAlign w:val="bottom"/>
            <w:tcBorders>
              <w:top w:val="single" w:sz="8" w:color="CCEEFF"/>
            </w:tcBorders>
            <w:gridSpan w:val="2"/>
            <w:shd w:val="clear" w:color="auto" w:fill="CCEEFF"/>
          </w:tcPr>
          <w:p>
            <w:pPr>
              <w:spacing w:after="0"/>
              <w:rPr>
                <w:sz w:val="16"/>
                <w:szCs w:val="16"/>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CCEEFF"/>
              <w:right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360" w:type="dxa"/>
            <w:vAlign w:val="bottom"/>
            <w:gridSpan w:val="46"/>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13a-14(a) or Rule 15d-14(a) under the Securities Exchange Act of 1934, as</w:t>
            </w:r>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0" w:type="dxa"/>
            <w:vAlign w:val="bottom"/>
            <w:tcBorders>
              <w:top w:val="single" w:sz="8" w:color="0000EE"/>
            </w:tcBorders>
            <w:gridSpan w:val="38"/>
          </w:tcPr>
          <w:p>
            <w:pPr>
              <w:spacing w:after="0" w:line="182"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 (1)</w:t>
            </w:r>
          </w:p>
        </w:tc>
        <w:tc>
          <w:tcPr>
            <w:tcW w:w="160" w:type="dxa"/>
            <w:vAlign w:val="bottom"/>
            <w:gridSpan w:val="8"/>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360" w:type="dxa"/>
            <w:vAlign w:val="bottom"/>
            <w:gridSpan w:val="4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906 of the Sarbanes-Oxley Act of 2002 (18 U.S.C. Section 1350). (1)</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46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360" w:type="dxa"/>
            <w:vAlign w:val="bottom"/>
            <w:gridSpan w:val="46"/>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Section 906 of the Sarbanes-Oxley Act of 2002 (18 U.S.C. Section 1350). (1)</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540" w:type="dxa"/>
            <w:vAlign w:val="bottom"/>
            <w:tcBorders>
              <w:right w:val="single" w:sz="8" w:color="0000EE"/>
            </w:tcBorders>
            <w:gridSpan w:val="19"/>
            <w:shd w:val="clear" w:color="auto" w:fill="0000EE"/>
          </w:tcPr>
          <w:p>
            <w:pPr>
              <w:spacing w:after="0" w:line="20" w:lineRule="exact"/>
              <w:rPr>
                <w:sz w:val="1"/>
                <w:szCs w:val="1"/>
                <w:color w:val="auto"/>
              </w:rPr>
            </w:pPr>
          </w:p>
        </w:tc>
        <w:tc>
          <w:tcPr>
            <w:tcW w:w="820" w:type="dxa"/>
            <w:vAlign w:val="bottom"/>
            <w:gridSpan w:val="27"/>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10360" w:type="dxa"/>
            <w:vAlign w:val="bottom"/>
            <w:gridSpan w:val="4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gridSpan w:val="4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56"/>
        </w:trPr>
        <w:tc>
          <w:tcPr>
            <w:tcW w:w="20" w:type="dxa"/>
            <w:vAlign w:val="bottom"/>
          </w:tcPr>
          <w:p>
            <w:pPr>
              <w:spacing w:after="0"/>
              <w:rPr>
                <w:sz w:val="22"/>
                <w:szCs w:val="22"/>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0360" w:type="dxa"/>
            <w:vAlign w:val="bottom"/>
            <w:gridSpan w:val="4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6"/>
        </w:trPr>
        <w:tc>
          <w:tcPr>
            <w:tcW w:w="20" w:type="dxa"/>
            <w:vAlign w:val="bottom"/>
          </w:tcPr>
          <w:p>
            <w:pPr>
              <w:spacing w:after="0"/>
              <w:rPr>
                <w:sz w:val="22"/>
                <w:szCs w:val="22"/>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10360" w:type="dxa"/>
            <w:vAlign w:val="bottom"/>
            <w:gridSpan w:val="4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6"/>
        </w:trPr>
        <w:tc>
          <w:tcPr>
            <w:tcW w:w="20" w:type="dxa"/>
            <w:vAlign w:val="bottom"/>
          </w:tcPr>
          <w:p>
            <w:pPr>
              <w:spacing w:after="0"/>
              <w:rPr>
                <w:sz w:val="22"/>
                <w:szCs w:val="22"/>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10360" w:type="dxa"/>
            <w:vAlign w:val="bottom"/>
            <w:gridSpan w:val="4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6"/>
        </w:trPr>
        <w:tc>
          <w:tcPr>
            <w:tcW w:w="20" w:type="dxa"/>
            <w:vAlign w:val="bottom"/>
          </w:tcPr>
          <w:p>
            <w:pPr>
              <w:spacing w:after="0"/>
              <w:rPr>
                <w:sz w:val="22"/>
                <w:szCs w:val="22"/>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10360" w:type="dxa"/>
            <w:vAlign w:val="bottom"/>
            <w:gridSpan w:val="4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6"/>
        </w:trPr>
        <w:tc>
          <w:tcPr>
            <w:tcW w:w="20" w:type="dxa"/>
            <w:vAlign w:val="bottom"/>
          </w:tcPr>
          <w:p>
            <w:pPr>
              <w:spacing w:after="0"/>
              <w:rPr>
                <w:sz w:val="22"/>
                <w:szCs w:val="22"/>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10360" w:type="dxa"/>
            <w:vAlign w:val="bottom"/>
            <w:gridSpan w:val="4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 w:lineRule="exact"/>
        <w:rPr>
          <w:sz w:val="20"/>
          <w:szCs w:val="20"/>
          <w:color w:val="auto"/>
        </w:rPr>
      </w:pPr>
    </w:p>
    <w:p>
      <w:pPr>
        <w:ind w:left="1040" w:hanging="1014"/>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49" w:lineRule="exact"/>
        <w:rPr>
          <w:rFonts w:ascii="Times New Roman" w:cs="Times New Roman" w:eastAsia="Times New Roman" w:hAnsi="Times New Roman"/>
          <w:sz w:val="18"/>
          <w:szCs w:val="18"/>
          <w:color w:val="auto"/>
        </w:rPr>
      </w:pPr>
    </w:p>
    <w:p>
      <w:pPr>
        <w:ind w:left="1360" w:hanging="322"/>
        <w:spacing w:after="0"/>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6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14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Daktronics, Inc.</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Date: December 4,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October 26, 2024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4, 2024</w:t>
      </w:r>
    </w:p>
    <w:p>
      <w:pPr>
        <w:sectPr>
          <w:pgSz w:w="11900" w:h="16838" w:orient="portrait"/>
          <w:cols w:equalWidth="0" w:num="1">
            <w:col w:w="11240"/>
          </w:cols>
          <w:pgMar w:left="320" w:top="93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October 26, 2024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4, 2024</w:t>
      </w:r>
    </w:p>
    <w:p>
      <w:pPr>
        <w:sectPr>
          <w:pgSz w:w="11900" w:h="16838" w:orient="portrait"/>
          <w:cols w:equalWidth="0" w:num="1">
            <w:col w:w="11240"/>
          </w:cols>
          <w:pgMar w:left="320" w:top="93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October 26, 2024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4, 2024</w:t>
      </w:r>
    </w:p>
    <w:p>
      <w:pPr>
        <w:sectPr>
          <w:pgSz w:w="11900" w:h="16838" w:orient="portrait"/>
          <w:cols w:equalWidth="0" w:num="1">
            <w:col w:w="11240"/>
          </w:cols>
          <w:pgMar w:left="320" w:top="93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October 26, 2024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4, 2024</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04"/>
    </w:lvl>
    <w:lvl w:ilvl="1">
      <w:lvlJc w:val="left"/>
      <w:lvlText w:val="(%2)"/>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91"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63" Type="http://schemas.openxmlformats.org/officeDocument/2006/relationships/hyperlink" Target="https://www.sec.gov/Archives/edgar/data/915779/000091577918000119/exhibit31.htm" TargetMode="External"/><Relationship Id="rId64" Type="http://schemas.openxmlformats.org/officeDocument/2006/relationships/hyperlink" Target="http://www.sec.gov/Archives/edgar/data/915779/000091577918000119/exhibit31.htm" TargetMode="External"/><Relationship Id="rId65" Type="http://schemas.openxmlformats.org/officeDocument/2006/relationships/hyperlink" Target="https://www.sec.gov/Archives/edgar/data/915779/000091577923000007/exhibit31.htm" TargetMode="External"/><Relationship Id="rId66" Type="http://schemas.openxmlformats.org/officeDocument/2006/relationships/hyperlink" Target="https://www.sec.gov/Archives/edgar/data/915779/000091577918000089/dakt_20181116x8-kxex41.htm" TargetMode="External"/><Relationship Id="rId67" Type="http://schemas.openxmlformats.org/officeDocument/2006/relationships/hyperlink" Target="http://www.sec.gov/Archives/edgar/data/915779/000091577918000089/dakt_20181116x8-kxex41.htm" TargetMode="External"/><Relationship Id="rId68" Type="http://schemas.openxmlformats.org/officeDocument/2006/relationships/hyperlink" Target="https://www.sec.gov/Archives/edgar/data/915779/000143774921027158/ex_309612.htm" TargetMode="External"/><Relationship Id="rId69" Type="http://schemas.openxmlformats.org/officeDocument/2006/relationships/hyperlink" Target="http://www.sec.gov/Archives/edgar/data/915779/000143774921027158/ex_309612.htm" TargetMode="External"/><Relationship Id="rId70" Type="http://schemas.openxmlformats.org/officeDocument/2006/relationships/hyperlink" Target="https://www.sec.gov/Archives/edgar/data/915779/000091577924000145/exhibit43_2ndamendmenttori.htm" TargetMode="External"/><Relationship Id="rId71" Type="http://schemas.openxmlformats.org/officeDocument/2006/relationships/hyperlink" Target="https://www.sec.gov/Archives/edgar/data/915779/000091577920000033/dakt-20200502_defx14a.htm" TargetMode="External"/><Relationship Id="rId72" Type="http://schemas.openxmlformats.org/officeDocument/2006/relationships/hyperlink" Target="http://www.sec.gov/Archives/edgar/data/915779/000091577920000033/dakt-20200502_defx14a.htm" TargetMode="External"/><Relationship Id="rId73" Type="http://schemas.openxmlformats.org/officeDocument/2006/relationships/hyperlink" Target="https://www.sec.gov/Archives/edgar/data/915779/000091577920000054/daktex1028-ksom2020.htm" TargetMode="External"/><Relationship Id="rId74" Type="http://schemas.openxmlformats.org/officeDocument/2006/relationships/hyperlink" Target="http://www.sec.gov/Archives/edgar/data/915779/000091577920000054/daktex1028-ksom2020.htm" TargetMode="External"/><Relationship Id="rId75" Type="http://schemas.openxmlformats.org/officeDocument/2006/relationships/hyperlink" Target="https://www.sec.gov/Archives/edgar/data/915779/000091577920000054/daktex1038-ksom2020.htm" TargetMode="External"/><Relationship Id="rId76" Type="http://schemas.openxmlformats.org/officeDocument/2006/relationships/hyperlink" Target="http://www.sec.gov/Archives/edgar/data/915779/000091577920000054/daktex1038-ksom2020.htm" TargetMode="External"/><Relationship Id="rId77" Type="http://schemas.openxmlformats.org/officeDocument/2006/relationships/hyperlink" Target="https://www.sec.gov/Archives/edgar/data/915779/000091577920000054/daktex1048-ksom2020.htm" TargetMode="External"/><Relationship Id="rId78" Type="http://schemas.openxmlformats.org/officeDocument/2006/relationships/hyperlink" Target="http://www.sec.gov/Archives/edgar/data/915779/000091577920000054/daktex1048-ksom2020.htm" TargetMode="External"/><Relationship Id="rId79" Type="http://schemas.openxmlformats.org/officeDocument/2006/relationships/hyperlink" Target="https://www.sec.gov/Archives/edgar/data/915779/000091577920000054/daktex1058-ksom2020.htm" TargetMode="External"/><Relationship Id="rId80" Type="http://schemas.openxmlformats.org/officeDocument/2006/relationships/hyperlink" Target="http://www.sec.gov/Archives/edgar/data/915779/000091577920000054/daktex1058-ksom2020.htm" TargetMode="External"/><Relationship Id="rId81" Type="http://schemas.openxmlformats.org/officeDocument/2006/relationships/hyperlink" Target="https://www.sec.gov/Archives/edgar/data/915779/000091577922000010/exhibit101_071822.htm" TargetMode="External"/><Relationship Id="rId82" Type="http://schemas.openxmlformats.org/officeDocument/2006/relationships/hyperlink" Target="https://www.sec.gov/Archives/edgar/data/915779/000091577923000022/seniorsecondliensecuredcon.htm" TargetMode="External"/><Relationship Id="rId83" Type="http://schemas.openxmlformats.org/officeDocument/2006/relationships/hyperlink" Target="https://www.sec.gov/Archives/edgar/data/915779/000091577923000029/exhibit101toformexecuted.htm" TargetMode="External"/><Relationship Id="rId84" Type="http://schemas.openxmlformats.org/officeDocument/2006/relationships/hyperlink" Target="https://www.sec.gov/Archives/edgar/data/915779/000091577923000029/exhibit102toformexecuted.htm" TargetMode="External"/><Relationship Id="rId85" Type="http://schemas.openxmlformats.org/officeDocument/2006/relationships/hyperlink" Target="https://www.sec.gov/Archives/edgar/data/915779/000091577923000029/exhibit103toform_execute.htm" TargetMode="External"/><Relationship Id="rId86" Type="http://schemas.openxmlformats.org/officeDocument/2006/relationships/hyperlink" Target="https://www.sec.gov/Archives/edgar/data/915779/000091577923000029/exhibit104toform_execute.htm" TargetMode="External"/><Relationship Id="rId87" Type="http://schemas.openxmlformats.org/officeDocument/2006/relationships/hyperlink" Target="https://www.sec.gov/Archives/edgar/data/915779/000091577923000029/exhibit105toform_execute.htm" TargetMode="External"/><Relationship Id="rId88" Type="http://schemas.openxmlformats.org/officeDocument/2006/relationships/hyperlink" Target="https://www.sec.gov/Archives/edgar/data/915779/000091577923000029/exhibit106toform_execute.htm" TargetMode="External"/><Relationship Id="rId89" Type="http://schemas.openxmlformats.org/officeDocument/2006/relationships/hyperlink" Target="https://www.sec.gov/Archives/edgar/data/915779/000091577923000029/exhibit107toform_execute.htm" TargetMode="External"/><Relationship Id="rId90" Type="http://schemas.openxmlformats.org/officeDocument/2006/relationships/hyperlink" Target="https://www.sec.gov/Archives/edgar/data/915779/000091577924000072/exhibit101letter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2024-12-04T15:04:32Z</dcterms:created>
  <dcterms:modified xsi:type="dcterms:W3CDTF">2024-12-04T15:04:32Z</dcterms:modified>
</cp:coreProperties>
</file>