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880" w:hanging="387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October 28, 2023</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3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4" w:right="31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spacing w:after="0" w:line="1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November 27, 2023 was 46,180,166.</w:t>
      </w:r>
    </w:p>
    <w:p>
      <w:pPr>
        <w:sectPr>
          <w:pgSz w:w="11900" w:h="16838" w:orient="portrait"/>
          <w:cols w:equalWidth="0" w:num="1">
            <w:col w:w="11260"/>
          </w:cols>
          <w:pgMar w:left="320" w:top="1364"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October 28,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140" w:type="dxa"/>
            <w:vAlign w:val="bottom"/>
            <w:gridSpan w:val="22"/>
            <w:vMerge w:val="continue"/>
          </w:tcPr>
          <w:p>
            <w:pPr>
              <w:spacing w:after="0"/>
              <w:rPr>
                <w:sz w:val="16"/>
                <w:szCs w:val="16"/>
                <w:color w:val="auto"/>
              </w:rPr>
            </w:pPr>
          </w:p>
        </w:tc>
        <w:tc>
          <w:tcPr>
            <w:tcW w:w="400" w:type="dxa"/>
            <w:vAlign w:val="bottom"/>
            <w:gridSpan w:val="4"/>
          </w:tcPr>
          <w:p>
            <w:pPr>
              <w:jc w:val="center"/>
              <w:ind w:left="15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20" w:type="dxa"/>
            <w:vAlign w:val="bottom"/>
            <w:gridSpan w:val="11"/>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October 28, 2023 and April 29, 2023</w:t>
            </w: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October 28, 2023 and</w:t>
            </w:r>
          </w:p>
        </w:tc>
        <w:tc>
          <w:tcPr>
            <w:tcW w:w="720" w:type="dxa"/>
            <w:vAlign w:val="bottom"/>
            <w:gridSpan w:val="4"/>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40" w:type="dxa"/>
            <w:vAlign w:val="bottom"/>
            <w:tcBorders>
              <w:bottom w:val="single" w:sz="8" w:color="0000FF"/>
            </w:tcBorders>
            <w:gridSpan w:val="17"/>
            <w:vMerge w:val="continue"/>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October 29, 2022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October</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60" w:type="dxa"/>
            <w:vAlign w:val="bottom"/>
            <w:gridSpan w:val="21"/>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28, 2023 and October 29, 2022</w:t>
            </w:r>
          </w:p>
        </w:tc>
        <w:tc>
          <w:tcPr>
            <w:tcW w:w="164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1720" w:type="dxa"/>
            <w:vAlign w:val="bottom"/>
            <w:tcBorders>
              <w:top w:val="single" w:sz="8" w:color="0000FF"/>
              <w:bottom w:val="single" w:sz="8" w:color="0000FF"/>
            </w:tcBorders>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rPr>
                <w:sz w:val="17"/>
                <w:szCs w:val="17"/>
                <w:color w:val="auto"/>
              </w:rPr>
            </w:pPr>
          </w:p>
        </w:tc>
        <w:tc>
          <w:tcPr>
            <w:tcW w:w="1680" w:type="dxa"/>
            <w:vAlign w:val="bottom"/>
            <w:tcBorders>
              <w:top w:val="single" w:sz="8" w:color="0000FF"/>
              <w:bottom w:val="single" w:sz="8" w:color="0000FF"/>
            </w:tcBorders>
            <w:gridSpan w:val="2"/>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3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and Six Months Ended October 28, 2023</w:t>
            </w:r>
          </w:p>
        </w:tc>
        <w:tc>
          <w:tcPr>
            <w:tcW w:w="320" w:type="dxa"/>
            <w:vAlign w:val="bottom"/>
            <w:gridSpan w:val="3"/>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40" w:type="dxa"/>
            <w:vAlign w:val="bottom"/>
            <w:tcBorders>
              <w:bottom w:val="single" w:sz="8" w:color="0000FF"/>
            </w:tcBorders>
            <w:gridSpan w:val="18"/>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8"/>
              </w:rPr>
              <w:t>and October 29, 2022</w:t>
            </w:r>
          </w:p>
        </w:tc>
        <w:tc>
          <w:tcPr>
            <w:tcW w:w="280" w:type="dxa"/>
            <w:vAlign w:val="bottom"/>
          </w:tcPr>
          <w:p>
            <w:pPr>
              <w:spacing w:after="0"/>
              <w:rPr>
                <w:sz w:val="17"/>
                <w:szCs w:val="17"/>
                <w:color w:val="auto"/>
              </w:rPr>
            </w:pPr>
          </w:p>
        </w:tc>
        <w:tc>
          <w:tcPr>
            <w:tcW w:w="20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86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October 28, 2023 and October 29, 2022</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20" w:type="dxa"/>
            <w:vAlign w:val="bottom"/>
            <w:tcBorders>
              <w:bottom w:val="single" w:sz="8" w:color="0000FF"/>
            </w:tcBorders>
            <w:gridSpan w:val="20"/>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3"/>
            <w:vMerge w:val="continue"/>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00" w:type="dxa"/>
            <w:vAlign w:val="bottom"/>
            <w:gridSpan w:val="5"/>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80" w:type="dxa"/>
            <w:vAlign w:val="bottom"/>
            <w:gridSpan w:val="9"/>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700" w:type="dxa"/>
            <w:vAlign w:val="bottom"/>
            <w:gridSpan w:val="17"/>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820" w:type="dxa"/>
            <w:vAlign w:val="bottom"/>
            <w:tcBorders>
              <w:top w:val="single" w:sz="8" w:color="0000FF"/>
            </w:tcBorders>
            <w:gridSpan w:val="7"/>
          </w:tcPr>
          <w:p>
            <w:pPr>
              <w:spacing w:after="0"/>
              <w:rPr>
                <w:sz w:val="18"/>
                <w:szCs w:val="18"/>
                <w:color w:val="auto"/>
              </w:rPr>
            </w:pPr>
          </w:p>
        </w:tc>
        <w:tc>
          <w:tcPr>
            <w:tcW w:w="2000" w:type="dxa"/>
            <w:vAlign w:val="bottom"/>
            <w:gridSpan w:val="5"/>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80" w:type="dxa"/>
            <w:vAlign w:val="bottom"/>
            <w:gridSpan w:val="14"/>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7820" w:type="dxa"/>
            <w:vAlign w:val="bottom"/>
            <w:gridSpan w:val="1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3400" w:type="dxa"/>
            <w:vAlign w:val="bottom"/>
          </w:tcPr>
          <w:p>
            <w:pPr>
              <w:spacing w:after="0"/>
              <w:rPr>
                <w:sz w:val="19"/>
                <w:szCs w:val="19"/>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4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 thousands, except per share data) (unaudited)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3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149,448</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4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50"/>
        </w:trPr>
        <w:tc>
          <w:tcPr>
            <w:tcW w:w="3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47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27,928</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16,867</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468,104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67,522</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91,549</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210,163</w:t>
            </w: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no par value, authorized 50,000 shares; no shares issued and outstanding</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authorized 115,000,000 shares; 46,022,885 and 45,488,595 shares issued at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28, 2023 and April 29, 2023, respectively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63,023</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1,907,445 shares at October 28, 2023 and April 29, 2023, respectively</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223,221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468,104</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46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6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3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r>
      <w:tr>
        <w:trPr>
          <w:trHeight w:val="241"/>
        </w:trPr>
        <w:tc>
          <w:tcPr>
            <w:tcW w:w="3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145,170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301,861</w:t>
            </w:r>
          </w:p>
        </w:tc>
      </w:tr>
      <w:tr>
        <w:trPr>
          <w:trHeight w:val="25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r>
      <w:tr>
        <w:trPr>
          <w:trHeight w:val="270"/>
        </w:trPr>
        <w:tc>
          <w:tcPr>
            <w:tcW w:w="3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7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r>
      <w:tr>
        <w:trPr>
          <w:trHeight w:val="27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r>
      <w:tr>
        <w:trPr>
          <w:trHeight w:val="270"/>
        </w:trPr>
        <w:tc>
          <w:tcPr>
            <w:tcW w:w="3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r>
      <w:tr>
        <w:trPr>
          <w:trHeight w:val="223"/>
        </w:trPr>
        <w:tc>
          <w:tcPr>
            <w:tcW w:w="36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61,491</w:t>
            </w:r>
          </w:p>
        </w:tc>
      </w:tr>
      <w:tr>
        <w:trPr>
          <w:trHeight w:val="250"/>
        </w:trPr>
        <w:tc>
          <w:tcPr>
            <w:tcW w:w="3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50"/>
        </w:trPr>
        <w:tc>
          <w:tcPr>
            <w:tcW w:w="3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p>
      <w:pPr>
        <w:spacing w:after="0" w:line="63" w:lineRule="exact"/>
        <w:rPr>
          <w:sz w:val="20"/>
          <w:szCs w:val="20"/>
          <w:color w:val="auto"/>
        </w:rPr>
      </w:pPr>
    </w:p>
    <w:p>
      <w:pPr>
        <w:ind w:left="180" w:right="700"/>
        <w:spacing w:after="0" w:line="282" w:lineRule="auto"/>
        <w:rPr>
          <w:sz w:val="20"/>
          <w:szCs w:val="20"/>
          <w:color w:val="auto"/>
        </w:rPr>
      </w:pPr>
      <w:r>
        <w:rPr>
          <w:rFonts w:ascii="Times New Roman" w:cs="Times New Roman" w:eastAsia="Times New Roman" w:hAnsi="Times New Roman"/>
          <w:sz w:val="18"/>
          <w:szCs w:val="18"/>
          <w:color w:val="auto"/>
        </w:rPr>
        <w:t>Other expense and debt issuance costs write-off, net</w:t>
      </w:r>
    </w:p>
    <w:p>
      <w:pPr>
        <w:spacing w:after="0" w:line="266" w:lineRule="exact"/>
        <w:rPr>
          <w:sz w:val="20"/>
          <w:szCs w:val="20"/>
          <w:color w:val="auto"/>
        </w:rPr>
      </w:pPr>
    </w:p>
    <w:p>
      <w:pPr>
        <w:ind w:left="180" w:right="1360"/>
        <w:spacing w:after="0" w:line="313" w:lineRule="auto"/>
        <w:rPr>
          <w:sz w:val="20"/>
          <w:szCs w:val="20"/>
          <w:color w:val="auto"/>
        </w:rPr>
      </w:pPr>
      <w:r>
        <w:rPr>
          <w:rFonts w:ascii="Times New Roman" w:cs="Times New Roman" w:eastAsia="Times New Roman" w:hAnsi="Times New Roman"/>
          <w:sz w:val="18"/>
          <w:szCs w:val="18"/>
          <w:b w:val="1"/>
          <w:bCs w:val="1"/>
          <w:color w:val="auto"/>
        </w:rPr>
        <w:t xml:space="preserve">Income (loss) before income taxes </w:t>
      </w:r>
      <w:r>
        <w:rPr>
          <w:rFonts w:ascii="Times New Roman" w:cs="Times New Roman" w:eastAsia="Times New Roman" w:hAnsi="Times New Roman"/>
          <w:sz w:val="18"/>
          <w:szCs w:val="18"/>
          <w:color w:val="auto"/>
        </w:rPr>
        <w:t>Income tax expense</w:t>
      </w:r>
    </w:p>
    <w:p>
      <w:pPr>
        <w:ind w:left="180"/>
        <w:spacing w:after="0"/>
        <w:tabs>
          <w:tab w:leader="none" w:pos="3660" w:val="left"/>
        </w:tabs>
        <w:rPr>
          <w:sz w:val="20"/>
          <w:szCs w:val="20"/>
          <w:color w:val="auto"/>
        </w:rPr>
      </w:pPr>
      <w:r>
        <w:rPr>
          <w:rFonts w:ascii="Times New Roman" w:cs="Times New Roman" w:eastAsia="Times New Roman" w:hAnsi="Times New Roman"/>
          <w:sz w:val="18"/>
          <w:szCs w:val="18"/>
          <w:b w:val="1"/>
          <w:bCs w:val="1"/>
          <w:color w:val="auto"/>
        </w:rPr>
        <w:t>Net income (loss)</w:t>
      </w:r>
      <w:r>
        <w:rPr>
          <w:sz w:val="20"/>
          <w:szCs w:val="20"/>
          <w:color w:val="auto"/>
        </w:rPr>
        <w:tab/>
      </w:r>
      <w:r>
        <w:rPr>
          <w:rFonts w:ascii="Times New Roman" w:cs="Times New Roman" w:eastAsia="Times New Roman" w:hAnsi="Times New Roman"/>
          <w:sz w:val="16"/>
          <w:szCs w:val="16"/>
          <w:color w:val="auto"/>
        </w:rPr>
        <w:t>$</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(loss) per share:</w:t>
      </w:r>
    </w:p>
    <w:p>
      <w:pPr>
        <w:spacing w:after="0" w:line="36" w:lineRule="exact"/>
        <w:rPr>
          <w:sz w:val="20"/>
          <w:szCs w:val="20"/>
          <w:color w:val="auto"/>
        </w:rPr>
      </w:pPr>
    </w:p>
    <w:p>
      <w:pPr>
        <w:ind w:left="180"/>
        <w:spacing w:after="0"/>
        <w:tabs>
          <w:tab w:leader="none" w:pos="3660" w:val="left"/>
        </w:tabs>
        <w:rPr>
          <w:sz w:val="20"/>
          <w:szCs w:val="20"/>
          <w:color w:val="auto"/>
        </w:rPr>
      </w:pPr>
      <w:r>
        <w:rPr>
          <w:rFonts w:ascii="Times New Roman" w:cs="Times New Roman" w:eastAsia="Times New Roman" w:hAnsi="Times New Roman"/>
          <w:sz w:val="16"/>
          <w:szCs w:val="16"/>
          <w:color w:val="auto"/>
        </w:rPr>
        <w:t>Basic</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180"/>
        <w:spacing w:after="0"/>
        <w:tabs>
          <w:tab w:leader="none" w:pos="3660" w:val="left"/>
        </w:tabs>
        <w:rPr>
          <w:sz w:val="20"/>
          <w:szCs w:val="20"/>
          <w:color w:val="auto"/>
        </w:rPr>
      </w:pPr>
      <w:r>
        <w:rPr>
          <w:rFonts w:ascii="Times New Roman" w:cs="Times New Roman" w:eastAsia="Times New Roman" w:hAnsi="Times New Roman"/>
          <w:sz w:val="16"/>
          <w:szCs w:val="16"/>
          <w:color w:val="auto"/>
        </w:rPr>
        <w:t>Diluted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0"/>
        </w:trPr>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(10,650)</w:t>
            </w:r>
          </w:p>
        </w:tc>
        <w:tc>
          <w:tcPr>
            <w:tcW w:w="66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(1,303)</w:t>
            </w: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520"/>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6,157</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70"/>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3,992</w:t>
            </w: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w:t>
            </w:r>
          </w:p>
        </w:tc>
      </w:tr>
      <w:tr>
        <w:trPr>
          <w:trHeight w:val="223"/>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2,165</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0"/>
        </w:trPr>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36"/>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46,030</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45,258</w:t>
            </w:r>
          </w:p>
        </w:tc>
      </w:tr>
      <w:tr>
        <w:trPr>
          <w:trHeight w:val="270"/>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46,705</w:t>
            </w:r>
          </w:p>
        </w:tc>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45,258</w:t>
            </w:r>
          </w:p>
        </w:tc>
      </w:tr>
      <w:tr>
        <w:trPr>
          <w:trHeight w:val="769"/>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50"/>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-2665095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-2322195</wp:posOffset>
            </wp:positionV>
            <wp:extent cx="7132320" cy="2322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121"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3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29,</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29,</w:t>
            </w:r>
          </w:p>
        </w:tc>
      </w:tr>
      <w:tr>
        <w:trPr>
          <w:trHeight w:val="241"/>
        </w:trPr>
        <w:tc>
          <w:tcPr>
            <w:tcW w:w="4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2"/>
        </w:trPr>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p>
      <w:pPr>
        <w:spacing w:after="0" w:line="63" w:lineRule="exact"/>
        <w:rPr>
          <w:sz w:val="20"/>
          <w:szCs w:val="20"/>
          <w:color w:val="auto"/>
        </w:rPr>
      </w:pPr>
    </w:p>
    <w:p>
      <w:pPr>
        <w:ind w:left="180" w:right="620"/>
        <w:spacing w:after="0" w:line="282" w:lineRule="auto"/>
        <w:rPr>
          <w:sz w:val="20"/>
          <w:szCs w:val="20"/>
          <w:color w:val="auto"/>
        </w:rPr>
      </w:pPr>
      <w:r>
        <w:rPr>
          <w:rFonts w:ascii="Times New Roman" w:cs="Times New Roman" w:eastAsia="Times New Roman" w:hAnsi="Times New Roman"/>
          <w:sz w:val="18"/>
          <w:szCs w:val="18"/>
          <w:color w:val="auto"/>
        </w:rPr>
        <w:t>Unrealized gain (loss) on available-for-sale securities, net of tax</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5"/>
              </w:rPr>
              <w:t>(1,190)</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(1,521)</w:t>
            </w: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486"/>
        </w:trPr>
        <w:tc>
          <w:tcPr>
            <w:tcW w:w="11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-624840</wp:posOffset>
            </wp:positionV>
            <wp:extent cx="710628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-307975</wp:posOffset>
            </wp:positionV>
            <wp:extent cx="710628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700" w:space="720"/>
            <w:col w:w="578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6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19,935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200,878</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on available-for-sale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29,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221,047</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on available-for-sale</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net of tax</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28,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223,221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176"/>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Pr>
          <w:p>
            <w:pPr>
              <w:spacing w:after="0"/>
              <w:rPr>
                <w:sz w:val="11"/>
                <w:szCs w:val="11"/>
                <w:color w:val="auto"/>
              </w:rPr>
            </w:pPr>
          </w:p>
        </w:tc>
        <w:tc>
          <w:tcPr>
            <w:tcW w:w="124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8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(18,310)</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(gain) on sale of property, equipment and other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loss of affiliates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13,037</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 write-off</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(27,737)</w:t>
            </w:r>
          </w:p>
        </w:tc>
      </w:tr>
      <w:tr>
        <w:trPr>
          <w:trHeight w:val="18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(21,938)</w:t>
            </w:r>
          </w:p>
        </w:tc>
      </w:tr>
      <w:tr>
        <w:trPr>
          <w:trHeight w:val="203"/>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sales of property, equipment and other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or maturities of marketable securities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Purchases of equity and loans to equity investees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(15,192)</w:t>
            </w: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on notes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190,608</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long-term obligations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 payments related to RSU issuances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26,278</w:t>
            </w:r>
          </w:p>
        </w:tc>
      </w:tr>
      <w:tr>
        <w:trPr>
          <w:trHeight w:val="203"/>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w:t>
            </w: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Beginning of period</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w:t>
            </w:r>
          </w:p>
        </w:tc>
      </w:tr>
      <w:tr>
        <w:trPr>
          <w:trHeight w:val="22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w:t>
            </w:r>
          </w:p>
        </w:tc>
      </w:tr>
      <w:tr>
        <w:trPr>
          <w:trHeight w:val="210"/>
        </w:trPr>
        <w:tc>
          <w:tcPr>
            <w:tcW w:w="8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w:t>
            </w:r>
          </w:p>
        </w:tc>
      </w:tr>
      <w:tr>
        <w:trPr>
          <w:trHeight w:val="188"/>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of common stock under the ESPP</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of assets and liabilities, revenues and expenses, and the disclosure of contingent liabilities. Estimates used in the preparation of the unaudited consolidated financial statements include, among others, revenue recognition, future warranty expenses, the fair value of long-term debt, the fair value of investments in affiliates, income tax expenses, and stock-based compensation. Due to the inherent uncertainty involved in making estimates, actual results in future periods may differ from those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April 29, 2023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29, 2023,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six months ended October 28, 2023 and October 29, 2022 contained operating results for 26 weeks.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 and letters of credit outstanding under a previous credit agreement.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29,</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the restricted cash balance is due to bank guarantees or other financial instruments for display installations issued by other banks and secured by restricted cash deposits.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$64,740 in cash and cash equivalent balances as of October 28, 2023, $54,245 were denominated in United States dollars, of which $737 were held by our foreign subsidiaries. As of October 28, 2023, we had an additional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$10,495 in cash balances denominated in foreign currencies, of which $8,466 were maintained in accounts of our foreign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issued Accounting Standards Update ("ASU") 2020-06, </w:t>
      </w:r>
      <w:r>
        <w:rPr>
          <w:rFonts w:ascii="Times New Roman" w:cs="Times New Roman" w:eastAsia="Times New Roman" w:hAnsi="Times New Roman"/>
          <w:sz w:val="18"/>
          <w:szCs w:val="18"/>
          <w:i w:val="1"/>
          <w:iCs w:val="1"/>
          <w:color w:val="auto"/>
        </w:rPr>
        <w:t>Debt - Debt with Conversion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(Subtopic 470- 20) and Derivatives and Hedging - Contracts in Entity’s Own Equity (Subtopic 815-40): Accounting for Convertible Instruments and Contracts in an Entity’s Own Equity (“ASU 2020-06”). </w:t>
      </w:r>
      <w:r>
        <w:rPr>
          <w:rFonts w:ascii="Times New Roman" w:cs="Times New Roman" w:eastAsia="Times New Roman" w:hAnsi="Times New Roman"/>
          <w:sz w:val="18"/>
          <w:szCs w:val="18"/>
          <w:color w:val="auto"/>
        </w:rPr>
        <w:t>ASU 2020-06 simplified the accounting for certain financial instruments with characteristics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and equity. This ASU (1) simplified the accounting for convertible debt instruments and convertible preferred stock by removing the existing guidance in Accounting Standards Codification ("ASC") 470-20, </w:t>
      </w:r>
      <w:r>
        <w:rPr>
          <w:rFonts w:ascii="Times New Roman" w:cs="Times New Roman" w:eastAsia="Times New Roman" w:hAnsi="Times New Roman"/>
          <w:sz w:val="18"/>
          <w:szCs w:val="18"/>
          <w:i w:val="1"/>
          <w:iCs w:val="1"/>
          <w:color w:val="auto"/>
        </w:rPr>
        <w:t>Debt: Debt with Conversion and Other Options</w:t>
      </w:r>
      <w:r>
        <w:rPr>
          <w:rFonts w:ascii="Times New Roman" w:cs="Times New Roman" w:eastAsia="Times New Roman" w:hAnsi="Times New Roman"/>
          <w:sz w:val="18"/>
          <w:szCs w:val="18"/>
          <w:color w:val="auto"/>
        </w:rPr>
        <w:t xml:space="preserve">, that required entities to account for beneficial conversion features and cash conversion features in equity, separately from the host convertible debt or preferred stock; (2) revised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revised the guidance in ASC 260, </w:t>
      </w: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to require entities to calculate diluted earnings per share ("EPS") for convertible instruments by using the if-converted method.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entities must presume share settlement for purposes of calculating diluted EPS when an instrument may be settled in cash or shares. For SEC filers, excluding smaller reporting companies, ASU 2020-06 was effective for fiscal years beginning after December 15, 2021, including interim periods within those fiscal years. Early adoption was permitted, but no earlier than fiscal years beginning after December 15, 2020. For all other entities, ASU 2020-06 was effective for fiscal years beginning after December 15, 2023, including interim periods within those fiscal years. In the first quarter of fiscal 2024, we adopted ASU 2020-06. Upon adoption, we prospectively utilized the if-converted method to calculate the dilutive impact of our convertible note issued on May 11, 2023 (the "Convertible Note"). See "Note 6. Financing Agreements" of the Notes to our Condensed Consolidated Financial Statements included in this Form 10-Q for further information on the Convertible Note.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reviewed all recently issued accounting pronouncements and concluded the standards were either not applicable or not expected to have a significant impact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which is developing micro-LED mass transfer expertise and technologies, and Miortech (dba Etulipa), which is developing low power outdoor electrowetting technology. We determined that Miortech is a variable interest entity (VIE), and, based on management's analysis, we determined that Daktronics is not the primary beneficiary; therefore, the investment in Miortech is accounted for under the equity method.</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our investments accounted for under the equity method was $9,819 and $11,934 as of October 28, 2023 and April 29, 2023, respectively. Our proportional share of the respective affiliates' earnings or losses is included in the "Other expense and debt issuance costs write-off, net" line item in our condensed consolidated statements of operations. For the three and six months ended October 28, 2023, our share of the losses of our affiliates was $771 and $1,461 as compared to $811 and $1,701 for the three and six months ended October 29,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the six months ended October 28, 2023 and October 29, 2022 was $123 and $672, respectively, which is included in the "Product design and development" line item in our condensed consolidated statements of operations, and for the six months ended October 28, 2023, $14 remains unpaid and is included in the "Accounts payable" line item in our condensed consolidated balance sheets.</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six months ended October 28, 2023, we invested $2,250 in convertible notes and $649 in promissory notes (collectively, the "Affiliate Notes") of our affiliates, which is included in the "Investment in affiliates and other assets" line item in our condensed consolidated balance sheets. During the six months ended October 28, 2023, we did not convert any Affiliate Notes to stock ownership. Our ownership in Miortech was 55.9 percent and in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was 16.4 percent as of October 28, 2023. The total amount of Affiliate Notes as of October 28, 2023 was $11,663 and is included in the "Investments in affiliates and other assets" line item in our condensed consolidated balance sheets. The Affiliate Notes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combined with the investment in affiliates balance totaled $21,483 and $25,343 as of October 28, 2023 and October 29,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2024, we adopted ASU 2020-06. Upon adoption, we prospectively utilized the if-converted method to calculate the dilutive impact of our Convertible Note. See "Note 6. Financing Agreements" of the Notes to our Condensed Consolidated Financial Statements included in this Form 10-Q for further information on the Convertible Note.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if-converted method, the Convertible Note is assumed to be converted into common stock at the beginning of the reporting period, and the resulting shares are included in the denominator of the calculation. In addition, interest charges, net of any income tax effects, are added back to the numerator of the calculation. The following is a reconciliation of the net income (loss) and common share amounts used in the calculation of basic and diluted EPS for the three and six months ended October 28, 2023 and October 29,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3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69"/>
        </w:trPr>
        <w:tc>
          <w:tcPr>
            <w:tcW w:w="48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r>
      <w:tr>
        <w:trPr>
          <w:trHeight w:val="241"/>
        </w:trPr>
        <w:tc>
          <w:tcPr>
            <w:tcW w:w="4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tcPr>
          <w:p>
            <w:pPr>
              <w:spacing w:after="0"/>
              <w:rPr>
                <w:sz w:val="19"/>
                <w:szCs w:val="19"/>
                <w:color w:val="auto"/>
              </w:rPr>
            </w:pPr>
          </w:p>
        </w:tc>
        <w:tc>
          <w:tcPr>
            <w:tcW w:w="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45,258</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
        </w:trPr>
        <w:tc>
          <w:tcPr>
            <w:tcW w:w="4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
        </w:trPr>
        <w:tc>
          <w:tcPr>
            <w:tcW w:w="4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45,258</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Dilution associated with convertible note</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482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assuming</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45,258</w:t>
            </w:r>
          </w:p>
        </w:tc>
      </w:tr>
      <w:tr>
        <w:trPr>
          <w:trHeight w:val="95"/>
        </w:trPr>
        <w:tc>
          <w:tcPr>
            <w:tcW w:w="48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521 shares of common stock with a weighted average exercise price of $10.76 for the three months ended October 28, 2023 and 2,063 shares of common stock with a weighted average exercise price of $7.51 for the three months ended October 29, 2022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1,039 shares of common stock with a weighted average exercise price of $9.53 for the six months ended October 28, 2023 and 2,082 shares of common stock with a weighted average exercise price of $7.82 for the six months ended October 29, 2022 were not included in the computation of diluted earnings per share because the effects would be anti-dilutive.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October 28, 2023, respectively, shares of common stock issuable upon conversion of the Convertible Note have been excluded from the computation of diluted earnings per share as the effect would be anti-dilutive, as under the if-converted method, the income statement impact of the fair value adjustment and interest expense is added back to net income available to common shareholders, thereby increasing earnings per share. For the three and six months ended October 28, 2023, 4,051 and 3,806 potential common shares related to the convertible note were excluded from the calculation of diluted earnings per share. The convertible debt was not outstanding during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October 28, 2023</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October 28, 2023</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October 29, 2022</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88,245</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37,047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28,078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90,657</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37,047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October 29, 2022</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174,384</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177,784</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181,575</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29, 2023 to October 28, 2023 were due to the timing of billing schedules and revenue recognition, which can vary significantly depending on the contractual payment terms and the seasonality of the sports markets. We had no impairments of contract assets for the six months ended October 28,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28,</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29,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w:t>
            </w:r>
          </w:p>
        </w:tc>
      </w:tr>
      <w:tr>
        <w:trPr>
          <w:trHeight w:val="230"/>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28,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October 28, 2023 and as of April 29, 2023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October 28, 2023, we recognized revenue of $77,788 related to our contract liabilities as of April 29,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28, 2023, the aggregate amount of the transaction price allocated to the remaining performance obligations was $369,879. Remaining performance obligations related to product and service agreements as of October 28, 2023 were $306,934 and $62,945, respectively. We expect approximately $310,470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six months ended October 28, 2023 and October 29, 2022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E32E1"/>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04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0"/>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31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1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r>
      <w:tr>
        <w:trPr>
          <w:trHeight w:val="241"/>
        </w:trPr>
        <w:tc>
          <w:tcPr>
            <w:tcW w:w="128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2"/>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77,165</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125,622</w:t>
            </w:r>
          </w:p>
        </w:tc>
      </w:tr>
      <w:tr>
        <w:trPr>
          <w:trHeight w:val="22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77,815</w:t>
            </w:r>
          </w:p>
        </w:tc>
      </w:tr>
      <w:tr>
        <w:trPr>
          <w:trHeight w:val="230"/>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r>
      <w:tr>
        <w:trPr>
          <w:trHeight w:val="229"/>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42,538</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r>
      <w:tr>
        <w:trPr>
          <w:trHeight w:val="20"/>
        </w:trPr>
        <w:tc>
          <w:tcPr>
            <w:tcW w:w="4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21,788</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r>
      <w:tr>
        <w:trPr>
          <w:trHeight w:val="229"/>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23"/>
        </w:trPr>
        <w:tc>
          <w:tcPr>
            <w:tcW w:w="12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r>
      <w:tr>
        <w:trPr>
          <w:trHeight w:val="250"/>
        </w:trPr>
        <w:tc>
          <w:tcPr>
            <w:tcW w:w="1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r>
      <w:tr>
        <w:trPr>
          <w:trHeight w:val="230"/>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r>
      <w:tr>
        <w:trPr>
          <w:trHeight w:val="230"/>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r>
      <w:tr>
        <w:trPr>
          <w:trHeight w:val="223"/>
        </w:trPr>
        <w:tc>
          <w:tcPr>
            <w:tcW w:w="12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61,491</w:t>
            </w:r>
          </w:p>
        </w:tc>
      </w:tr>
      <w:tr>
        <w:trPr>
          <w:trHeight w:val="223"/>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50"/>
        </w:trPr>
        <w:tc>
          <w:tcPr>
            <w:tcW w:w="12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3"/>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3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 and amortization</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24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r>
      <w:tr>
        <w:trPr>
          <w:trHeight w:val="241"/>
        </w:trPr>
        <w:tc>
          <w:tcPr>
            <w:tcW w:w="4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312,580</w:t>
            </w:r>
          </w:p>
        </w:tc>
      </w:tr>
      <w:tr>
        <w:trPr>
          <w:trHeight w:val="22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w:t>
            </w:r>
          </w:p>
        </w:tc>
      </w:tr>
      <w:tr>
        <w:trPr>
          <w:trHeight w:val="223"/>
        </w:trPr>
        <w:tc>
          <w:tcPr>
            <w:tcW w:w="4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359,359</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41"/>
        </w:trPr>
        <w:tc>
          <w:tcPr>
            <w:tcW w:w="7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63,786</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r>
      <w:tr>
        <w:trPr>
          <w:trHeight w:val="223"/>
        </w:trPr>
        <w:tc>
          <w:tcPr>
            <w:tcW w:w="7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Financing Agreements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7"/>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32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5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credit facility/prior line of credit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The Credit Facility consists of a $60,000 asset-based revolving credit facility (the "ABL") maturing on May 11. 2026, secured by first priority lien on the Company's assets and which is subject to certain factors which can impact our borrowing capacity, and a $15,000 delayed draw loan (the "Delayed Draw Loan") secured by a first priority mortgage on our Brookings, South Dakota real estate (the "Mortgage"). The ABL and Delayed Draw Loan are evidenced by a Credit Agreement dated as of May 11, 2023 (the "Credit Agreement") between the Company and JPMorgan Chase Bank, N.A., as the lender. On May 11, 2023 the Company paid all amounts outstanding on the prior credit agreement, and this prior credit agreement was terminated as of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date. No gain or loss was recognized upon termination, and the Company incurred no early termination penalties in connection with such termination.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October 28, 2023, our borrowing capacity was $50,611, there were no borrowings outstanding and there was $5,875 used to secure letters of credit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on the ABL is set on a sliding scale based on the trailing 12-month fixed charge coverage and ranges from 2.5 to 3.5 percent over the standard overnight financing rate (SOFR). The ABL is secured by a first priority lien on the Company's assets described in the Credit Agreement and the Pledge and Security Agreement dated as of May 11, 2023 by and among the Company, Daktronics Installation, Inc. and JPMorgan Chase Bank, N.A.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$15,000 Delayed Draw Loan was funded on July 7, 2023 and is secured by the Mortgage on the Company's Brookings, South Dakota real estate. It amortizes over 10 years and has monthly payments of $125. The Delayed Draw Loan is subject to the terms of the Credit Agreement and matures on May 11, 2026. The interest rate on the Delayed Draw Loan is set on a sliding scale based on the trailing 12-month fixed charge coverage ratio and ranges between 1.0 and 2.0 percent over the Commercial Bank Floating Rate (CBFR).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2023, we issued $25,000 in aggregate principal amount evidenced by the secured Convertible Note due May 11, 2027. The Convertible Note holder (the "Holder") has a second priority lien on assets securing the ABL facility and a first priority lien on substantially all of the other assets of the Company, excluding all real property, subject to the Intercreditor Agreement dated as of May 11, 2023 by and among the Company, JPMorgan Chase Bank N.A., and the Holder of the Convertible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27" w:lineRule="exact"/>
        <w:rPr>
          <w:sz w:val="20"/>
          <w:szCs w:val="20"/>
          <w:color w:val="auto"/>
        </w:rPr>
      </w:pPr>
    </w:p>
    <w:p>
      <w:pPr>
        <w:jc w:val="both"/>
        <w:ind w:left="660" w:hanging="328"/>
        <w:spacing w:after="0" w:line="258"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Convertible Note allows the Holder and any of the Holder’s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if the Company fails other than by reason of a failure by the Holder to comply with its obligations, the Holder is permitted to cash payments from the Company until such conversion failure is cured.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27" w:lineRule="exact"/>
        <w:rPr>
          <w:sz w:val="20"/>
          <w:szCs w:val="20"/>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have an Event of Default, as defined by the Convertible Note, then the Holder may require the Company to redeem all or any portion of the Convertible Note.</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"Change of Control", as defined by the Convertible Note, then the Holder is entitled to payment of the outstanding amount of the Convertible Note at the "Change in Control Redemption Price," as defined in the Convertible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Interest accruing under the Convertible Note is payable, at the option of the Company, in either (i) cash or (ii) a combination of cash interest and capitalized interest; provided, however, that at least fifty percent (50%) of the interest paid on each interest date must be paid as cash interest. The Convertible Note accrues interest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October 28, 2023, as interest will be paid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as described in "Note 9. Fair Value Measurement" of the Notes to our Condensed Consolidated Financial Statements included in this Form 10-Q for further information. The financial liability was initially measured at its issue-date fair value and is subsequently remeasured at fair value on a recurring basis at each reporting period date. We have elected to present the fair value and the accrued interest component separately in the income statement. Therefore, interest will be recognized and accrued separately in interest expense, with changes in fair value of the Convertible Note presented in the "Change in fair value of convertible note" line item in our condensed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the six months ended October 28, 2023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Liability Component</w:t>
            </w:r>
          </w:p>
        </w:tc>
      </w:tr>
      <w:tr>
        <w:trPr>
          <w:trHeight w:val="234"/>
        </w:trPr>
        <w:tc>
          <w:tcPr>
            <w:tcW w:w="2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11,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84"/>
        </w:trPr>
        <w:tc>
          <w:tcPr>
            <w:tcW w:w="2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of convertible promissory</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28, 2023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42,910</w:t>
            </w:r>
          </w:p>
        </w:tc>
      </w:tr>
      <w:tr>
        <w:trPr>
          <w:trHeight w:val="21"/>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and as of October 28, 2023 was computed using a binomial lattice model which incorporates significant inputs that are not observable in the market, and thus represents a Level 3 measurement.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the fair value by using the following key assumptions in the binomial lattice model: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Yield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19.48 %</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55.00 %</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and the Convertible Note require a fixed charge coverage ratio of greater than 1.1 and include other customary non-financial covenants. As of October 28, 2023, we were in compliance with our financial covenants under the Credit Agreement and the Convertible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is expensed. As part of these financings, we capitalized $8,195 in debt issuance costs. During the six months ended October 28, 2023, due to the Convertible Note being accounted for at fair value, we expensed $3,353 of the related debt issuance costs which is included in the "Other expense and debt issuance costs write-off, net" line item in our condensed consolidated statements of operations. During the six months ended October 28, 2023, we amortized $744 of debt issuance costs. The remaining debt issuance costs of $4,098 are being amortized over the three-year term of the Credit Facility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and Future Maturities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28, 2023 and April 29, 2023, the fair value of long-term debt, gross was $57,535 and $17,750, respectively. The fair value of the Convertible Note was $42,910 as of October 28,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senior secured notes and convertible notes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Contingencies - Loss Contingencies. Our assessment of whether a loss is reasonably possible or probable is based on our assessment and consultation with legal counsel regarding the ultimate outcome of the matter following all appeals.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Warranties: </w:t>
      </w:r>
      <w:r>
        <w:rPr>
          <w:rFonts w:ascii="Times New Roman" w:cs="Times New Roman" w:eastAsia="Times New Roman" w:hAnsi="Times New Roman"/>
          <w:sz w:val="17"/>
          <w:szCs w:val="17"/>
          <w:color w:val="auto"/>
        </w:rPr>
        <w:t>Changes in our warranty obligation for the six months ended October 28, 2023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29, 2023</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23" w:lineRule="exact"/>
        <w:rPr>
          <w:sz w:val="20"/>
          <w:szCs w:val="20"/>
          <w:color w:val="auto"/>
        </w:rPr>
      </w:pPr>
    </w:p>
    <w:p>
      <w:pPr>
        <w:ind w:left="20" w:right="913" w:firstLine="324"/>
        <w:spacing w:after="0" w:line="339" w:lineRule="auto"/>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 Balance as of October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October 28,</w:t>
      </w: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0" w:lineRule="exact"/>
        <w:rPr>
          <w:sz w:val="20"/>
          <w:szCs w:val="20"/>
          <w:color w:val="auto"/>
        </w:rPr>
      </w:pPr>
    </w:p>
    <w:p>
      <w:pPr>
        <w:ind w:left="907" w:hanging="907"/>
        <w:spacing w:after="0"/>
        <w:tabs>
          <w:tab w:leader="none" w:pos="9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32,541</w:t>
      </w:r>
    </w:p>
    <w:p>
      <w:pPr>
        <w:spacing w:after="0" w:line="27"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7,781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(6,209)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700</w:t>
      </w:r>
    </w:p>
    <w:p>
      <w:pPr>
        <w:spacing w:after="0" w:line="31" w:lineRule="exact"/>
        <w:rPr>
          <w:sz w:val="20"/>
          <w:szCs w:val="20"/>
          <w:color w:val="auto"/>
        </w:rPr>
      </w:pPr>
    </w:p>
    <w:p>
      <w:pPr>
        <w:ind w:left="907" w:hanging="907"/>
        <w:spacing w:after="0"/>
        <w:tabs>
          <w:tab w:leader="none" w:pos="9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October 28, 2023, we had outstanding letters of credit, bank guarantees and surety bonds in the amount of $5,875, $558 and $40,633, respectively. Performance guarantees are issued to certain customers to guarantee the operation and installation of the equipment and our ability to complete a contract. These performance guarantees have various terms but generally have a term of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October 28, 2023, we were not aware of any material indemnification claims.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effective tax rate for the three and six months ended October 28, 2023 was a tax rate of 64.8 and 37.6 percent, respectively. Income before tax includes the impacts of the change in the Convertible Note fair value; however, these changes are not deductible, resulting in the high effective tax rate. The rates for the three and six months ended October 29, 2022 were skewed by the valuation allowance placed on deferred taxes.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October 28, 2023, undistributed earnings of our foreign subsidiaries were considered to be reinvested indefinitely. Additionally, as of October 28, 2023, we had $527 of unrecognized tax benefits which would reduce our effective tax rate if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October 28, 2023 and April 29, 2023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28, 2023</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64,740</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42,910</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elected to value the Convertible Note at fair value in accordance with ASC 825-10-15-4(a) because of the embedded derivatives contained in the note. The fair value of the Convertible Note was estimated using a binomial lattice model. Binomial lattice allows for the examination of the value to a holder and understanding the investment decision that would occur at each node.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it does not have readily determinable or observable inputs for the valuation. There have been no other changes in the valuation techniques used by us to value our financial instruments since the end of fiscal 2023. For additional information, see our Annual Report on Form 10-K for the fiscal year ended April 29, 2023 for the methods and assumptions used to estimate the fair value of each class of financial instrument.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Director, executive officer or beneficial owner of more than five percent of any class of our voting securities and any immediate family member of any of the foregoing persons.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Part II, Item 7 “Management’s Discussion and Analysis of Financial Condition and Results of Operations” in the section entitled “Liquidity and Capital Resources” of our Annual Report on Form 10-K for the fiscal year ended April 29, 2023, effective on May 11, 2023, the Company entered into the Securities Purchase Agreement with Alta Fox Opportunities Fund, LP, as the Holder of the Convertible Note. Under the Securities Purchase Agreement, the Company sold and issued to the Holder the Convertible Note in exchange for the payment by the Holder to the Company of $25,000. As of May 11, 2023, and based on Amendment No. 3 to the Schedule 13D filed by the Investor and its affiliates named therein on May 15, 2023 with the SEC, the Holder and its affiliates beneficially owned 4,768 shares of common stock of the Company, representing 9.99 percent of the Company’s common stock, causing the Holder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Holder and the Company, and the Registration Rights Agreement were approved in advance of their execution by the Company’s Strategy and Financing Review Committee, the members of which include all members of the Company’s Audit Committee.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May 11, 2023 the largest aggregate amount outstanding under the Convertible Note was $25,563, consisting of $25,000 of principal and $563 of interest for a total of $25,563 outstanding. In the first six months of fiscal 2024, we have made interest payments of $563 under the Convertible Note.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29, 2023 is hereby incorporated by reference into this Report. In addition, the Company is a party to the Standstill and Voting Agreement dated as of March 19, 2023 with Alta Fox Management, LLC and Connor Haley (the “Standstill Agreement”). The Standstill Agreement is filed as Exhibit 10.13 to Company's Annual Report on Form 10-K for the fiscal year ended April 29,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Amendment No. 3 (“Amendment No. 3”) to the Schedule 13D filed by the Holder and its affiliates named therein on June 9, 2023 with the SEC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7, 2023, the Company received from the Holder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Holder may own. Based on Amendment No. 3, the Holder and its affiliates identified in Amendment No. 3 owned 2,293 shares of common stock on June 9, 2023, representing 4.99 percent of the common stock of the Company, meaning the Holder and its affiliates are no longer “related parties” of the Company under the Company’s written policy and procedures and the applicable definitions under the Securities Act of 1933.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the Company and South Dakota Board of Regents entered into a contract for video display systems for Dakota State University. The amount of the contract was $150. A member of the Company's Board of Directors is the President of Dakota State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further details of related party transactions with our investments in the affiliates Notes issued by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29, 2023, to and including October 28, 2023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the uncertainties related to market conditions and entry into a financing transaction; the Company’s potential need to seek additional strategic alternatives, including seeking additional debt or equity capital or other strategic transactions and/or measures; the Company’s ability to finalize or fully execute actions and steps that would be probable of mitigating the existence of any “substantial doubt” regarding the Company’s ability to continue as a going concern; the Company’s ability to increase cash flow to support the Company’s operating activities and fund its obligations and working capital needs; our ability to obtain additional financing on terms favorable to us, or at all; any future goodwill impairment charges; and the other risk factors described more fully in the Company’s Annual Report on Form 10-K for the fiscal year ended April 29, 2023 filed with the Securities and Exchange Commission, as well as other publicly available information about the Company.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of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29, 2023 (including the information presented therein under Risk Factors), as well as other publicly available information about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engaged principally in the design, marketing,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our Annual Report on Form 10-K for the fiscal year ended April 29, 2023 and the consolidated financial statements set forth in that Annual Report on Form 10-K, including the notes to consolidated financial statements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past investments in people and plant capacity and the continued stable supply chain environment have allowed for efficient production and fulfillment of orders. Although the post-pandemic geopolitical situation and global trade patterns continue to evolve, we believe that the levels of uncertainty and volatility in supply chain and demand will not be as great in the coming months as it was through the pandemic and will continue to stabilize during this fiscal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 Orders and revenue levels are expected to be impacted by the timing of multi-million dollar projects and the impacts of global economic conditions, war and geopolitical situations, or other factors outside of our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28, 2023 AND OCTOBER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October 28, 2023 was $306.9 million as compared to $463.1 million as of October 29, 2022 and $400.7 million at April 29, 2023. The decrease in backlog is trending down to more historical levels as a result of fulfilling orders at a greater pace as supply chain conditions stabilized and production lead times improved, utilizing our increased capacity, and order pace returning to more normalized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fulfill the backlog as of October 28, 2023 within the next 24 months. The timing of backlog fulfillment may be impacted by project delays resulting from parts availability and other constraints stemming from the supply chain disruptions or by customer site conditions which are outside our control.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three months ended October 28, 2023 and October 29, 2022: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2"/>
                <w:szCs w:val="22"/>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183,693</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8"/>
        <w:spacing w:after="0" w:line="282" w:lineRule="auto"/>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not measures defined by GAAP, and our methodology for determining orders may vary from the methodology used by other companies in determining their orders and amounts.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2024 second quarter, net sales were $199.4 million, an increase of $11.9 million from net sales in the prior year's second quarter. Sales growth was driven by fulfilling orders in backlog, especially in the High School Park and Recreation, Commercial and Transportation business units. The increase is attributable to a stable operating environment, increased manufacturing capacity and realization of price increases. Last year during the second quarter, we faced material supply and labor shortages which extended lead times and delayed the conversion of orders into sales. International net sales are down in the second quarter of fiscal 2024 compared to last year's second quarter due to shipments to Out-of-Home customers in our Asia Pacific Region.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Orders for the second quarter of fiscal 2024 were similar to the second quarter of fiscal 2023 although the order volume from our business units differed. Higher orders to customers in the International and Transportation business units offset decreases in the Spectacular and Out-of-Home markets in our Commercial business unit. Orders in the International business unit in the second quarter of fiscal 2023 were lower due to weakening economic outlook relating to inflationary pressures, geopolitical events, and currency headwinds.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60" w:type="dxa"/>
            <w:vAlign w:val="bottom"/>
          </w:tcPr>
          <w:p>
            <w:pPr>
              <w:spacing w:after="0"/>
              <w:rPr>
                <w:sz w:val="19"/>
                <w:szCs w:val="19"/>
                <w:color w:val="auto"/>
              </w:rPr>
            </w:pPr>
          </w:p>
        </w:tc>
        <w:tc>
          <w:tcPr>
            <w:tcW w:w="28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27.2 %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profit improvement is due to strategic pricing, our ability to efficiently generate more sales volume over our cost structure, and fewer supply chain and operational disruptions during the second quarter of fiscal 2024 as compared to a year earlier. During the second quarter of fiscal 2024, employee benefit programs reduced gross profit by $2.7 million, of which $1.9 million was attributed to the programs activation.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warranty costs as a percent of sales for the three months ended October 28, 2023 compared to the same period one year ago decreased to 2.2 percent from 2.7 percent.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00" w:type="dxa"/>
            <w:vAlign w:val="bottom"/>
          </w:tcPr>
          <w:p>
            <w:pPr>
              <w:spacing w:after="0"/>
              <w:rPr>
                <w:sz w:val="14"/>
                <w:szCs w:val="14"/>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8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margin for the fiscal quarter ended October 28, 2023 was positively impacted by the previously discussed sales levels and impacts on gross profit. During the second quarter of fiscal 2024, employee benefit programs reduced contribution margin by $1.1 million, with $0.8 million attributed to the programs activation.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from non-GAAP contribution margin to the operating income GAAP measure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00" w:type="dxa"/>
            <w:vAlign w:val="bottom"/>
          </w:tcPr>
          <w:p>
            <w:pPr>
              <w:spacing w:after="0"/>
              <w:rPr>
                <w:sz w:val="14"/>
                <w:szCs w:val="1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9.2 %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0.8 %</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second quarter of fiscal 2024 increased as compared to the second quarter of fiscal 2023 primarily due to increase in personnel-related expenses and professional fees. During the second quarter of fiscal 2024, employee benefit programs expenses increased general and administrative expenses by $0.5 million, with $0.3 million attributed to the programs activation.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design and development expenses in the second quarter of fiscal 2024 increased as compared to the second quarter of fiscal 2023 primarily due to an increase in personnel-related expenses. During the second quarter of fiscal 2024, employee benefit programs increased product design and development expenses by $0.6 million, with $0.4 million attributed to the programs activation.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5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62"/>
        </w:trPr>
        <w:tc>
          <w:tcPr>
            <w:tcW w:w="18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80" w:type="dxa"/>
            <w:vAlign w:val="bottom"/>
          </w:tcPr>
          <w:p>
            <w:pPr>
              <w:spacing w:after="0"/>
              <w:rPr>
                <w:sz w:val="15"/>
                <w:szCs w:val="15"/>
                <w:color w:val="auto"/>
              </w:rPr>
            </w:pPr>
          </w:p>
        </w:tc>
        <w:tc>
          <w:tcPr>
            <w:tcW w:w="1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expense and debt</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costs write-off,</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526.4 %</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increase in interest income and expense, net for the second quarter of fiscal 2024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closing in May 2023 on the convertible note (the "Convertible Note") and asset-based and mortgage financings at higher values and interest rates than the utilization of our previous line of credit during the 2023 second quarter.</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For the three months ended October 28, 2023, we recorded an expense of $10.7 million related to the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Convertible Note payable which is accounted for under the fair value option. The fair value change was primarily caused by the increase in our stock price over the conversion price and decline in market interest rates, making the value of potentially converted shares higher than at debt issuance.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second quarter of fiscal 2024 as compared to the same period one year ago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losses recorded for equity method affiliates and foreign currency volatility.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second quarter of fiscal 2024 was 64.8 percent as compared to an effective tax rate of 1330.7 percent for the second quarter of fiscal 2023. The lower tax rate for the second quarter of fiscal 2024 is caused by the fair value adjustment to income that is not deductible for tax purposes, whereas, the effective tax rate for the second quarter of fiscal 2023 was skewed due to a full valuation allowance placed on deferred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OCTOBER 28, 2023 AND OCTOBER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six months ended October 28, 2023 and October 29,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00" w:type="dxa"/>
            <w:vAlign w:val="bottom"/>
          </w:tcPr>
          <w:p>
            <w:pPr>
              <w:spacing w:after="0"/>
              <w:rPr>
                <w:sz w:val="22"/>
                <w:szCs w:val="22"/>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00" w:type="dxa"/>
            <w:vAlign w:val="bottom"/>
          </w:tcPr>
          <w:p>
            <w:pPr>
              <w:spacing w:after="0"/>
              <w:rPr>
                <w:sz w:val="22"/>
                <w:szCs w:val="22"/>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2"/>
                <w:szCs w:val="22"/>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22"/>
                <w:szCs w:val="22"/>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342,323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20" w:firstLine="8"/>
        <w:spacing w:after="0" w:line="266" w:lineRule="auto"/>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not measures defined by GAAP, and our methodology for determining orders may vary from the methodology used by other companies in determining their orders and amounts.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2024, net sales were $431.9 million, an increase of $72.5 million from the prior year's first six-month period. This increase was primarily due to higher throughput from our past investments in capacity and the more stable operating environment. During the six-month period ended October 29, 2022, we faced material supply and labor shortages which extended lead times and delayed the conversion of orders into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volume decreased in the first six months of fiscal 2024 from the prior year's six-month period. Higher orders from customers in the International and Transportation business units offset decreases in the Spectacular and Out-of-Home markets in our Commercial business unit. The change in the Commercial business unit was caused by volatility in bookings of larger sized Spectacular LED video displays projects and contraction in advertising spend. Orders in the International business unit in the first six months of fiscal 2023 were lower due to weakening economic outlook relating to inflationary pressures, geopolitical events, and currency headwinds.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60" w:type="dxa"/>
            <w:vAlign w:val="bottom"/>
          </w:tcPr>
          <w:p>
            <w:pPr>
              <w:spacing w:after="0"/>
              <w:rPr>
                <w:sz w:val="19"/>
                <w:szCs w:val="19"/>
                <w:color w:val="auto"/>
              </w:rPr>
            </w:pPr>
          </w:p>
        </w:tc>
        <w:tc>
          <w:tcPr>
            <w:tcW w:w="28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16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29.0 %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gross profit percentage in the six months ended October 28, 2023 is attributable to the record sales volume over our fixed manufacturing cost structure, past strategic pricing actions, stabilization of input costs, and fewer supply chain and operational disruptions during the first six months of fiscal 2024 as compared to a year earlier. The effect of employee benefit programs reduced gross profit by $2.7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costs as a percent of sales for the six months ended October 28, 2023 compared to the same period one year ago remained the same at 2.2 percent.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margin for the first six months of fiscal 2024 was positively impacted by the previously discussed sales levels and impacts on gross profit.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programs activation reduced contribution margin by $1.1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from non-GAAP contribution margin to the operating income GAAP measure is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0" w:type="dxa"/>
            <w:vAlign w:val="bottom"/>
          </w:tcPr>
          <w:p>
            <w:pPr>
              <w:spacing w:after="0"/>
              <w:rPr>
                <w:sz w:val="1"/>
                <w:szCs w:val="1"/>
                <w:color w:val="auto"/>
              </w:rPr>
            </w:pPr>
          </w:p>
        </w:tc>
      </w:tr>
      <w:tr>
        <w:trPr>
          <w:trHeight w:val="25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97,764</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69,224</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242.6 %</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7.9 %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(3,993)</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first six months of fiscal 2024 increased primarily due to an increase in personnel-related expenses. Employee benefit programs activation increased general and administrative expenses by $0.5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the first six months of fiscal 2024 increased as compared to the first six months of fiscal 2023 primarily due to an increase in personnel-related expenses. Employee benefit programs activation increased product design and development expenses by $0.6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93"/>
        </w:trPr>
        <w:tc>
          <w:tcPr>
            <w:tcW w:w="2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50"/>
        </w:trPr>
        <w:tc>
          <w:tcPr>
            <w:tcW w:w="2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07"/>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25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2"/>
                <w:szCs w:val="22"/>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r>
      <w:tr>
        <w:trPr>
          <w:trHeight w:val="257"/>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583.3 %</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increase in interest income and expense, net in the first six months of fiscal 2024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closing in May 2023 on the Convertible Note and asset-based and mortgage financings at higher values and interest rates than the utilization of our previous line of credit during the first six months of fiscal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For the six months ended October 28, 2023, we recorded an expense of $17.9 million related to the change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Convertible Note payable which is accounted for under the fair value option. The fair value change was primarily caused by the increase in our stock price over the conversion price and the decline in market interest rates making the value of potentially converted shares higher than at the debt issuance.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first six months of fiscal 2024 as compared to the same period one year ago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losses recorded for equity method affiliates and foreign currency volatility and expensing of $3.4 million debt issuance costs related to the Convertible Note carried at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recorded an effective tax rate of 37.6 percent for the six months ended October 28, 2023 as compared to (247.4) percent for the six months ended October 29, 2022. The tax rate for the first six months of fiscal 2024 is caused by the fair value adjustment to income that is not deductible for tax purposes; whereas, the effective tax rate for the first six months of fiscal 2023 was skewed due a full valuation allowance placed on deferred taxes. Absent any major tax changes, we expect our full year effective tax rate to be in the mid-twenties, before the impacts of fair value accounting for the convertible note.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59,161</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operating activities: </w:t>
      </w:r>
      <w:r>
        <w:rPr>
          <w:rFonts w:ascii="Times New Roman" w:cs="Times New Roman" w:eastAsia="Times New Roman" w:hAnsi="Times New Roman"/>
          <w:sz w:val="18"/>
          <w:szCs w:val="18"/>
          <w:color w:val="auto"/>
        </w:rPr>
        <w:t>Net cash provided by operating activities was $44.3 million for the first six months of fiscal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used in operating activities of $21.9 million in the first six months of fiscal 2023. The $66.2 million change in cash provided by (used in) operating activities was primarily the result of an increase in net income of $39.7 million in the first six months of fiscal 2024 compared to the same period in fiscal 2023 as strategic pricing actions and operating conditions improved, the $17.9 million of non-cash fair value change of our Convertible Note impacting net income, and improved working capital positions. We also had strategically invested in inventory through the first six months of fiscal 2023 as a reaction to supply chain constraints and historic backlog, which consumed cash. Since October 29, 2022, we have reduced inventory and related payables for inventory as we reduced backlog and generated cash from inventory reduction. Increases in accounts receivable and contract asset levels have used some cash for working capital because of business increases.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consisted of the following:</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29,</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$12.1 million in the first six months of fiscal 2024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$15.2 million in the first six months of fiscal 2023. Purchases of property and equipment totaled $9.2 million in the first six months of fiscal 2024 compared to $16.2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six months of fiscal 2023. Fiscal 2023 purchases were higher because of initiatives to upgrade existing or purchase new manufacturing equipment for capacity and automation.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Net cash provided by financing activities was $15.9 million for the six months ended October 28, 2023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the closing of a $25.0 million Convertible Note financing and a $15.0 million mortgage financing offset by the payoff of our previous credit line of $17.8 million, expending $6.5 million of debt issuance costs, and principal payments on the mortgage, as compared to $26.3 million of cash provided by financing due to draws on our line of credit in the first six months of fiscal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$60.0 million asset-based revolving credit facility ("ABL") with a maturity date of May 11, 2027 subject to customary covenants and conditions. As of October 28, 2023, we had no borrowings against the ABL and $5.9 million used to secure letters of credit outstanding. We also have a mortgage of $15.0 million secured by a first priority lien on our Brookings, South Dakota real estate and $25.0 million evidenced by the Convertible Note secured by a second priority lien on assets securing the ABL facility and a first priority lien on substantially all the other assets of the Company, excluding all real property.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28, 2023, we had $64.7 million in cash and cash equivalents and $50.6 million in borrowing capacity under our ABL. We believe cash flow from operations, existing lines of credit, and access to debt and capital markets will be sufficient to meet our current liquidity needs, and we have committed liquidity and cash reserves in excess of our anticipated funding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 balances consist of high-quality, short-term money market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Working capital was $196.4 million and $132.5 million as of October 28, 2023 and April 29, 2023, respectively. We had $10.7 million of retainage on long-term contracts included in receivables and contract assets as of October 28, 2023 which we expect to collect these amounts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we utilize a global bank to provide such instruments. If we are unable to complete the installation work, our customer would draw on the banking arrangement, and the bank would subrogate its loss to Daktronics' restricted cash accounts. As of October 28, 2023, we had $0.2 million of such instruments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we have a bonding line available through surety companies for an aggregate of $190.0 million in bonded work outstanding. If we were unable to complete the installation work, and our customer would call upon the bond for payment, the surety company would subrogate its loss to Daktronics. As of October 28, 2023, we had $40.6 million of bonded work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capital expenditures to be less than $19 million for all of fiscal 2024.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are committed to invest an additional $0.8 million for the remainder of fiscal 2024 in our current affiliates. We may make additional investments beyond our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2024, we entered into a new credit facility, mortgage, and the Convertible Note as disclosed within this Report. There have been no other material changes in our contractual obligations since the end of</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fiscal 2023. See our Annual Report on Form 10-K for the fiscal year ended April 28, 2023 for additional information regarding our contractual obligations and commercial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29, 2023. We discuss our critical accounting estimates in "Part II, Item 7. Management’s Discussion and Analysis of Financial Condition and Results of Operations" in our Annual Report on Form 10-K for the fiscal year ended April 29,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29, 2023. During the first quarter of fiscal 2024, we entered into the ABL and the $15.0 million delayed draw loan which are subject to interest rate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material changes in our exposure to these risks during the first six months of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of October 28, 2023,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October 28, 2023, our disclosure controls and procedures were not effective due to the material weakness in internal control over financial reporting described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this identified material weakness, our Chief Executive Officer and Chief Financial Officer believe the condensed consolidated financial statements included in this Quarterly Report on Form 10-Q fairly represent, in all material respects, our financial condition, results of operations and cash flows for the periods presented in conformity with accounting principles generally accepted in the United States of America. We are in the process of remediating the material weakness in our internal control, as described below under the section below entitled "Remediation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 2, Item 9A of our Annual Report on Form 10-K for the fiscal year ended April 29, 2023, which was filed with the Securities and Exchange Commission on July 12, 2023, management concluded that our internal control over financial reporting was not effective as of April 29, 2023. Management identified a material weakness related to the ineffective operation of certain transactional level controls related to revenue contracts recognized over time. These controls operated ineffectively due to insufficient training of the control operators as to the level of precision expected when executing the revenue controls in accordance with the Company's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remediation plan includes providing training to the revenue control operators relating to the level of precision expected when executing these controls in accordance with the Company's policy. During the first six months of fiscal 2024, we conducted additional training of our control operators.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October 28, 2023, there have been no changes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7. Commitments and Contingencies" of the Notes to our Condensed Consolidated Financial Statements included in this Form 10-Q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our Annual Report on Form 10-K for the fiscal year ended April 29, 2023.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October 28, 2023, we did not repurchase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40" w:type="dxa"/>
            <w:vAlign w:val="bottom"/>
            <w:tcBorders>
              <w:left w:val="single" w:sz="8" w:color="CCEEFF"/>
            </w:tcBorders>
            <w:gridSpan w:val="2"/>
            <w:shd w:val="clear" w:color="auto" w:fill="CCEEFF"/>
          </w:tcPr>
          <w:p>
            <w:pPr>
              <w:ind w:left="2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0420" w:type="dxa"/>
            <w:vAlign w:val="bottom"/>
            <w:gridSpan w:val="56"/>
            <w:shd w:val="clear" w:color="auto" w:fill="CCEEFF"/>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Articles of Incorporation of the Company. (Incorporated by reference to Exhibit 3.1 of the Quarterly Report on Form</w:t>
              </w:r>
            </w:hyperlink>
          </w:p>
        </w:tc>
      </w:tr>
      <w:tr>
        <w:trPr>
          <w:trHeight w:val="136"/>
        </w:trPr>
        <w:tc>
          <w:tcPr>
            <w:tcW w:w="260" w:type="dxa"/>
            <w:vAlign w:val="bottom"/>
            <w:tcBorders>
              <w:top w:val="single" w:sz="8" w:color="0000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10120" w:type="dxa"/>
            <w:vAlign w:val="bottom"/>
            <w:tcBorders>
              <w:top w:val="single" w:sz="8" w:color="0000FF"/>
            </w:tcBorders>
            <w:gridSpan w:val="41"/>
            <w:shd w:val="clear" w:color="auto" w:fill="CCEEFF"/>
          </w:tcPr>
          <w:p>
            <w:pPr>
              <w:spacing w:after="0" w:line="136"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10-Q/A (Amendment No. 1) of Daktronics, Inc. filed on December 21, 2018).</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580" w:type="dxa"/>
            <w:vAlign w:val="bottom"/>
            <w:tcBorders>
              <w:top w:val="single" w:sz="8" w:color="0000FF"/>
            </w:tcBorders>
            <w:gridSpan w:val="9"/>
            <w:shd w:val="clear" w:color="auto" w:fill="CCEEFF"/>
          </w:tcPr>
          <w:p>
            <w:pPr>
              <w:spacing w:after="0"/>
              <w:rPr>
                <w:sz w:val="2"/>
                <w:szCs w:val="2"/>
                <w:color w:val="auto"/>
              </w:rPr>
            </w:pPr>
          </w:p>
        </w:tc>
        <w:tc>
          <w:tcPr>
            <w:tcW w:w="4840" w:type="dxa"/>
            <w:vAlign w:val="bottom"/>
            <w:tcBorders>
              <w:top w:val="single" w:sz="8" w:color="CCEEFF"/>
            </w:tcBorders>
            <w:gridSpan w:val="47"/>
            <w:shd w:val="clear" w:color="auto" w:fill="CCEEFF"/>
          </w:tcPr>
          <w:p>
            <w:pPr>
              <w:spacing w:after="0"/>
              <w:rPr>
                <w:sz w:val="2"/>
                <w:szCs w:val="2"/>
                <w:color w:val="auto"/>
              </w:rPr>
            </w:pPr>
          </w:p>
        </w:tc>
      </w:tr>
      <w:tr>
        <w:trPr>
          <w:trHeight w:val="203"/>
        </w:trPr>
        <w:tc>
          <w:tcPr>
            <w:tcW w:w="340" w:type="dxa"/>
            <w:vAlign w:val="bottom"/>
            <w:gridSpan w:val="2"/>
          </w:tcPr>
          <w:p>
            <w:pPr>
              <w:ind w:left="20"/>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Bylaws of the Company (Incorporated by reference to Exhibit 3.1 filed with our Current Report on Form 8-K filed</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320" w:type="dxa"/>
            <w:vAlign w:val="bottom"/>
            <w:tcBorders>
              <w:top w:val="single" w:sz="8" w:color="0000EE"/>
            </w:tcBorders>
            <w:gridSpan w:val="51"/>
          </w:tcPr>
          <w:p>
            <w:pPr>
              <w:spacing w:after="0" w:line="182"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on January 30,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1540" w:type="dxa"/>
            <w:vAlign w:val="bottom"/>
            <w:tcBorders>
              <w:top w:val="single" w:sz="8" w:color="0000EE"/>
            </w:tcBorders>
            <w:gridSpan w:val="3"/>
          </w:tcPr>
          <w:p>
            <w:pPr>
              <w:spacing w:after="0"/>
              <w:rPr>
                <w:sz w:val="4"/>
                <w:szCs w:val="4"/>
                <w:color w:val="auto"/>
              </w:rPr>
            </w:pPr>
          </w:p>
        </w:tc>
        <w:tc>
          <w:tcPr>
            <w:tcW w:w="8880" w:type="dxa"/>
            <w:vAlign w:val="bottom"/>
            <w:gridSpan w:val="53"/>
          </w:tcPr>
          <w:p>
            <w:pPr>
              <w:spacing w:after="0"/>
              <w:rPr>
                <w:sz w:val="4"/>
                <w:szCs w:val="4"/>
                <w:color w:val="auto"/>
              </w:rPr>
            </w:pPr>
          </w:p>
        </w:tc>
      </w:tr>
      <w:tr>
        <w:trPr>
          <w:trHeight w:val="203"/>
        </w:trPr>
        <w:tc>
          <w:tcPr>
            <w:tcW w:w="340" w:type="dxa"/>
            <w:vAlign w:val="bottom"/>
            <w:tcBorders>
              <w:left w:val="single" w:sz="8" w:color="CCEEFF"/>
            </w:tcBorders>
            <w:gridSpan w:val="2"/>
            <w:shd w:val="clear" w:color="auto" w:fill="CCEEFF"/>
          </w:tcPr>
          <w:p>
            <w:pPr>
              <w:ind w:left="20"/>
              <w:spacing w:after="0" w:line="20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300" w:type="dxa"/>
            <w:vAlign w:val="bottom"/>
            <w:tcBorders>
              <w:top w:val="single" w:sz="8" w:color="0000EE"/>
            </w:tcBorders>
            <w:gridSpan w:val="50"/>
            <w:shd w:val="clear" w:color="auto" w:fill="CCEEFF"/>
          </w:tcPr>
          <w:p>
            <w:pPr>
              <w:spacing w:after="0" w:line="182"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reference to Exhibit 4.1 of the Current Report on Form 8-K of Daktronics, Inc. filed on November 16, 2018, Commission File No. 000-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96"/>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0180" w:type="dxa"/>
            <w:vAlign w:val="bottom"/>
            <w:tcBorders>
              <w:top w:val="single" w:sz="8" w:color="0000EE"/>
            </w:tcBorders>
            <w:gridSpan w:val="44"/>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23246).</w:t>
              </w:r>
            </w:hyperlink>
          </w:p>
        </w:tc>
        <w:tc>
          <w:tcPr>
            <w:tcW w:w="240" w:type="dxa"/>
            <w:vAlign w:val="bottom"/>
            <w:tcBorders>
              <w:top w:val="single" w:sz="8" w:color="CCEEFF"/>
            </w:tcBorders>
            <w:gridSpan w:val="12"/>
            <w:shd w:val="clear" w:color="auto" w:fill="CCEEFF"/>
          </w:tcPr>
          <w:p>
            <w:pPr>
              <w:spacing w:after="0"/>
              <w:rPr>
                <w:sz w:val="17"/>
                <w:szCs w:val="17"/>
                <w:color w:val="auto"/>
              </w:rPr>
            </w:pPr>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9880" w:type="dxa"/>
            <w:vAlign w:val="bottom"/>
            <w:tcBorders>
              <w:top w:val="single" w:sz="8" w:color="CCEEFF"/>
            </w:tcBorders>
            <w:gridSpan w:val="55"/>
            <w:shd w:val="clear" w:color="auto" w:fill="CCEEFF"/>
          </w:tcPr>
          <w:p>
            <w:pPr>
              <w:spacing w:after="0"/>
              <w:rPr>
                <w:sz w:val="2"/>
                <w:szCs w:val="2"/>
                <w:color w:val="auto"/>
              </w:rPr>
            </w:pPr>
          </w:p>
        </w:tc>
      </w:tr>
      <w:tr>
        <w:trPr>
          <w:trHeight w:val="203"/>
        </w:trPr>
        <w:tc>
          <w:tcPr>
            <w:tcW w:w="340" w:type="dxa"/>
            <w:vAlign w:val="bottom"/>
            <w:gridSpan w:val="2"/>
          </w:tcPr>
          <w:p>
            <w:pPr>
              <w:ind w:left="20"/>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8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560" w:type="dxa"/>
            <w:vAlign w:val="bottom"/>
            <w:tcBorders>
              <w:top w:val="single" w:sz="8" w:color="0000EE"/>
            </w:tcBorders>
            <w:gridSpan w:val="26"/>
          </w:tcPr>
          <w:p>
            <w:pPr>
              <w:spacing w:after="0"/>
              <w:rPr>
                <w:sz w:val="4"/>
                <w:szCs w:val="4"/>
                <w:color w:val="auto"/>
              </w:rPr>
            </w:pPr>
          </w:p>
        </w:tc>
        <w:tc>
          <w:tcPr>
            <w:tcW w:w="860" w:type="dxa"/>
            <w:vAlign w:val="bottom"/>
            <w:gridSpan w:val="30"/>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Credit Agreement dated November 15, 2016 by and between the Company and U.S. Bank National Association (Incorporated by reference</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840" w:type="dxa"/>
            <w:vAlign w:val="bottom"/>
            <w:tcBorders>
              <w:top w:val="single" w:sz="8" w:color="0000EE"/>
              <w:bottom w:val="single" w:sz="8" w:color="0000EE"/>
            </w:tcBorders>
            <w:gridSpan w:val="17"/>
            <w:shd w:val="clear" w:color="auto" w:fill="CCEEFF"/>
          </w:tcPr>
          <w:p>
            <w:pPr>
              <w:spacing w:after="0" w:line="182"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to Exhibit 10.1 filed with our Current Report on Form 8-K filed on November 16, 2016, Commission File No. 000-23246).</w:t>
              </w:r>
            </w:hyperlink>
          </w:p>
        </w:tc>
        <w:tc>
          <w:tcPr>
            <w:tcW w:w="1560" w:type="dxa"/>
            <w:vAlign w:val="bottom"/>
            <w:tcBorders>
              <w:top w:val="single" w:sz="8" w:color="0000EE"/>
              <w:bottom w:val="single" w:sz="8" w:color="CCEEFF"/>
            </w:tcBorders>
            <w:gridSpan w:val="3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Revolving Note dated November 15, 2016 issued by the Company to U.S. Bank National Association (Incorporated by reference to Exhibit</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80" w:type="dxa"/>
            <w:vAlign w:val="bottom"/>
            <w:tcBorders>
              <w:top w:val="single" w:sz="8" w:color="0000EE"/>
            </w:tcBorders>
            <w:gridSpan w:val="49"/>
          </w:tcPr>
          <w:p>
            <w:pPr>
              <w:spacing w:after="0" w:line="18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filed with our Current Report on Form 8-K filed on November 16, 2016, Commission File No. 000-23246).</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080" w:type="dxa"/>
            <w:vAlign w:val="bottom"/>
            <w:tcBorders>
              <w:top w:val="single" w:sz="8" w:color="0000EE"/>
            </w:tcBorders>
            <w:gridSpan w:val="13"/>
          </w:tcPr>
          <w:p>
            <w:pPr>
              <w:spacing w:after="0"/>
              <w:rPr>
                <w:sz w:val="4"/>
                <w:szCs w:val="4"/>
                <w:color w:val="auto"/>
              </w:rPr>
            </w:pPr>
          </w:p>
        </w:tc>
        <w:tc>
          <w:tcPr>
            <w:tcW w:w="2340" w:type="dxa"/>
            <w:vAlign w:val="bottom"/>
            <w:gridSpan w:val="43"/>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Second Amendment to Credit Agreement dated as of November 15, 2019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(Incorporated by reference to Exhibit 10.1 filed with our Current Report on Form 8-K filed on November 15, 2019).</w:t>
              </w:r>
            </w:hyperlink>
          </w:p>
        </w:tc>
        <w:tc>
          <w:tcPr>
            <w:tcW w:w="2040" w:type="dxa"/>
            <w:vAlign w:val="bottom"/>
            <w:tcBorders>
              <w:top w:val="single" w:sz="8" w:color="0000EE"/>
              <w:bottom w:val="single" w:sz="8" w:color="CCEEFF"/>
            </w:tcBorders>
            <w:gridSpan w:val="38"/>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Third Amendment to Credit Agreement dated as of August 28, 2020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60" w:type="dxa"/>
            <w:vAlign w:val="bottom"/>
            <w:tcBorders>
              <w:top w:val="single" w:sz="8" w:color="0000EE"/>
            </w:tcBorders>
            <w:gridSpan w:val="48"/>
          </w:tcPr>
          <w:p>
            <w:pPr>
              <w:spacing w:after="0" w:line="18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(Incorporated by reference to Exhibit 10.4 filed with our Current Report on Form 10-Q of Daktronics, Inc. filed on August 28, 2020).</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580" w:type="dxa"/>
            <w:vAlign w:val="bottom"/>
            <w:tcBorders>
              <w:top w:val="single" w:sz="8" w:color="0000EE"/>
            </w:tcBorders>
            <w:gridSpan w:val="27"/>
          </w:tcPr>
          <w:p>
            <w:pPr>
              <w:spacing w:after="0"/>
              <w:rPr>
                <w:sz w:val="4"/>
                <w:szCs w:val="4"/>
                <w:color w:val="auto"/>
              </w:rPr>
            </w:pPr>
          </w:p>
        </w:tc>
        <w:tc>
          <w:tcPr>
            <w:tcW w:w="840" w:type="dxa"/>
            <w:vAlign w:val="bottom"/>
            <w:gridSpan w:val="29"/>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Fourth Amendment to Credit Agreement dated as of March 11, 2021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600" w:type="dxa"/>
            <w:vAlign w:val="bottom"/>
            <w:tcBorders>
              <w:top w:val="single" w:sz="8" w:color="0000EE"/>
              <w:bottom w:val="single" w:sz="8" w:color="0000EE"/>
            </w:tcBorders>
            <w:gridSpan w:val="10"/>
            <w:shd w:val="clear" w:color="auto" w:fill="CCEEFF"/>
          </w:tcPr>
          <w:p>
            <w:pPr>
              <w:spacing w:after="0" w:line="182"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(Incorporated by reference to Exhibit 10.5 filed with our Annual Report on Form 10-K on June 11, 2021).</w:t>
              </w:r>
            </w:hyperlink>
          </w:p>
        </w:tc>
        <w:tc>
          <w:tcPr>
            <w:tcW w:w="2160" w:type="dxa"/>
            <w:vAlign w:val="bottom"/>
            <w:tcBorders>
              <w:top w:val="single" w:sz="8" w:color="0000EE"/>
              <w:bottom w:val="single" w:sz="8" w:color="CCEEFF"/>
            </w:tcBorders>
            <w:gridSpan w:val="19"/>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Fifth Amendment to Credit Agreement dated as of April 29, 2022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54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Exhibit 10.1 filed with our Current Report on Form 8-K filed on April 29, 2022).</w:t>
              </w:r>
            </w:hyperlink>
          </w:p>
        </w:tc>
        <w:tc>
          <w:tcPr>
            <w:tcW w:w="1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7960" w:type="dxa"/>
            <w:vAlign w:val="bottom"/>
            <w:tcBorders>
              <w:top w:val="single" w:sz="8" w:color="0000EE"/>
            </w:tcBorders>
            <w:gridSpan w:val="11"/>
          </w:tcPr>
          <w:p>
            <w:pPr>
              <w:spacing w:after="0"/>
              <w:rPr>
                <w:sz w:val="4"/>
                <w:szCs w:val="4"/>
                <w:color w:val="auto"/>
              </w:rPr>
            </w:pPr>
          </w:p>
        </w:tc>
        <w:tc>
          <w:tcPr>
            <w:tcW w:w="2460" w:type="dxa"/>
            <w:vAlign w:val="bottom"/>
            <w:gridSpan w:val="45"/>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Amendment to Credit Agreement and Revolving Note dated as of August 16, 2022 by and between the Company and U.S. Bank National</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0" w:type="dxa"/>
            <w:vAlign w:val="bottom"/>
            <w:tcBorders>
              <w:top w:val="single" w:sz="8" w:color="0000EE"/>
              <w:bottom w:val="single" w:sz="8" w:color="0000EE"/>
            </w:tcBorders>
            <w:gridSpan w:val="18"/>
            <w:shd w:val="clear" w:color="auto" w:fill="CCEEFF"/>
          </w:tcPr>
          <w:p>
            <w:pPr>
              <w:spacing w:after="0" w:line="182"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Association (Incorporated by reference to Exhibit 10.1 filed with our Current Report on Form 8-K filed on August 18, 2022).</w:t>
              </w:r>
            </w:hyperlink>
          </w:p>
        </w:tc>
        <w:tc>
          <w:tcPr>
            <w:tcW w:w="900" w:type="dxa"/>
            <w:vAlign w:val="bottom"/>
            <w:tcBorders>
              <w:top w:val="single" w:sz="8" w:color="0000EE"/>
              <w:bottom w:val="single" w:sz="8" w:color="CCEEFF"/>
            </w:tcBorders>
            <w:gridSpan w:val="16"/>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Amendment to Credit Agreement and Revolving Note dated as of October 31, 2022 by and between the Company and U.S. Bank National</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960" w:type="dxa"/>
            <w:vAlign w:val="bottom"/>
            <w:tcBorders>
              <w:top w:val="single" w:sz="8" w:color="0000EE"/>
            </w:tcBorders>
            <w:gridSpan w:val="36"/>
          </w:tcPr>
          <w:p>
            <w:pPr>
              <w:spacing w:after="0" w:line="182"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Association (Incorporated by reference to Exhibit 10.1 filed with our Current Report on Form 8-K filed on November 1,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140" w:type="dxa"/>
            <w:vAlign w:val="bottom"/>
            <w:tcBorders>
              <w:top w:val="single" w:sz="8" w:color="0000EE"/>
            </w:tcBorders>
            <w:gridSpan w:val="19"/>
          </w:tcPr>
          <w:p>
            <w:pPr>
              <w:spacing w:after="0"/>
              <w:rPr>
                <w:sz w:val="4"/>
                <w:szCs w:val="4"/>
                <w:color w:val="auto"/>
              </w:rPr>
            </w:pPr>
          </w:p>
        </w:tc>
        <w:tc>
          <w:tcPr>
            <w:tcW w:w="1280" w:type="dxa"/>
            <w:vAlign w:val="bottom"/>
            <w:gridSpan w:val="37"/>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Sixth Amendment to Credit Agreement dated as of December 9, 2022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20" w:type="dxa"/>
            <w:vAlign w:val="bottom"/>
            <w:tcBorders>
              <w:top w:val="single" w:sz="8" w:color="0000EE"/>
              <w:bottom w:val="single" w:sz="8" w:color="0000EE"/>
            </w:tcBorders>
            <w:gridSpan w:val="15"/>
            <w:shd w:val="clear" w:color="auto" w:fill="CCEEFF"/>
          </w:tcPr>
          <w:p>
            <w:pPr>
              <w:spacing w:after="0" w:line="182"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(Incorporated by reference to Exhibit 10.1 filed with our Current Report on Form 8-K filed on December 13, 2022).</w:t>
              </w:r>
            </w:hyperlink>
          </w:p>
        </w:tc>
        <w:tc>
          <w:tcPr>
            <w:tcW w:w="1520" w:type="dxa"/>
            <w:vAlign w:val="bottom"/>
            <w:tcBorders>
              <w:top w:val="single" w:sz="8" w:color="0000EE"/>
              <w:bottom w:val="single" w:sz="8" w:color="CCEEFF"/>
            </w:tcBorders>
            <w:gridSpan w:val="17"/>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Seventh Amendment to Credit Agreement dated as of January 23, 2023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980" w:type="dxa"/>
            <w:vAlign w:val="bottom"/>
            <w:tcBorders>
              <w:top w:val="single" w:sz="8" w:color="0000EE"/>
            </w:tcBorders>
            <w:gridSpan w:val="37"/>
          </w:tcPr>
          <w:p>
            <w:pPr>
              <w:spacing w:after="0" w:line="182"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(Incorporated by reference to Exhibit 10.1 filed with our Current Report on Form 8-K filed on January 25,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140" w:type="dxa"/>
            <w:vAlign w:val="bottom"/>
            <w:tcBorders>
              <w:top w:val="single" w:sz="8" w:color="0000EE"/>
            </w:tcBorders>
            <w:gridSpan w:val="14"/>
          </w:tcPr>
          <w:p>
            <w:pPr>
              <w:spacing w:after="0"/>
              <w:rPr>
                <w:sz w:val="4"/>
                <w:szCs w:val="4"/>
                <w:color w:val="auto"/>
              </w:rPr>
            </w:pPr>
          </w:p>
        </w:tc>
        <w:tc>
          <w:tcPr>
            <w:tcW w:w="2280" w:type="dxa"/>
            <w:vAlign w:val="bottom"/>
            <w:gridSpan w:val="42"/>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w w:val="93"/>
              </w:rPr>
            </w:pPr>
            <w:hyperlink r:id="rId79">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Security Agreement dated as of August 28, 2020 by and between the Company and U.S. Bank National Association (Incorporated by</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reference to Exhibit 10.5 filed with our Current Report on Form 10-Q of Daktronics, Inc. filed on August 28, 2020).</w:t>
              </w:r>
            </w:hyperlink>
          </w:p>
        </w:tc>
        <w:tc>
          <w:tcPr>
            <w:tcW w:w="1840" w:type="dxa"/>
            <w:vAlign w:val="bottom"/>
            <w:tcBorders>
              <w:top w:val="single" w:sz="8" w:color="0000EE"/>
              <w:bottom w:val="single" w:sz="8" w:color="CCEEFF"/>
            </w:tcBorders>
            <w:gridSpan w:val="2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2"/>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340" w:type="dxa"/>
            <w:vAlign w:val="bottom"/>
            <w:tcBorders>
              <w:top w:val="single" w:sz="8" w:color="0000EE"/>
            </w:tcBorders>
            <w:gridSpan w:val="52"/>
          </w:tcPr>
          <w:p>
            <w:pPr>
              <w:spacing w:after="0" w:line="182"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Statement on Schedule 14A filed on July 16,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3800" w:type="dxa"/>
            <w:vAlign w:val="bottom"/>
            <w:tcBorders>
              <w:top w:val="single" w:sz="8" w:color="0000EE"/>
            </w:tcBorders>
            <w:gridSpan w:val="6"/>
          </w:tcPr>
          <w:p>
            <w:pPr>
              <w:spacing w:after="0"/>
              <w:rPr>
                <w:sz w:val="4"/>
                <w:szCs w:val="4"/>
                <w:color w:val="auto"/>
              </w:rPr>
            </w:pPr>
          </w:p>
        </w:tc>
        <w:tc>
          <w:tcPr>
            <w:tcW w:w="6620" w:type="dxa"/>
            <w:vAlign w:val="bottom"/>
            <w:gridSpan w:val="50"/>
          </w:tcPr>
          <w:p>
            <w:pPr>
              <w:spacing w:after="0"/>
              <w:rPr>
                <w:sz w:val="4"/>
                <w:szCs w:val="4"/>
                <w:color w:val="auto"/>
              </w:rPr>
            </w:pPr>
          </w:p>
        </w:tc>
      </w:tr>
      <w:tr>
        <w:trPr>
          <w:trHeight w:val="202"/>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520" w:type="dxa"/>
            <w:vAlign w:val="bottom"/>
            <w:tcBorders>
              <w:top w:val="single" w:sz="8" w:color="0000EE"/>
              <w:bottom w:val="single" w:sz="8" w:color="0000EE"/>
            </w:tcBorders>
            <w:gridSpan w:val="4"/>
            <w:shd w:val="clear" w:color="auto" w:fill="CCEEFF"/>
          </w:tcPr>
          <w:p>
            <w:pPr>
              <w:spacing w:after="0" w:line="182"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Form 8-K on September 3, 2020).*</w:t>
              </w:r>
            </w:hyperlink>
          </w:p>
        </w:tc>
        <w:tc>
          <w:tcPr>
            <w:tcW w:w="7820" w:type="dxa"/>
            <w:vAlign w:val="bottom"/>
            <w:tcBorders>
              <w:top w:val="single" w:sz="8" w:color="0000EE"/>
              <w:bottom w:val="single" w:sz="8" w:color="CCEEFF"/>
            </w:tcBorders>
            <w:gridSpan w:val="4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2"/>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360" w:type="dxa"/>
            <w:vAlign w:val="bottom"/>
            <w:tcBorders>
              <w:top w:val="single" w:sz="8" w:color="0000EE"/>
            </w:tcBorders>
            <w:gridSpan w:val="53"/>
          </w:tcPr>
          <w:p>
            <w:pPr>
              <w:spacing w:after="0" w:line="18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with our Current Report on Form 8-K on September 3, 2020).*</w:t>
              </w:r>
            </w:hyperlink>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4520" w:type="dxa"/>
            <w:vAlign w:val="bottom"/>
            <w:tcBorders>
              <w:top w:val="single" w:sz="8" w:color="0000EE"/>
            </w:tcBorders>
            <w:gridSpan w:val="7"/>
          </w:tcPr>
          <w:p>
            <w:pPr>
              <w:spacing w:after="0"/>
              <w:rPr>
                <w:sz w:val="4"/>
                <w:szCs w:val="4"/>
                <w:color w:val="auto"/>
              </w:rPr>
            </w:pPr>
          </w:p>
        </w:tc>
        <w:tc>
          <w:tcPr>
            <w:tcW w:w="5900" w:type="dxa"/>
            <w:vAlign w:val="bottom"/>
            <w:gridSpan w:val="49"/>
          </w:tcPr>
          <w:p>
            <w:pPr>
              <w:spacing w:after="0"/>
              <w:rPr>
                <w:sz w:val="4"/>
                <w:szCs w:val="4"/>
                <w:color w:val="auto"/>
              </w:rPr>
            </w:pPr>
          </w:p>
        </w:tc>
      </w:tr>
      <w:tr>
        <w:trPr>
          <w:trHeight w:val="202"/>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280" w:type="dxa"/>
            <w:vAlign w:val="bottom"/>
            <w:tcBorders>
              <w:top w:val="single" w:sz="8" w:color="0000EE"/>
              <w:bottom w:val="single" w:sz="8" w:color="0000EE"/>
            </w:tcBorders>
            <w:gridSpan w:val="5"/>
            <w:shd w:val="clear" w:color="auto" w:fill="CCEEFF"/>
          </w:tcPr>
          <w:p>
            <w:pPr>
              <w:spacing w:after="0" w:line="182"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Report on Form 8-K on September 3, 2020).*</w:t>
              </w:r>
            </w:hyperlink>
          </w:p>
        </w:tc>
        <w:tc>
          <w:tcPr>
            <w:tcW w:w="6920" w:type="dxa"/>
            <w:vAlign w:val="bottom"/>
            <w:tcBorders>
              <w:top w:val="single" w:sz="8" w:color="0000EE"/>
              <w:bottom w:val="single" w:sz="8" w:color="CCEEFF"/>
            </w:tcBorders>
            <w:gridSpan w:val="40"/>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9"/>
            <w:shd w:val="clear" w:color="auto" w:fill="CCEEFF"/>
          </w:tcPr>
          <w:p>
            <w:pPr>
              <w:spacing w:after="0"/>
              <w:rPr>
                <w:sz w:val="20"/>
                <w:szCs w:val="20"/>
                <w:color w:val="auto"/>
              </w:rPr>
            </w:pPr>
          </w:p>
        </w:tc>
      </w:tr>
      <w:tr>
        <w:trPr>
          <w:trHeight w:val="22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r>
      <w:tr>
        <w:trPr>
          <w:trHeight w:val="163"/>
        </w:trPr>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10240" w:type="dxa"/>
            <w:vAlign w:val="bottom"/>
            <w:tcBorders>
              <w:top w:val="single" w:sz="8" w:color="0000EE"/>
            </w:tcBorders>
            <w:gridSpan w:val="47"/>
          </w:tcPr>
          <w:p>
            <w:pPr>
              <w:spacing w:after="0" w:line="163"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Form 8-K on September 3, 2020).*</w:t>
              </w:r>
            </w:hyperlink>
          </w:p>
        </w:tc>
        <w:tc>
          <w:tcPr>
            <w:tcW w:w="180" w:type="dxa"/>
            <w:vAlign w:val="bottom"/>
            <w:gridSpan w:val="9"/>
          </w:tcPr>
          <w:p>
            <w:pPr>
              <w:spacing w:after="0"/>
              <w:rPr>
                <w:sz w:val="14"/>
                <w:szCs w:val="14"/>
                <w:color w:val="auto"/>
              </w:rPr>
            </w:pPr>
          </w:p>
        </w:tc>
      </w:tr>
      <w:tr>
        <w:trPr>
          <w:trHeight w:val="48"/>
        </w:trPr>
        <w:tc>
          <w:tcPr>
            <w:tcW w:w="1060" w:type="dxa"/>
            <w:vAlign w:val="bottom"/>
            <w:gridSpan w:val="4"/>
          </w:tcPr>
          <w:p>
            <w:pPr>
              <w:spacing w:after="0"/>
              <w:rPr>
                <w:sz w:val="4"/>
                <w:szCs w:val="4"/>
                <w:color w:val="auto"/>
              </w:rPr>
            </w:pPr>
          </w:p>
        </w:tc>
        <w:tc>
          <w:tcPr>
            <w:tcW w:w="3280" w:type="dxa"/>
            <w:vAlign w:val="bottom"/>
            <w:tcBorders>
              <w:top w:val="single" w:sz="8" w:color="0000EE"/>
            </w:tcBorders>
            <w:gridSpan w:val="5"/>
          </w:tcPr>
          <w:p>
            <w:pPr>
              <w:spacing w:after="0"/>
              <w:rPr>
                <w:sz w:val="4"/>
                <w:szCs w:val="4"/>
                <w:color w:val="auto"/>
              </w:rPr>
            </w:pPr>
          </w:p>
        </w:tc>
        <w:tc>
          <w:tcPr>
            <w:tcW w:w="7140" w:type="dxa"/>
            <w:vAlign w:val="bottom"/>
            <w:gridSpan w:val="51"/>
          </w:tcPr>
          <w:p>
            <w:pPr>
              <w:spacing w:after="0"/>
              <w:rPr>
                <w:sz w:val="4"/>
                <w:szCs w:val="4"/>
                <w:color w:val="auto"/>
              </w:rPr>
            </w:pPr>
          </w:p>
        </w:tc>
      </w:tr>
      <w:tr>
        <w:trPr>
          <w:trHeight w:val="22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Cooperation Agreement dated July 23, 2022 by and between the Company and Prairieland Holdco, LLC (Incorporated by reference to</w:t>
              </w:r>
            </w:hyperlink>
          </w:p>
        </w:tc>
      </w:tr>
      <w:tr>
        <w:trPr>
          <w:trHeight w:val="210"/>
        </w:trPr>
        <w:tc>
          <w:tcPr>
            <w:tcW w:w="260" w:type="dxa"/>
            <w:vAlign w:val="bottom"/>
            <w:tcBorders>
              <w:top w:val="single" w:sz="8" w:color="0000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360" w:type="dxa"/>
            <w:vAlign w:val="bottom"/>
            <w:tcBorders>
              <w:top w:val="single" w:sz="8" w:color="0000EE"/>
              <w:bottom w:val="single" w:sz="8" w:color="0000EE"/>
            </w:tcBorders>
            <w:gridSpan w:val="8"/>
            <w:shd w:val="clear" w:color="auto" w:fill="CCEEFF"/>
          </w:tcPr>
          <w:p>
            <w:pPr>
              <w:spacing w:after="0" w:line="163"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Exhibit 10.1 filed with our Current Report on Form 8-K on July 27, 2022).</w:t>
              </w:r>
            </w:hyperlink>
          </w:p>
        </w:tc>
        <w:tc>
          <w:tcPr>
            <w:tcW w:w="4860" w:type="dxa"/>
            <w:vAlign w:val="bottom"/>
            <w:tcBorders>
              <w:top w:val="single" w:sz="8" w:color="0000EE"/>
              <w:bottom w:val="single" w:sz="8" w:color="CCEEFF"/>
            </w:tcBorders>
            <w:gridSpan w:val="38"/>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10"/>
            <w:shd w:val="clear" w:color="auto" w:fill="CCEEFF"/>
          </w:tcPr>
          <w:p>
            <w:pPr>
              <w:spacing w:after="0"/>
              <w:rPr>
                <w:sz w:val="18"/>
                <w:szCs w:val="18"/>
                <w:color w:val="auto"/>
              </w:rPr>
            </w:pPr>
          </w:p>
        </w:tc>
      </w:tr>
      <w:tr>
        <w:trPr>
          <w:trHeight w:val="22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Standstill and Voting Agreement dated as of March 19, 2023 by and among Daktronics, Inc., Alta Fox Management, LLC and Connor Haley</w:t>
              </w:r>
            </w:hyperlink>
          </w:p>
        </w:tc>
      </w:tr>
      <w:tr>
        <w:trPr>
          <w:trHeight w:val="163"/>
        </w:trPr>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10160" w:type="dxa"/>
            <w:vAlign w:val="bottom"/>
            <w:tcBorders>
              <w:top w:val="single" w:sz="8" w:color="0000FF"/>
            </w:tcBorders>
            <w:gridSpan w:val="43"/>
          </w:tcPr>
          <w:p>
            <w:pPr>
              <w:spacing w:after="0" w:line="163"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(Incorporated by reference to Exhibit 10.1 filed with the Current Report on Form 8-K of Daktronics, Inc. filed on March 20, 2023).</w:t>
              </w:r>
            </w:hyperlink>
          </w:p>
        </w:tc>
        <w:tc>
          <w:tcPr>
            <w:tcW w:w="260" w:type="dxa"/>
            <w:vAlign w:val="bottom"/>
            <w:gridSpan w:val="13"/>
          </w:tcPr>
          <w:p>
            <w:pPr>
              <w:spacing w:after="0"/>
              <w:rPr>
                <w:sz w:val="14"/>
                <w:szCs w:val="14"/>
                <w:color w:val="auto"/>
              </w:rPr>
            </w:pPr>
          </w:p>
        </w:tc>
      </w:tr>
      <w:tr>
        <w:trPr>
          <w:trHeight w:val="48"/>
        </w:trPr>
        <w:tc>
          <w:tcPr>
            <w:tcW w:w="1060" w:type="dxa"/>
            <w:vAlign w:val="bottom"/>
            <w:gridSpan w:val="4"/>
          </w:tcPr>
          <w:p>
            <w:pPr>
              <w:spacing w:after="0"/>
              <w:rPr>
                <w:sz w:val="4"/>
                <w:szCs w:val="4"/>
                <w:color w:val="auto"/>
              </w:rPr>
            </w:pPr>
          </w:p>
        </w:tc>
        <w:tc>
          <w:tcPr>
            <w:tcW w:w="9420" w:type="dxa"/>
            <w:vAlign w:val="bottom"/>
            <w:tcBorders>
              <w:top w:val="single" w:sz="8" w:color="0000FF"/>
            </w:tcBorders>
            <w:gridSpan w:val="23"/>
          </w:tcPr>
          <w:p>
            <w:pPr>
              <w:spacing w:after="0"/>
              <w:rPr>
                <w:sz w:val="4"/>
                <w:szCs w:val="4"/>
                <w:color w:val="auto"/>
              </w:rPr>
            </w:pPr>
          </w:p>
        </w:tc>
        <w:tc>
          <w:tcPr>
            <w:tcW w:w="1000" w:type="dxa"/>
            <w:vAlign w:val="bottom"/>
            <w:gridSpan w:val="33"/>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Credit Agreement dated as of May 11, 2023 by and among Daktronics, Inc. and the other Borrowers; the other Loan Parties to the Credit</w:t>
              </w:r>
            </w:hyperlink>
          </w:p>
        </w:tc>
      </w:tr>
      <w:tr>
        <w:trPr>
          <w:trHeight w:val="183"/>
        </w:trPr>
        <w:tc>
          <w:tcPr>
            <w:tcW w:w="260" w:type="dxa"/>
            <w:vAlign w:val="bottom"/>
            <w:tcBorders>
              <w:top w:val="single" w:sz="8" w:color="0000FF"/>
              <w:left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720" w:type="dxa"/>
            <w:vAlign w:val="bottom"/>
            <w:tcBorders>
              <w:top w:val="single" w:sz="8" w:color="0000FF"/>
              <w:bottom w:val="single" w:sz="8" w:color="0000FF"/>
            </w:tcBorders>
            <w:gridSpan w:val="28"/>
            <w:shd w:val="clear" w:color="auto" w:fill="CCEEFF"/>
          </w:tcPr>
          <w:p>
            <w:pPr>
              <w:spacing w:after="0" w:line="182"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Agreement; the Lenders party to the Credit Agreement; and JPMorgan Chase Bank, N.A., in its capacity as administrative agent for the</w:t>
              </w:r>
            </w:hyperlink>
          </w:p>
        </w:tc>
        <w:tc>
          <w:tcPr>
            <w:tcW w:w="10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13"/>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Lenders (Incorporated by reference to Exhibit 10.1 filed with the Current Report on Form 8-K of Daktronics, Inc. filed on May 12, 2023).</w:t>
              </w:r>
            </w:hyperlink>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9920" w:type="dxa"/>
            <w:vAlign w:val="bottom"/>
            <w:tcBorders>
              <w:top w:val="single" w:sz="8" w:color="0000FF"/>
            </w:tcBorders>
            <w:gridSpan w:val="35"/>
            <w:shd w:val="clear" w:color="auto" w:fill="CCEEFF"/>
          </w:tcPr>
          <w:p>
            <w:pPr>
              <w:spacing w:after="0"/>
              <w:rPr>
                <w:sz w:val="2"/>
                <w:szCs w:val="2"/>
                <w:color w:val="auto"/>
              </w:rPr>
            </w:pPr>
          </w:p>
        </w:tc>
        <w:tc>
          <w:tcPr>
            <w:tcW w:w="500" w:type="dxa"/>
            <w:vAlign w:val="bottom"/>
            <w:tcBorders>
              <w:top w:val="single" w:sz="8" w:color="CCEEFF"/>
            </w:tcBorders>
            <w:gridSpan w:val="21"/>
            <w:shd w:val="clear" w:color="auto" w:fill="CCEEFF"/>
          </w:tcPr>
          <w:p>
            <w:pPr>
              <w:spacing w:after="0"/>
              <w:rPr>
                <w:sz w:val="2"/>
                <w:szCs w:val="2"/>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Pledge and Security Agreement dated as of May 11, 2023 by and among Daktronics, Inc., Daktronics Installation, Inc., and JPMorgan Chase</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140" w:type="dxa"/>
            <w:vAlign w:val="bottom"/>
            <w:tcBorders>
              <w:top w:val="single" w:sz="8" w:color="0000FF"/>
            </w:tcBorders>
            <w:gridSpan w:val="42"/>
          </w:tcPr>
          <w:p>
            <w:pPr>
              <w:spacing w:after="0" w:line="182"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Bank, N.A. (Incorporated by reference to Exhibit 10.2 filed with the Current Report on Form 8-K of Daktronics, Inc. filed on May 12, 2023)</w:t>
              </w:r>
            </w:hyperlink>
          </w:p>
        </w:tc>
        <w:tc>
          <w:tcPr>
            <w:tcW w:w="280" w:type="dxa"/>
            <w:vAlign w:val="bottom"/>
            <w:gridSpan w:val="14"/>
          </w:tcPr>
          <w:p>
            <w:pPr>
              <w:jc w:val="right"/>
              <w:ind w:right="280"/>
              <w:spacing w:after="0"/>
              <w:rPr>
                <w:rFonts w:ascii="Times New Roman" w:cs="Times New Roman" w:eastAsia="Times New Roman" w:hAnsi="Times New Roman"/>
                <w:sz w:val="11"/>
                <w:szCs w:val="11"/>
                <w:color w:val="0000FF"/>
                <w:w w:val="70"/>
              </w:rPr>
            </w:pPr>
            <w:hyperlink r:id="rId94">
              <w:r>
                <w:rPr>
                  <w:rFonts w:ascii="Times New Roman" w:cs="Times New Roman" w:eastAsia="Times New Roman" w:hAnsi="Times New Roman"/>
                  <w:sz w:val="11"/>
                  <w:szCs w:val="11"/>
                  <w:color w:val="0000FF"/>
                  <w:w w:val="70"/>
                </w:rPr>
                <w:t>.</w:t>
              </w:r>
            </w:hyperlink>
          </w:p>
        </w:tc>
      </w:tr>
      <w:tr>
        <w:trPr>
          <w:trHeight w:val="47"/>
        </w:trPr>
        <w:tc>
          <w:tcPr>
            <w:tcW w:w="1060" w:type="dxa"/>
            <w:vAlign w:val="bottom"/>
            <w:gridSpan w:val="4"/>
          </w:tcPr>
          <w:p>
            <w:pPr>
              <w:spacing w:after="0"/>
              <w:rPr>
                <w:sz w:val="4"/>
                <w:szCs w:val="4"/>
                <w:color w:val="auto"/>
              </w:rPr>
            </w:pPr>
          </w:p>
        </w:tc>
        <w:tc>
          <w:tcPr>
            <w:tcW w:w="10180" w:type="dxa"/>
            <w:vAlign w:val="bottom"/>
            <w:tcBorders>
              <w:top w:val="single" w:sz="8" w:color="0000FF"/>
            </w:tcBorders>
            <w:gridSpan w:val="44"/>
          </w:tcPr>
          <w:p>
            <w:pPr>
              <w:spacing w:after="0"/>
              <w:rPr>
                <w:sz w:val="4"/>
                <w:szCs w:val="4"/>
                <w:color w:val="auto"/>
              </w:rPr>
            </w:pPr>
          </w:p>
        </w:tc>
        <w:tc>
          <w:tcPr>
            <w:tcW w:w="240" w:type="dxa"/>
            <w:vAlign w:val="bottom"/>
            <w:gridSpan w:val="12"/>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Securities Purchase Agreement dated as of May 11, 2023 by and between Daktronics, Inc. and Alta Fox Opportunities Fund, LP</w:t>
              </w:r>
            </w:hyperlink>
          </w:p>
        </w:tc>
      </w:tr>
      <w:tr>
        <w:trPr>
          <w:trHeight w:val="183"/>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9220" w:type="dxa"/>
            <w:vAlign w:val="bottom"/>
            <w:tcBorders>
              <w:top w:val="single" w:sz="8" w:color="0000FF"/>
            </w:tcBorders>
            <w:gridSpan w:val="21"/>
            <w:shd w:val="clear" w:color="auto" w:fill="CCEEFF"/>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(Incorporated by reference to Exhibit 10.3 filed with the Current Report on Form 8-K of Daktronics, Inc. filed on May 12, 2023)</w:t>
              </w:r>
            </w:hyperlink>
          </w:p>
        </w:tc>
        <w:tc>
          <w:tcPr>
            <w:tcW w:w="300" w:type="dxa"/>
            <w:vAlign w:val="bottom"/>
            <w:tcBorders>
              <w:top w:val="single" w:sz="8" w:color="CCEEFF"/>
            </w:tcBorders>
            <w:gridSpan w:val="3"/>
            <w:shd w:val="clear" w:color="auto" w:fill="CCEEFF"/>
          </w:tcPr>
          <w:p>
            <w:pPr>
              <w:jc w:val="right"/>
              <w:ind w:right="240"/>
              <w:spacing w:after="0" w:line="182" w:lineRule="exact"/>
              <w:rPr>
                <w:rFonts w:ascii="Times New Roman" w:cs="Times New Roman" w:eastAsia="Times New Roman" w:hAnsi="Times New Roman"/>
                <w:sz w:val="18"/>
                <w:szCs w:val="18"/>
                <w:color w:val="0000FF"/>
                <w:w w:val="87"/>
              </w:rPr>
            </w:pPr>
            <w:hyperlink r:id="rId95">
              <w:r>
                <w:rPr>
                  <w:rFonts w:ascii="Times New Roman" w:cs="Times New Roman" w:eastAsia="Times New Roman" w:hAnsi="Times New Roman"/>
                  <w:sz w:val="18"/>
                  <w:szCs w:val="18"/>
                  <w:color w:val="0000FF"/>
                  <w:w w:val="87"/>
                </w:rPr>
                <w:t>.</w:t>
              </w:r>
            </w:hyperlink>
          </w:p>
        </w:tc>
        <w:tc>
          <w:tcPr>
            <w:tcW w:w="360" w:type="dxa"/>
            <w:vAlign w:val="bottom"/>
            <w:tcBorders>
              <w:top w:val="single" w:sz="8" w:color="CCEEFF"/>
            </w:tcBorders>
            <w:gridSpan w:val="9"/>
            <w:shd w:val="clear" w:color="auto" w:fill="CCEEFF"/>
          </w:tcPr>
          <w:p>
            <w:pPr>
              <w:spacing w:after="0"/>
              <w:rPr>
                <w:sz w:val="15"/>
                <w:szCs w:val="15"/>
                <w:color w:val="auto"/>
              </w:rPr>
            </w:pPr>
          </w:p>
        </w:tc>
        <w:tc>
          <w:tcPr>
            <w:tcW w:w="120" w:type="dxa"/>
            <w:vAlign w:val="bottom"/>
            <w:tcBorders>
              <w:top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16"/>
            <w:shd w:val="clear" w:color="auto" w:fill="CCEEFF"/>
          </w:tcPr>
          <w:p>
            <w:pPr>
              <w:spacing w:after="0"/>
              <w:rPr>
                <w:sz w:val="15"/>
                <w:szCs w:val="15"/>
                <w:color w:val="auto"/>
              </w:rPr>
            </w:pPr>
          </w:p>
        </w:tc>
      </w:tr>
      <w:tr>
        <w:trPr>
          <w:trHeight w:val="48"/>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9280" w:type="dxa"/>
            <w:vAlign w:val="bottom"/>
            <w:tcBorders>
              <w:top w:val="single" w:sz="8" w:color="0000FF"/>
            </w:tcBorders>
            <w:gridSpan w:val="22"/>
            <w:shd w:val="clear" w:color="auto" w:fill="CCEEFF"/>
          </w:tcPr>
          <w:p>
            <w:pPr>
              <w:spacing w:after="0"/>
              <w:rPr>
                <w:sz w:val="4"/>
                <w:szCs w:val="4"/>
                <w:color w:val="auto"/>
              </w:rPr>
            </w:pPr>
          </w:p>
        </w:tc>
        <w:tc>
          <w:tcPr>
            <w:tcW w:w="1140" w:type="dxa"/>
            <w:vAlign w:val="bottom"/>
            <w:tcBorders>
              <w:top w:val="single" w:sz="8" w:color="CCEEFF"/>
            </w:tcBorders>
            <w:gridSpan w:val="34"/>
            <w:shd w:val="clear" w:color="auto" w:fill="CCEEFF"/>
          </w:tcPr>
          <w:p>
            <w:pPr>
              <w:spacing w:after="0"/>
              <w:rPr>
                <w:sz w:val="4"/>
                <w:szCs w:val="4"/>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Senior Secured Convertible Note dated as of May 11, 2023 issued by Daktronics, Inc. to Alta Fox Opportunities Fund, LP (Incorporated by</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20" w:type="dxa"/>
            <w:vAlign w:val="bottom"/>
            <w:tcBorders>
              <w:top w:val="single" w:sz="8" w:color="0000FF"/>
            </w:tcBorders>
            <w:gridSpan w:val="39"/>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reference to Exhibit 10.4 filed with the Current Report on Form 8-K of Daktronics, Inc. filed on May 12, 2023).</w:t>
              </w:r>
            </w:hyperlink>
          </w:p>
        </w:tc>
        <w:tc>
          <w:tcPr>
            <w:tcW w:w="80" w:type="dxa"/>
            <w:vAlign w:val="bottom"/>
          </w:tcPr>
          <w:p>
            <w:pPr>
              <w:spacing w:after="0"/>
              <w:rPr>
                <w:sz w:val="15"/>
                <w:szCs w:val="15"/>
                <w:color w:val="auto"/>
              </w:rPr>
            </w:pPr>
          </w:p>
        </w:tc>
        <w:tc>
          <w:tcPr>
            <w:tcW w:w="320" w:type="dxa"/>
            <w:vAlign w:val="bottom"/>
            <w:gridSpan w:val="16"/>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040" w:type="dxa"/>
            <w:vAlign w:val="bottom"/>
            <w:tcBorders>
              <w:top w:val="single" w:sz="8" w:color="0000FF"/>
            </w:tcBorders>
            <w:gridSpan w:val="12"/>
          </w:tcPr>
          <w:p>
            <w:pPr>
              <w:spacing w:after="0"/>
              <w:rPr>
                <w:sz w:val="4"/>
                <w:szCs w:val="4"/>
                <w:color w:val="auto"/>
              </w:rPr>
            </w:pPr>
          </w:p>
        </w:tc>
        <w:tc>
          <w:tcPr>
            <w:tcW w:w="2380" w:type="dxa"/>
            <w:vAlign w:val="bottom"/>
            <w:gridSpan w:val="44"/>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w w:val="93"/>
              </w:rPr>
            </w:pPr>
            <w:hyperlink r:id="rId9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23</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Pledge and Security Agreement dated as of May 11, 2023 by and among Daktronics, Inc., Daktronics Installation, Inc., and Alta Fox</w:t>
              </w:r>
            </w:hyperlink>
          </w:p>
        </w:tc>
      </w:tr>
      <w:tr>
        <w:trPr>
          <w:trHeight w:val="20"/>
        </w:trPr>
        <w:tc>
          <w:tcPr>
            <w:tcW w:w="260" w:type="dxa"/>
            <w:vAlign w:val="bottom"/>
            <w:tcBorders>
              <w:left w:val="single" w:sz="8" w:color="CCEEFF"/>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bottom w:val="single" w:sz="8" w:color="CCEEFF"/>
            </w:tcBorders>
            <w:gridSpan w:val="2"/>
            <w:shd w:val="clear" w:color="auto" w:fill="0000FF"/>
          </w:tcPr>
          <w:p>
            <w:pPr>
              <w:spacing w:after="0" w:line="20" w:lineRule="exact"/>
              <w:rPr>
                <w:sz w:val="1"/>
                <w:szCs w:val="1"/>
                <w:color w:val="auto"/>
              </w:rPr>
            </w:pPr>
          </w:p>
        </w:tc>
        <w:tc>
          <w:tcPr>
            <w:tcW w:w="8120" w:type="dxa"/>
            <w:vAlign w:val="bottom"/>
            <w:tcBorders>
              <w:bottom w:val="single" w:sz="8" w:color="CCEEFF"/>
            </w:tcBorders>
            <w:gridSpan w:val="18"/>
            <w:shd w:val="clear" w:color="auto" w:fill="0000FF"/>
          </w:tcPr>
          <w:p>
            <w:pPr>
              <w:spacing w:after="0" w:line="20" w:lineRule="exact"/>
              <w:rPr>
                <w:sz w:val="1"/>
                <w:szCs w:val="1"/>
                <w:color w:val="auto"/>
              </w:rPr>
            </w:pPr>
          </w:p>
        </w:tc>
        <w:tc>
          <w:tcPr>
            <w:tcW w:w="320" w:type="dxa"/>
            <w:vAlign w:val="bottom"/>
            <w:tcBorders>
              <w:bottom w:val="single" w:sz="8" w:color="CCEEFF"/>
            </w:tcBorders>
            <w:gridSpan w:val="4"/>
            <w:shd w:val="clear" w:color="auto" w:fill="0000FF"/>
          </w:tcPr>
          <w:p>
            <w:pPr>
              <w:spacing w:after="0" w:line="20" w:lineRule="exact"/>
              <w:rPr>
                <w:sz w:val="1"/>
                <w:szCs w:val="1"/>
                <w:color w:val="auto"/>
              </w:rPr>
            </w:pPr>
          </w:p>
        </w:tc>
        <w:tc>
          <w:tcPr>
            <w:tcW w:w="360" w:type="dxa"/>
            <w:vAlign w:val="bottom"/>
            <w:tcBorders>
              <w:bottom w:val="single" w:sz="8" w:color="CCEEFF"/>
            </w:tcBorders>
            <w:gridSpan w:val="9"/>
            <w:shd w:val="clear" w:color="auto" w:fill="CCEEFF"/>
          </w:tcPr>
          <w:p>
            <w:pPr>
              <w:spacing w:after="0" w:line="20" w:lineRule="exact"/>
              <w:rPr>
                <w:sz w:val="1"/>
                <w:szCs w:val="1"/>
                <w:color w:val="auto"/>
              </w:rPr>
            </w:pPr>
          </w:p>
        </w:tc>
        <w:tc>
          <w:tcPr>
            <w:tcW w:w="120" w:type="dxa"/>
            <w:vAlign w:val="bottom"/>
            <w:tcBorders>
              <w:bottom w:val="single" w:sz="8" w:color="CCEEFF"/>
            </w:tcBorders>
            <w:gridSpan w:val="5"/>
            <w:shd w:val="clear" w:color="auto" w:fill="CCEEFF"/>
          </w:tcPr>
          <w:p>
            <w:pPr>
              <w:spacing w:after="0" w:line="20" w:lineRule="exact"/>
              <w:rPr>
                <w:sz w:val="1"/>
                <w:szCs w:val="1"/>
                <w:color w:val="auto"/>
              </w:rPr>
            </w:pPr>
          </w:p>
        </w:tc>
        <w:tc>
          <w:tcPr>
            <w:tcW w:w="10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gridSpan w:val="16"/>
            <w:shd w:val="clear" w:color="auto" w:fill="CCEEFF"/>
          </w:tcPr>
          <w:p>
            <w:pPr>
              <w:spacing w:after="0" w:line="20" w:lineRule="exact"/>
              <w:rPr>
                <w:sz w:val="1"/>
                <w:szCs w:val="1"/>
                <w:color w:val="auto"/>
              </w:rPr>
            </w:pPr>
          </w:p>
        </w:tc>
      </w:tr>
      <w:tr>
        <w:trPr>
          <w:trHeight w:val="163"/>
        </w:trPr>
        <w:tc>
          <w:tcPr>
            <w:tcW w:w="26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spacing w:after="0"/>
              <w:rPr>
                <w:sz w:val="14"/>
                <w:szCs w:val="14"/>
                <w:color w:val="auto"/>
              </w:rPr>
            </w:pPr>
          </w:p>
        </w:tc>
        <w:tc>
          <w:tcPr>
            <w:tcW w:w="9880" w:type="dxa"/>
            <w:vAlign w:val="bottom"/>
            <w:tcBorders>
              <w:bottom w:val="single" w:sz="8" w:color="0000FF"/>
            </w:tcBorders>
            <w:gridSpan w:val="33"/>
            <w:shd w:val="clear" w:color="auto" w:fill="CCEEFF"/>
          </w:tcPr>
          <w:p>
            <w:pPr>
              <w:spacing w:after="0" w:line="163"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Opportunities Fund, LP (Incorporated by reference to Exhibit 10.5 filed with the Current Report on Form 8-K of Daktronics, Inc. filed on</w:t>
              </w:r>
            </w:hyperlink>
          </w:p>
        </w:tc>
        <w:tc>
          <w:tcPr>
            <w:tcW w:w="540" w:type="dxa"/>
            <w:vAlign w:val="bottom"/>
            <w:tcBorders>
              <w:bottom w:val="single" w:sz="8" w:color="CCEEFF"/>
            </w:tcBorders>
            <w:gridSpan w:val="23"/>
            <w:shd w:val="clear" w:color="auto" w:fill="CCEEFF"/>
          </w:tcPr>
          <w:p>
            <w:pPr>
              <w:spacing w:after="0"/>
              <w:rPr>
                <w:sz w:val="14"/>
                <w:szCs w:val="14"/>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May 12, 2023).</w:t>
              </w:r>
            </w:hyperlink>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080" w:type="dxa"/>
            <w:vAlign w:val="bottom"/>
            <w:tcBorders>
              <w:top w:val="single" w:sz="8" w:color="0000FF"/>
            </w:tcBorders>
            <w:gridSpan w:val="2"/>
            <w:shd w:val="clear" w:color="auto" w:fill="CCEEFF"/>
          </w:tcPr>
          <w:p>
            <w:pPr>
              <w:spacing w:after="0"/>
              <w:rPr>
                <w:sz w:val="2"/>
                <w:szCs w:val="2"/>
                <w:color w:val="auto"/>
              </w:rPr>
            </w:pPr>
          </w:p>
        </w:tc>
        <w:tc>
          <w:tcPr>
            <w:tcW w:w="9340" w:type="dxa"/>
            <w:vAlign w:val="bottom"/>
            <w:tcBorders>
              <w:top w:val="single" w:sz="8" w:color="CCEEFF"/>
            </w:tcBorders>
            <w:gridSpan w:val="54"/>
            <w:shd w:val="clear" w:color="auto" w:fill="CCEEFF"/>
          </w:tcPr>
          <w:p>
            <w:pPr>
              <w:spacing w:after="0"/>
              <w:rPr>
                <w:sz w:val="2"/>
                <w:szCs w:val="2"/>
                <w:color w:val="auto"/>
              </w:rPr>
            </w:pPr>
          </w:p>
        </w:tc>
      </w:tr>
      <w:tr>
        <w:trPr>
          <w:trHeight w:val="202"/>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Registration Rights Agreement dated as of May 11, 2023 by and between Daktronics, Inc. and Alta Fox Opportunities Fund, LP</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(Incorporated by reference to Exhibit 10.6 filed with the Current Report on Form 8-K of Daktronics, Inc. filed on May 12, 2023)</w:t>
              </w:r>
            </w:hyperlink>
          </w:p>
        </w:tc>
        <w:tc>
          <w:tcPr>
            <w:tcW w:w="800" w:type="dxa"/>
            <w:vAlign w:val="bottom"/>
            <w:gridSpan w:val="18"/>
          </w:tcPr>
          <w:p>
            <w:pPr>
              <w:jc w:val="right"/>
              <w:ind w:right="720"/>
              <w:spacing w:after="0" w:line="18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w:t>
              </w:r>
            </w:hyperlink>
          </w:p>
        </w:tc>
        <w:tc>
          <w:tcPr>
            <w:tcW w:w="100" w:type="dxa"/>
            <w:vAlign w:val="bottom"/>
            <w:gridSpan w:val="2"/>
          </w:tcPr>
          <w:p>
            <w:pPr>
              <w:spacing w:after="0"/>
              <w:rPr>
                <w:sz w:val="15"/>
                <w:szCs w:val="15"/>
                <w:color w:val="auto"/>
              </w:rPr>
            </w:pPr>
          </w:p>
        </w:tc>
        <w:tc>
          <w:tcPr>
            <w:tcW w:w="320" w:type="dxa"/>
            <w:vAlign w:val="bottom"/>
            <w:gridSpan w:val="16"/>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280" w:type="dxa"/>
            <w:vAlign w:val="bottom"/>
            <w:tcBorders>
              <w:top w:val="single" w:sz="8" w:color="0000FF"/>
            </w:tcBorders>
            <w:gridSpan w:val="22"/>
          </w:tcPr>
          <w:p>
            <w:pPr>
              <w:spacing w:after="0"/>
              <w:rPr>
                <w:sz w:val="4"/>
                <w:szCs w:val="4"/>
                <w:color w:val="auto"/>
              </w:rPr>
            </w:pPr>
          </w:p>
        </w:tc>
        <w:tc>
          <w:tcPr>
            <w:tcW w:w="1140" w:type="dxa"/>
            <w:vAlign w:val="bottom"/>
            <w:gridSpan w:val="34"/>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Intercreditor Agreement dated as of May 11, 2023 by and among Daktronics, Inc., JPMorgan Chase Bank, N.A., and Alta Fox Opportunities</w:t>
              </w:r>
            </w:hyperlink>
          </w:p>
        </w:tc>
      </w:tr>
      <w:tr>
        <w:trPr>
          <w:trHeight w:val="182"/>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100" w:type="dxa"/>
            <w:vAlign w:val="bottom"/>
            <w:tcBorders>
              <w:top w:val="single" w:sz="8" w:color="0000FF"/>
            </w:tcBorders>
            <w:gridSpan w:val="40"/>
            <w:shd w:val="clear" w:color="auto" w:fill="CCEEFF"/>
          </w:tcPr>
          <w:p>
            <w:pPr>
              <w:spacing w:after="0" w:line="18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Fund, LP (Incorporated by reference to Exhibit 10.7 filed with the Current Report on Form 8-K of Daktronics, Inc. filed on May 12, 2023).</w:t>
              </w:r>
            </w:hyperlink>
          </w:p>
        </w:tc>
        <w:tc>
          <w:tcPr>
            <w:tcW w:w="320" w:type="dxa"/>
            <w:vAlign w:val="bottom"/>
            <w:tcBorders>
              <w:top w:val="single" w:sz="8" w:color="CCEEFF"/>
            </w:tcBorders>
            <w:gridSpan w:val="16"/>
            <w:shd w:val="clear" w:color="auto" w:fill="CCEEFF"/>
          </w:tcPr>
          <w:p>
            <w:pPr>
              <w:spacing w:after="0"/>
              <w:rPr>
                <w:sz w:val="15"/>
                <w:szCs w:val="15"/>
                <w:color w:val="auto"/>
              </w:rPr>
            </w:pPr>
          </w:p>
        </w:tc>
      </w:tr>
      <w:tr>
        <w:trPr>
          <w:trHeight w:val="48"/>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10000" w:type="dxa"/>
            <w:vAlign w:val="bottom"/>
            <w:tcBorders>
              <w:top w:val="single" w:sz="8" w:color="0000FF"/>
            </w:tcBorders>
            <w:gridSpan w:val="38"/>
            <w:shd w:val="clear" w:color="auto" w:fill="CCEEFF"/>
          </w:tcPr>
          <w:p>
            <w:pPr>
              <w:spacing w:after="0"/>
              <w:rPr>
                <w:sz w:val="4"/>
                <w:szCs w:val="4"/>
                <w:color w:val="auto"/>
              </w:rPr>
            </w:pPr>
          </w:p>
        </w:tc>
        <w:tc>
          <w:tcPr>
            <w:tcW w:w="420" w:type="dxa"/>
            <w:vAlign w:val="bottom"/>
            <w:tcBorders>
              <w:top w:val="single" w:sz="8" w:color="CCEEFF"/>
            </w:tcBorders>
            <w:gridSpan w:val="18"/>
            <w:shd w:val="clear" w:color="auto" w:fill="CCEEFF"/>
          </w:tcPr>
          <w:p>
            <w:pPr>
              <w:spacing w:after="0"/>
              <w:rPr>
                <w:sz w:val="4"/>
                <w:szCs w:val="4"/>
                <w:color w:val="auto"/>
              </w:rPr>
            </w:pPr>
          </w:p>
        </w:tc>
      </w:tr>
    </w:tbl>
    <w:p>
      <w:pPr>
        <w:sectPr>
          <w:pgSz w:w="11900" w:h="16838" w:orient="portrait"/>
          <w:cols w:equalWidth="0" w:num="1">
            <w:col w:w="11240"/>
          </w:cols>
          <w:pgMar w:left="320" w:top="121" w:right="3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r>
      <w:tr>
        <w:trPr>
          <w:trHeight w:val="189"/>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8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180" w:type="dxa"/>
            <w:vAlign w:val="bottom"/>
            <w:tcBorders>
              <w:top w:val="single" w:sz="8" w:color="0000EE"/>
            </w:tcBorders>
          </w:tcPr>
          <w:p>
            <w:pPr>
              <w:spacing w:after="0"/>
              <w:rPr>
                <w:sz w:val="4"/>
                <w:szCs w:val="4"/>
                <w:color w:val="auto"/>
              </w:rPr>
            </w:pPr>
          </w:p>
        </w:tc>
        <w:tc>
          <w:tcPr>
            <w:tcW w:w="43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6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380" w:type="dxa"/>
            <w:vAlign w:val="bottom"/>
            <w:gridSpan w:val="6"/>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5180" w:type="dxa"/>
            <w:vAlign w:val="bottom"/>
            <w:tcBorders>
              <w:top w:val="single" w:sz="8" w:color="0000EE"/>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 (1)</w:t>
            </w:r>
          </w:p>
        </w:tc>
        <w:tc>
          <w:tcPr>
            <w:tcW w:w="500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380" w:type="dxa"/>
            <w:vAlign w:val="bottom"/>
            <w:gridSpan w:val="6"/>
          </w:tcPr>
          <w:p>
            <w:pPr>
              <w:ind w:left="180"/>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180" w:type="dxa"/>
            <w:vAlign w:val="bottom"/>
            <w:tcBorders>
              <w:top w:val="single" w:sz="8" w:color="0000EE"/>
            </w:tcBorders>
          </w:tcPr>
          <w:p>
            <w:pPr>
              <w:spacing w:after="0"/>
              <w:rPr>
                <w:sz w:val="2"/>
                <w:szCs w:val="2"/>
                <w:color w:val="auto"/>
              </w:rPr>
            </w:pPr>
          </w:p>
        </w:tc>
        <w:tc>
          <w:tcPr>
            <w:tcW w:w="4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380" w:type="dxa"/>
            <w:vAlign w:val="bottom"/>
            <w:gridSpan w:val="6"/>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0000EE"/>
            </w:tcBorders>
            <w:shd w:val="clear" w:color="auto" w:fill="CCEEFF"/>
          </w:tcPr>
          <w:p>
            <w:pPr>
              <w:spacing w:after="0"/>
              <w:rPr>
                <w:sz w:val="2"/>
                <w:szCs w:val="2"/>
                <w:color w:val="auto"/>
              </w:rPr>
            </w:pPr>
          </w:p>
        </w:tc>
        <w:tc>
          <w:tcPr>
            <w:tcW w:w="4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7"/>
        </w:trPr>
        <w:tc>
          <w:tcPr>
            <w:tcW w:w="2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2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2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2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2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Date: December 5,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28, 2023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2023</w:t>
      </w:r>
    </w:p>
    <w:p>
      <w:pPr>
        <w:sectPr>
          <w:pgSz w:w="11900" w:h="16838" w:orient="portrait"/>
          <w:cols w:equalWidth="0" w:num="1">
            <w:col w:w="11240"/>
          </w:cols>
          <w:pgMar w:left="320" w:top="93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28, 2023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2023</w:t>
      </w:r>
    </w:p>
    <w:p>
      <w:pPr>
        <w:sectPr>
          <w:pgSz w:w="11900" w:h="16838" w:orient="portrait"/>
          <w:cols w:equalWidth="0" w:num="1">
            <w:col w:w="11240"/>
          </w:cols>
          <w:pgMar w:left="320" w:top="93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28, 2023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2023</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28, 2023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2023</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4"/>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57" Type="http://schemas.openxmlformats.org/officeDocument/2006/relationships/hyperlink" Target="https://www.sec.gov/Archives/edgar/data/915779/000091577918000119/exhibit31.htm" TargetMode="External"/><Relationship Id="rId58" Type="http://schemas.openxmlformats.org/officeDocument/2006/relationships/hyperlink" Target="http://www.sec.gov/Archives/edgar/data/915779/000091577918000119/exhibit31.htm" TargetMode="External"/><Relationship Id="rId59" Type="http://schemas.openxmlformats.org/officeDocument/2006/relationships/hyperlink" Target="https://www.sec.gov/Archives/edgar/data/915779/000091577923000007/exhibit31.htm" TargetMode="External"/><Relationship Id="rId60" Type="http://schemas.openxmlformats.org/officeDocument/2006/relationships/hyperlink" Target="https://www.sec.gov/Archives/edgar/data/915779/000091577918000089/dakt_20181116x8-kxex41.htm" TargetMode="External"/><Relationship Id="rId61" Type="http://schemas.openxmlformats.org/officeDocument/2006/relationships/hyperlink" Target="http://www.sec.gov/Archives/edgar/data/915779/000091577918000089/dakt_20181116x8-kxex41.htm" TargetMode="External"/><Relationship Id="rId62" Type="http://schemas.openxmlformats.org/officeDocument/2006/relationships/hyperlink" Target="https://www.sec.gov/Archives/edgar/data/915779/000143774921027158/ex_309612.htm" TargetMode="External"/><Relationship Id="rId63" Type="http://schemas.openxmlformats.org/officeDocument/2006/relationships/hyperlink" Target="http://www.sec.gov/Archives/edgar/data/915779/000143774921027158/ex_309612.htm" TargetMode="External"/><Relationship Id="rId64" Type="http://schemas.openxmlformats.org/officeDocument/2006/relationships/hyperlink" Target="https://www.sec.gov/Archives/edgar/data/915779/000091577916000233/dakt_20161115xex101.htm" TargetMode="External"/><Relationship Id="rId65" Type="http://schemas.openxmlformats.org/officeDocument/2006/relationships/hyperlink" Target="http://www.sec.gov/Archives/edgar/data/915779/000091577916000233/dakt_20161115xex101.htm" TargetMode="External"/><Relationship Id="rId66" Type="http://schemas.openxmlformats.org/officeDocument/2006/relationships/hyperlink" Target="https://www.sec.gov/Archives/edgar/data/915779/000091577916000233/dakt_20161115xex102.htm" TargetMode="External"/><Relationship Id="rId67" Type="http://schemas.openxmlformats.org/officeDocument/2006/relationships/hyperlink" Target="http://www.sec.gov/Archives/edgar/data/915779/000091577916000233/dakt_20161115xex102.htm" TargetMode="External"/><Relationship Id="rId68" Type="http://schemas.openxmlformats.org/officeDocument/2006/relationships/hyperlink" Target="https://www.sec.gov/Archives/edgar/data/915779/000091577919000079/dakt_20191115xex101.htm" TargetMode="External"/><Relationship Id="rId69" Type="http://schemas.openxmlformats.org/officeDocument/2006/relationships/hyperlink" Target="http://www.sec.gov/Archives/edgar/data/915779/000091577919000079/dakt_20191115xex101.htm" TargetMode="External"/><Relationship Id="rId70" Type="http://schemas.openxmlformats.org/officeDocument/2006/relationships/hyperlink" Target="https://www.sec.gov/Archives/edgar/data/915779/000091577920000052/dakt20200801q1ex104.htm" TargetMode="External"/><Relationship Id="rId71" Type="http://schemas.openxmlformats.org/officeDocument/2006/relationships/hyperlink" Target="http://www.sec.gov/Archives/edgar/data/915779/000091577920000052/dakt20200801q1ex104.htm" TargetMode="External"/><Relationship Id="rId72" Type="http://schemas.openxmlformats.org/officeDocument/2006/relationships/hyperlink" Target="https://www.sec.gov/Archives/edgar/data/915779/000143774921014600/ex_246991.htm" TargetMode="External"/><Relationship Id="rId73" Type="http://schemas.openxmlformats.org/officeDocument/2006/relationships/hyperlink" Target="http://www.sec.gov/Archives/edgar/data/915779/000143774921014600/ex_246991.htm" TargetMode="External"/><Relationship Id="rId74" Type="http://schemas.openxmlformats.org/officeDocument/2006/relationships/hyperlink" Target="https://www.sec.gov/Archives/edgar/data/915779/000143774922010278/ex_367356.htm" TargetMode="External"/><Relationship Id="rId75" Type="http://schemas.openxmlformats.org/officeDocument/2006/relationships/hyperlink" Target="https://www.sec.gov/Archives/edgar/data/915779/000091577922000023/exhibit101_08152022credita.htm" TargetMode="External"/><Relationship Id="rId76" Type="http://schemas.openxmlformats.org/officeDocument/2006/relationships/hyperlink" Target="https://www.sec.gov/Archives/edgar/data/915779/000091577922000092/a101amendmenttocreditagree.htm" TargetMode="External"/><Relationship Id="rId77" Type="http://schemas.openxmlformats.org/officeDocument/2006/relationships/hyperlink" Target="https://www.sec.gov/Archives/edgar/data/915779/000091577922000115/a101sixthamendmenttocredit.htm" TargetMode="External"/><Relationship Id="rId78" Type="http://schemas.openxmlformats.org/officeDocument/2006/relationships/hyperlink" Target="https://www.sec.gov/Archives/edgar/data/915779/000091577923000003/exhibit101_seventhamendment.htm" TargetMode="External"/><Relationship Id="rId79" Type="http://schemas.openxmlformats.org/officeDocument/2006/relationships/hyperlink" Target="https://www.sec.gov/Archives/edgar/data/915779/000091577920000052/dakt20200801q1ex105.htm" TargetMode="External"/><Relationship Id="rId80" Type="http://schemas.openxmlformats.org/officeDocument/2006/relationships/hyperlink" Target="http://www.sec.gov/Archives/edgar/data/915779/000091577920000052/dakt20200801q1ex105.htm" TargetMode="External"/><Relationship Id="rId81" Type="http://schemas.openxmlformats.org/officeDocument/2006/relationships/hyperlink" Target="https://www.sec.gov/Archives/edgar/data/915779/000091577920000033/dakt-20200502_defx14a.htm" TargetMode="External"/><Relationship Id="rId82" Type="http://schemas.openxmlformats.org/officeDocument/2006/relationships/hyperlink" Target="http://www.sec.gov/Archives/edgar/data/915779/000091577920000033/dakt-20200502_defx14a.htm" TargetMode="External"/><Relationship Id="rId83" Type="http://schemas.openxmlformats.org/officeDocument/2006/relationships/hyperlink" Target="https://www.sec.gov/Archives/edgar/data/915779/000091577920000054/daktex1028-ksom2020.htm" TargetMode="External"/><Relationship Id="rId84" Type="http://schemas.openxmlformats.org/officeDocument/2006/relationships/hyperlink" Target="http://www.sec.gov/Archives/edgar/data/915779/000091577920000054/daktex1028-ksom2020.htm" TargetMode="External"/><Relationship Id="rId85" Type="http://schemas.openxmlformats.org/officeDocument/2006/relationships/hyperlink" Target="https://www.sec.gov/Archives/edgar/data/915779/000091577920000054/daktex1038-ksom2020.htm" TargetMode="External"/><Relationship Id="rId86" Type="http://schemas.openxmlformats.org/officeDocument/2006/relationships/hyperlink" Target="http://www.sec.gov/Archives/edgar/data/915779/000091577920000054/daktex1038-ksom2020.htm" TargetMode="External"/><Relationship Id="rId87" Type="http://schemas.openxmlformats.org/officeDocument/2006/relationships/hyperlink" Target="https://www.sec.gov/Archives/edgar/data/915779/000091577920000054/daktex1048-ksom2020.htm" TargetMode="External"/><Relationship Id="rId88" Type="http://schemas.openxmlformats.org/officeDocument/2006/relationships/hyperlink" Target="http://www.sec.gov/Archives/edgar/data/915779/000091577920000054/daktex1048-ksom2020.htm" TargetMode="External"/><Relationship Id="rId89" Type="http://schemas.openxmlformats.org/officeDocument/2006/relationships/hyperlink" Target="https://www.sec.gov/Archives/edgar/data/915779/000091577920000054/daktex1058-ksom2020.htm" TargetMode="External"/><Relationship Id="rId90" Type="http://schemas.openxmlformats.org/officeDocument/2006/relationships/hyperlink" Target="http://www.sec.gov/Archives/edgar/data/915779/000091577920000054/daktex1058-ksom2020.htm" TargetMode="External"/><Relationship Id="rId91" Type="http://schemas.openxmlformats.org/officeDocument/2006/relationships/hyperlink" Target="https://www.sec.gov/Archives/edgar/data/915779/000091577922000010/exhibit101_071822.htm" TargetMode="External"/><Relationship Id="rId92" Type="http://schemas.openxmlformats.org/officeDocument/2006/relationships/hyperlink" Target="https://www.sec.gov/Archives/edgar/data/915779/000091577923000022/seniorsecondliensecuredcon.htm" TargetMode="External"/><Relationship Id="rId93" Type="http://schemas.openxmlformats.org/officeDocument/2006/relationships/hyperlink" Target="https://www.sec.gov/Archives/edgar/data/915779/000091577923000029/exhibit101toformexecuted.htm" TargetMode="External"/><Relationship Id="rId94" Type="http://schemas.openxmlformats.org/officeDocument/2006/relationships/hyperlink" Target="https://www.sec.gov/Archives/edgar/data/915779/000091577923000029/exhibit102toformexecuted.htm" TargetMode="External"/><Relationship Id="rId95" Type="http://schemas.openxmlformats.org/officeDocument/2006/relationships/hyperlink" Target="https://www.sec.gov/Archives/edgar/data/915779/000091577923000029/exhibit103toform_execute.htm" TargetMode="External"/><Relationship Id="rId96" Type="http://schemas.openxmlformats.org/officeDocument/2006/relationships/hyperlink" Target="https://www.sec.gov/Archives/edgar/data/915779/000091577923000029/exhibit104toform_execute.htm" TargetMode="External"/><Relationship Id="rId97" Type="http://schemas.openxmlformats.org/officeDocument/2006/relationships/hyperlink" Target="https://www.sec.gov/Archives/edgar/data/915779/000091577923000029/exhibit105toform_execute.htm" TargetMode="External"/><Relationship Id="rId98" Type="http://schemas.openxmlformats.org/officeDocument/2006/relationships/hyperlink" Target="https://www.sec.gov/Archives/edgar/data/915779/000091577923000029/exhibit106toform_execute.htm" TargetMode="External"/><Relationship Id="rId99" Type="http://schemas.openxmlformats.org/officeDocument/2006/relationships/hyperlink" Target="https://www.sec.gov/Archives/edgar/data/915779/000091577923000029/exhibit107toform_execu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2023-12-05T15:56:55Z</dcterms:created>
  <dcterms:modified xsi:type="dcterms:W3CDTF">2023-12-05T15:56:55Z</dcterms:modified>
</cp:coreProperties>
</file>