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12" w:lineRule="exact"/>
        <w:rPr>
          <w:sz w:val="24"/>
          <w:szCs w:val="24"/>
          <w:color w:val="auto"/>
        </w:rPr>
      </w:pPr>
    </w:p>
    <w:p>
      <w:pPr>
        <w:ind w:left="4160" w:right="3060" w:hanging="4143"/>
        <w:spacing w:after="0" w:line="283" w:lineRule="auto"/>
        <w:rPr>
          <w:sz w:val="20"/>
          <w:szCs w:val="20"/>
          <w:color w:val="auto"/>
        </w:rPr>
      </w:pPr>
      <w:r>
        <w:rPr>
          <w:rFonts w:ascii="Times New Roman" w:cs="Times New Roman" w:eastAsia="Times New Roman" w:hAnsi="Times New Roman"/>
          <w:sz w:val="16"/>
          <w:szCs w:val="16"/>
          <w:color w:val="auto"/>
        </w:rPr>
        <w:t xml:space="preserve">x </w:t>
      </w:r>
      <w:r>
        <w:rPr>
          <w:rFonts w:ascii="Times New Roman" w:cs="Times New Roman" w:eastAsia="Times New Roman" w:hAnsi="Times New Roman"/>
          <w:sz w:val="16"/>
          <w:szCs w:val="16"/>
          <w:b w:val="1"/>
          <w:bCs w:val="1"/>
          <w:color w:val="auto"/>
        </w:rPr>
        <w:t>QUARTERLY REPORT PURSUANT TO SECTION 13 OR 15(d) OF THE SECURITIES EXCHANGE ACT OF 1934</w:t>
      </w:r>
      <w:r>
        <w:rPr>
          <w:rFonts w:ascii="Times New Roman" w:cs="Times New Roman" w:eastAsia="Times New Roman" w:hAnsi="Times New Roman"/>
          <w:sz w:val="16"/>
          <w:szCs w:val="16"/>
          <w:color w:val="auto"/>
        </w:rPr>
        <w:t xml:space="preserve"> For the quarterly period ended January 26, 2019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23" w:lineRule="exact"/>
        <w:rPr>
          <w:sz w:val="24"/>
          <w:szCs w:val="24"/>
          <w:color w:val="auto"/>
        </w:rPr>
      </w:pPr>
    </w:p>
    <w:p>
      <w:pPr>
        <w:jc w:val="center"/>
        <w:ind w:right="3040"/>
        <w:spacing w:after="0"/>
        <w:rPr>
          <w:sz w:val="20"/>
          <w:szCs w:val="20"/>
          <w:color w:val="auto"/>
        </w:rPr>
      </w:pPr>
      <w:r>
        <w:rPr>
          <w:rFonts w:ascii="Times New Roman" w:cs="Times New Roman" w:eastAsia="Times New Roman" w:hAnsi="Times New Roman"/>
          <w:sz w:val="16"/>
          <w:szCs w:val="16"/>
          <w:color w:val="auto"/>
        </w:rPr>
        <w:t xml:space="preserve">o </w:t>
      </w: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transition period from ___ to ___.</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120650</wp:posOffset>
            </wp:positionV>
            <wp:extent cx="109791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tbl>
      <w:tblPr>
        <w:tblLayout w:type="fixed"/>
        <w:tblInd w:w="340" w:type="dxa"/>
        <w:tblCellMar>
          <w:top w:w="0" w:type="dxa"/>
          <w:left w:w="0" w:type="dxa"/>
          <w:bottom w:w="0" w:type="dxa"/>
          <w:right w:w="0" w:type="dxa"/>
        </w:tblCellMar>
      </w:tblPr>
      <w:tr>
        <w:trPr>
          <w:trHeight w:val="191"/>
        </w:trPr>
        <w:tc>
          <w:tcPr>
            <w:tcW w:w="4380" w:type="dxa"/>
            <w:vAlign w:val="bottom"/>
          </w:tcPr>
          <w:p>
            <w:pPr>
              <w:spacing w:after="0"/>
              <w:rPr>
                <w:sz w:val="16"/>
                <w:szCs w:val="16"/>
                <w:color w:val="auto"/>
              </w:rPr>
            </w:pPr>
          </w:p>
        </w:tc>
        <w:tc>
          <w:tcPr>
            <w:tcW w:w="6380" w:type="dxa"/>
            <w:vAlign w:val="bottom"/>
            <w:gridSpan w:val="3"/>
          </w:tcPr>
          <w:p>
            <w:pPr>
              <w:jc w:val="center"/>
              <w:ind w:right="4319"/>
              <w:spacing w:after="0"/>
              <w:rPr>
                <w:sz w:val="20"/>
                <w:szCs w:val="20"/>
                <w:color w:val="auto"/>
              </w:rPr>
            </w:pPr>
            <w:r>
              <w:rPr>
                <w:rFonts w:ascii="Times New Roman" w:cs="Times New Roman" w:eastAsia="Times New Roman" w:hAnsi="Times New Roman"/>
                <w:sz w:val="16"/>
                <w:szCs w:val="16"/>
                <w:b w:val="1"/>
                <w:bCs w:val="1"/>
                <w:color w:val="auto"/>
              </w:rPr>
              <w:t>Daktronics, Inc.</w:t>
            </w:r>
          </w:p>
        </w:tc>
      </w:tr>
      <w:tr>
        <w:trPr>
          <w:trHeight w:val="210"/>
        </w:trPr>
        <w:tc>
          <w:tcPr>
            <w:tcW w:w="107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540"/>
        </w:trPr>
        <w:tc>
          <w:tcPr>
            <w:tcW w:w="4380" w:type="dxa"/>
            <w:vAlign w:val="bottom"/>
          </w:tcPr>
          <w:p>
            <w:pPr>
              <w:jc w:val="center"/>
              <w:ind w:left="799"/>
              <w:spacing w:after="0"/>
              <w:rPr>
                <w:sz w:val="20"/>
                <w:szCs w:val="20"/>
                <w:color w:val="auto"/>
              </w:rPr>
            </w:pPr>
            <w:r>
              <w:rPr>
                <w:rFonts w:ascii="Times New Roman" w:cs="Times New Roman" w:eastAsia="Times New Roman" w:hAnsi="Times New Roman"/>
                <w:sz w:val="16"/>
                <w:szCs w:val="16"/>
                <w:b w:val="1"/>
                <w:bCs w:val="1"/>
                <w:color w:val="auto"/>
              </w:rPr>
              <w:t>South Dakota</w:t>
            </w:r>
          </w:p>
        </w:tc>
        <w:tc>
          <w:tcPr>
            <w:tcW w:w="6380" w:type="dxa"/>
            <w:vAlign w:val="bottom"/>
            <w:gridSpan w:val="3"/>
          </w:tcPr>
          <w:p>
            <w:pPr>
              <w:jc w:val="right"/>
              <w:ind w:right="2159"/>
              <w:spacing w:after="0"/>
              <w:rPr>
                <w:sz w:val="20"/>
                <w:szCs w:val="20"/>
                <w:color w:val="auto"/>
              </w:rPr>
            </w:pPr>
            <w:r>
              <w:rPr>
                <w:rFonts w:ascii="Times New Roman" w:cs="Times New Roman" w:eastAsia="Times New Roman" w:hAnsi="Times New Roman"/>
                <w:sz w:val="16"/>
                <w:szCs w:val="16"/>
                <w:b w:val="1"/>
                <w:bCs w:val="1"/>
                <w:color w:val="auto"/>
              </w:rPr>
              <w:t>46-0306862</w:t>
            </w:r>
          </w:p>
        </w:tc>
      </w:tr>
      <w:tr>
        <w:trPr>
          <w:trHeight w:val="33"/>
        </w:trPr>
        <w:tc>
          <w:tcPr>
            <w:tcW w:w="4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09"/>
        </w:trPr>
        <w:tc>
          <w:tcPr>
            <w:tcW w:w="438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438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503"/>
        </w:trPr>
        <w:tc>
          <w:tcPr>
            <w:tcW w:w="4380" w:type="dxa"/>
            <w:vAlign w:val="bottom"/>
          </w:tcPr>
          <w:p>
            <w:pPr>
              <w:jc w:val="center"/>
              <w:ind w:left="799"/>
              <w:spacing w:after="0"/>
              <w:rPr>
                <w:sz w:val="20"/>
                <w:szCs w:val="20"/>
                <w:color w:val="auto"/>
              </w:rPr>
            </w:pPr>
            <w:r>
              <w:rPr>
                <w:rFonts w:ascii="Times New Roman" w:cs="Times New Roman" w:eastAsia="Times New Roman" w:hAnsi="Times New Roman"/>
                <w:sz w:val="16"/>
                <w:szCs w:val="16"/>
                <w:b w:val="1"/>
                <w:bCs w:val="1"/>
                <w:color w:val="auto"/>
              </w:rPr>
              <w:t>201 Daktronics Drive</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212"/>
        </w:trPr>
        <w:tc>
          <w:tcPr>
            <w:tcW w:w="4380" w:type="dxa"/>
            <w:vAlign w:val="bottom"/>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rPr>
              <w:t>Brookings, SD</w:t>
            </w:r>
          </w:p>
        </w:tc>
        <w:tc>
          <w:tcPr>
            <w:tcW w:w="6380" w:type="dxa"/>
            <w:vAlign w:val="bottom"/>
            <w:gridSpan w:val="3"/>
          </w:tcPr>
          <w:p>
            <w:pPr>
              <w:jc w:val="right"/>
              <w:ind w:right="2359"/>
              <w:spacing w:after="0"/>
              <w:rPr>
                <w:sz w:val="20"/>
                <w:szCs w:val="20"/>
                <w:color w:val="auto"/>
              </w:rPr>
            </w:pPr>
            <w:r>
              <w:rPr>
                <w:rFonts w:ascii="Times New Roman" w:cs="Times New Roman" w:eastAsia="Times New Roman" w:hAnsi="Times New Roman"/>
                <w:sz w:val="16"/>
                <w:szCs w:val="16"/>
                <w:b w:val="1"/>
                <w:bCs w:val="1"/>
                <w:color w:val="auto"/>
              </w:rPr>
              <w:t>57006</w:t>
            </w:r>
          </w:p>
        </w:tc>
      </w:tr>
      <w:tr>
        <w:trPr>
          <w:trHeight w:val="33"/>
        </w:trPr>
        <w:tc>
          <w:tcPr>
            <w:tcW w:w="4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17"/>
        </w:trPr>
        <w:tc>
          <w:tcPr>
            <w:tcW w:w="438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(605) 692-0200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3"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36"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6"/>
          <w:szCs w:val="16"/>
          <w:color w:val="auto"/>
        </w:rPr>
        <w:t>☐</w:t>
      </w:r>
    </w:p>
    <w:p>
      <w:pPr>
        <w:spacing w:after="0" w:line="150"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62" w:right="239" w:bottom="1440" w:gutter="0" w:footer="0" w:header="0"/>
        </w:sectPr>
      </w:pPr>
    </w:p>
    <w:p>
      <w:pPr>
        <w:spacing w:after="0" w:line="31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jc w:val="center"/>
        <w:ind w:right="4340"/>
        <w:spacing w:after="0"/>
        <w:rPr>
          <w:sz w:val="20"/>
          <w:szCs w:val="20"/>
          <w:color w:val="auto"/>
        </w:rPr>
      </w:pPr>
      <w:r>
        <w:rPr>
          <w:rFonts w:ascii="Times New Roman" w:cs="Times New Roman" w:eastAsia="Times New Roman" w:hAnsi="Times New Roman"/>
          <w:sz w:val="16"/>
          <w:szCs w:val="16"/>
          <w:color w:val="auto"/>
        </w:rPr>
        <w:t>Accelerated filer x</w:t>
      </w:r>
    </w:p>
    <w:p>
      <w:pPr>
        <w:spacing w:after="0" w:line="73" w:lineRule="exact"/>
        <w:rPr>
          <w:sz w:val="24"/>
          <w:szCs w:val="24"/>
          <w:color w:val="auto"/>
        </w:rPr>
      </w:pPr>
    </w:p>
    <w:p>
      <w:pPr>
        <w:sectPr>
          <w:pgSz w:w="11900" w:h="16838" w:orient="portrait"/>
          <w:cols w:equalWidth="0" w:num="2">
            <w:col w:w="5160" w:space="720"/>
            <w:col w:w="5540"/>
          </w:cols>
          <w:pgMar w:left="240" w:top="462"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 o</w:t>
      </w:r>
    </w:p>
    <w:p>
      <w:pPr>
        <w:spacing w:after="0" w:line="86" w:lineRule="exact"/>
        <w:rPr>
          <w:sz w:val="24"/>
          <w:szCs w:val="24"/>
          <w:color w:val="auto"/>
        </w:rPr>
      </w:pPr>
    </w:p>
    <w:p>
      <w:pPr>
        <w:sectPr>
          <w:pgSz w:w="11900" w:h="16838" w:orient="portrait"/>
          <w:cols w:equalWidth="0" w:num="2">
            <w:col w:w="5160" w:space="720"/>
            <w:col w:w="5540"/>
          </w:cols>
          <w:pgMar w:left="240" w:top="462" w:right="239" w:bottom="1440" w:gutter="0" w:footer="0" w:header="0"/>
          <w:type w:val="continuous"/>
        </w:sectPr>
      </w:pPr>
    </w:p>
    <w:p>
      <w:pPr>
        <w:ind w:left="5880"/>
        <w:spacing w:after="0"/>
        <w:rPr>
          <w:sz w:val="20"/>
          <w:szCs w:val="20"/>
          <w:color w:val="auto"/>
        </w:rPr>
      </w:pPr>
      <w:r>
        <w:rPr>
          <w:rFonts w:ascii="Times New Roman" w:cs="Times New Roman" w:eastAsia="Times New Roman" w:hAnsi="Times New Roman"/>
          <w:sz w:val="16"/>
          <w:szCs w:val="16"/>
          <w:color w:val="auto"/>
        </w:rPr>
        <w:t>Emerging growth company o</w:t>
      </w:r>
    </w:p>
    <w:p>
      <w:pPr>
        <w:sectPr>
          <w:pgSz w:w="11900" w:h="16838" w:orient="portrait"/>
          <w:cols w:equalWidth="0" w:num="1">
            <w:col w:w="11420"/>
          </w:cols>
          <w:pgMar w:left="240" w:top="462" w:right="239" w:bottom="1440" w:gutter="0" w:footer="0" w:header="0"/>
          <w:type w:val="continuous"/>
        </w:sectPr>
      </w:pPr>
    </w:p>
    <w:p>
      <w:pPr>
        <w:spacing w:after="0" w:line="235"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x</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number of shares of the registrant’s common stock outstanding as of February 18, 2019 was 45,012,524.</w:t>
      </w:r>
    </w:p>
    <w:p>
      <w:pPr>
        <w:sectPr>
          <w:pgSz w:w="11900" w:h="16838" w:orient="portrait"/>
          <w:cols w:equalWidth="0" w:num="1">
            <w:col w:w="11420"/>
          </w:cols>
          <w:pgMar w:left="240" w:top="462" w:right="239" w:bottom="1440" w:gutter="0" w:footer="0" w:header="0"/>
          <w:type w:val="continuous"/>
        </w:sectPr>
      </w:pPr>
    </w:p>
    <w:bookmarkStart w:id="1" w:name="page2"/>
    <w:bookmarkEnd w:id="1"/>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For the Quarter Ended January 26, 2019</w:t>
      </w:r>
    </w:p>
    <w:p>
      <w:pPr>
        <w:spacing w:after="0" w:line="20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gridSpan w:val="4"/>
          </w:tcPr>
          <w:p>
            <w:pPr>
              <w:ind w:left="92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30"/>
        </w:trPr>
        <w:tc>
          <w:tcPr>
            <w:tcW w:w="500" w:type="dxa"/>
            <w:vAlign w:val="bottom"/>
            <w:tcBorders>
              <w:bottom w:val="single" w:sz="8" w:color="0000FF"/>
            </w:tcBorders>
          </w:tcPr>
          <w:p>
            <w:pPr>
              <w:spacing w:after="0"/>
              <w:rPr>
                <w:rFonts w:ascii="Times New Roman" w:cs="Times New Roman" w:eastAsia="Times New Roman" w:hAnsi="Times New Roman"/>
                <w:sz w:val="18"/>
                <w:szCs w:val="18"/>
                <w:b w:val="1"/>
                <w:bCs w:val="1"/>
                <w:color w:val="0000FF"/>
                <w:w w:val="95"/>
              </w:rPr>
            </w:pPr>
            <w:hyperlink w:anchor="page3">
              <w:r>
                <w:rPr>
                  <w:rFonts w:ascii="Times New Roman" w:cs="Times New Roman" w:eastAsia="Times New Roman" w:hAnsi="Times New Roman"/>
                  <w:sz w:val="18"/>
                  <w:szCs w:val="18"/>
                  <w:b w:val="1"/>
                  <w:bCs w:val="1"/>
                  <w:color w:val="0000FF"/>
                  <w:w w:val="95"/>
                </w:rPr>
                <w:t>Part I.</w:t>
              </w:r>
            </w:hyperlink>
          </w:p>
        </w:tc>
        <w:tc>
          <w:tcPr>
            <w:tcW w:w="320" w:type="dxa"/>
            <w:vAlign w:val="bottom"/>
            <w:gridSpan w:val="3"/>
          </w:tcPr>
          <w:p>
            <w:pPr>
              <w:spacing w:after="0"/>
              <w:rPr>
                <w:sz w:val="19"/>
                <w:szCs w:val="19"/>
                <w:color w:val="auto"/>
              </w:rPr>
            </w:pPr>
          </w:p>
        </w:tc>
        <w:tc>
          <w:tcPr>
            <w:tcW w:w="1700" w:type="dxa"/>
            <w:vAlign w:val="bottom"/>
            <w:tcBorders>
              <w:bottom w:val="single" w:sz="8" w:color="0000FF"/>
            </w:tcBorders>
            <w:gridSpan w:val="7"/>
          </w:tcPr>
          <w:p>
            <w:pPr>
              <w:spacing w:after="0"/>
              <w:rPr>
                <w:rFonts w:ascii="Times New Roman" w:cs="Times New Roman" w:eastAsia="Times New Roman" w:hAnsi="Times New Roman"/>
                <w:sz w:val="18"/>
                <w:szCs w:val="18"/>
                <w:b w:val="1"/>
                <w:bCs w:val="1"/>
                <w:color w:val="0000FF"/>
                <w:w w:val="98"/>
              </w:rPr>
            </w:pPr>
            <w:hyperlink w:anchor="page3">
              <w:r>
                <w:rPr>
                  <w:rFonts w:ascii="Times New Roman" w:cs="Times New Roman" w:eastAsia="Times New Roman" w:hAnsi="Times New Roman"/>
                  <w:sz w:val="18"/>
                  <w:szCs w:val="18"/>
                  <w:b w:val="1"/>
                  <w:bCs w:val="1"/>
                  <w:color w:val="0000FF"/>
                  <w:w w:val="98"/>
                </w:rPr>
                <w:t>Financial Information</w:t>
              </w:r>
            </w:hyperlink>
          </w:p>
        </w:tc>
        <w:tc>
          <w:tcPr>
            <w:tcW w:w="6920" w:type="dxa"/>
            <w:vAlign w:val="bottom"/>
            <w:gridSpan w:val="17"/>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bottom w:val="single" w:sz="8" w:color="0000FF"/>
            </w:tcBorders>
          </w:tcPr>
          <w:p>
            <w:pPr>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20" w:type="dxa"/>
            <w:vAlign w:val="bottom"/>
            <w:gridSpan w:val="4"/>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Item 1.</w:t>
              </w:r>
            </w:hyperlink>
          </w:p>
        </w:tc>
        <w:tc>
          <w:tcPr>
            <w:tcW w:w="8620" w:type="dxa"/>
            <w:vAlign w:val="bottom"/>
            <w:gridSpan w:val="2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c>
          <w:tcPr>
            <w:tcW w:w="1120" w:type="dxa"/>
            <w:vAlign w:val="bottom"/>
            <w:gridSpan w:val="3"/>
          </w:tcPr>
          <w:p>
            <w:pPr>
              <w:ind w:left="94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40" w:type="dxa"/>
            <w:vAlign w:val="bottom"/>
            <w:gridSpan w:val="2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January 26, 2019 and April 28, 2018</w:t>
              </w:r>
            </w:hyperlink>
          </w:p>
        </w:tc>
        <w:tc>
          <w:tcPr>
            <w:tcW w:w="1120" w:type="dxa"/>
            <w:vAlign w:val="bottom"/>
            <w:gridSpan w:val="3"/>
          </w:tcPr>
          <w:p>
            <w:pPr>
              <w:ind w:left="94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40" w:type="dxa"/>
            <w:vAlign w:val="bottom"/>
            <w:gridSpan w:val="2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for the Three and Nine Months Ended January</w:t>
              </w:r>
            </w:hyperlink>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26, 2019 and January 27, 2018</w:t>
              </w:r>
            </w:hyperlink>
          </w:p>
        </w:tc>
        <w:tc>
          <w:tcPr>
            <w:tcW w:w="1020" w:type="dxa"/>
            <w:vAlign w:val="bottom"/>
            <w:gridSpan w:val="2"/>
          </w:tcPr>
          <w:p>
            <w:pPr>
              <w:spacing w:after="0"/>
              <w:rPr>
                <w:sz w:val="17"/>
                <w:szCs w:val="17"/>
                <w:color w:val="auto"/>
              </w:rPr>
            </w:pPr>
          </w:p>
        </w:tc>
        <w:tc>
          <w:tcPr>
            <w:tcW w:w="1120" w:type="dxa"/>
            <w:vAlign w:val="bottom"/>
            <w:gridSpan w:val="3"/>
          </w:tcPr>
          <w:p>
            <w:pPr>
              <w:ind w:left="940"/>
              <w:spacing w:after="0" w:line="196"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3</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Comprehensive Income for the Three and Nine Months</w:t>
              </w:r>
            </w:hyperlink>
          </w:p>
        </w:tc>
        <w:tc>
          <w:tcPr>
            <w:tcW w:w="1200" w:type="dxa"/>
            <w:vAlign w:val="bottom"/>
            <w:gridSpan w:val="4"/>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Ended January 26, 2019 and January 27, 2018</w:t>
              </w:r>
            </w:hyperlink>
          </w:p>
        </w:tc>
        <w:tc>
          <w:tcPr>
            <w:tcW w:w="4740" w:type="dxa"/>
            <w:vAlign w:val="bottom"/>
            <w:gridSpan w:val="10"/>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4</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40" w:type="dxa"/>
            <w:vAlign w:val="bottom"/>
            <w:gridSpan w:val="22"/>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Shareholders' Equity for the Three and Nine Months Ended</w:t>
              </w:r>
            </w:hyperlink>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w:anchor="page7">
              <w:r>
                <w:rPr>
                  <w:rFonts w:ascii="Times New Roman" w:cs="Times New Roman" w:eastAsia="Times New Roman" w:hAnsi="Times New Roman"/>
                  <w:sz w:val="18"/>
                  <w:szCs w:val="18"/>
                  <w:color w:val="0000EE"/>
                  <w:w w:val="98"/>
                </w:rPr>
                <w:t>January 26, 2019 and January 27, 2018</w:t>
              </w:r>
            </w:hyperlink>
          </w:p>
        </w:tc>
        <w:tc>
          <w:tcPr>
            <w:tcW w:w="4320" w:type="dxa"/>
            <w:vAlign w:val="bottom"/>
            <w:tcBorders>
              <w:top w:val="single" w:sz="8" w:color="0000EE"/>
            </w:tcBorders>
            <w:gridSpan w:val="10"/>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5</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40" w:type="dxa"/>
            <w:vAlign w:val="bottom"/>
            <w:gridSpan w:val="22"/>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Condensed Consolidated Statements of Cash Flows for the Nine Months Ended January 26, 2019</w:t>
              </w:r>
            </w:hyperlink>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9">
              <w:r>
                <w:rPr>
                  <w:rFonts w:ascii="Times New Roman" w:cs="Times New Roman" w:eastAsia="Times New Roman" w:hAnsi="Times New Roman"/>
                  <w:sz w:val="18"/>
                  <w:szCs w:val="18"/>
                  <w:color w:val="0000EE"/>
                  <w:w w:val="97"/>
                </w:rPr>
                <w:t>and January 27, 2018</w:t>
              </w:r>
            </w:hyperlink>
          </w:p>
        </w:tc>
        <w:tc>
          <w:tcPr>
            <w:tcW w:w="5460" w:type="dxa"/>
            <w:vAlign w:val="bottom"/>
            <w:tcBorders>
              <w:top w:val="single" w:sz="8" w:color="0000EE"/>
            </w:tcBorders>
            <w:gridSpan w:val="12"/>
          </w:tcPr>
          <w:p>
            <w:pPr>
              <w:spacing w:after="0"/>
              <w:rPr>
                <w:sz w:val="17"/>
                <w:szCs w:val="17"/>
                <w:color w:val="auto"/>
              </w:rPr>
            </w:pPr>
          </w:p>
        </w:tc>
        <w:tc>
          <w:tcPr>
            <w:tcW w:w="106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88"/>
              </w:rPr>
            </w:pPr>
            <w:hyperlink w:anchor="page9">
              <w:r>
                <w:rPr>
                  <w:rFonts w:ascii="Times New Roman" w:cs="Times New Roman" w:eastAsia="Times New Roman" w:hAnsi="Times New Roman"/>
                  <w:sz w:val="18"/>
                  <w:szCs w:val="18"/>
                  <w:color w:val="0000FF"/>
                  <w:w w:val="88"/>
                </w:rPr>
                <w:t>7</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Notes to the Condensed Consolidated Financial Statements</w:t>
              </w:r>
            </w:hyperlink>
          </w:p>
        </w:tc>
        <w:tc>
          <w:tcPr>
            <w:tcW w:w="3800" w:type="dxa"/>
            <w:vAlign w:val="bottom"/>
            <w:gridSpan w:val="7"/>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Times New Roman" w:cs="Times New Roman" w:eastAsia="Times New Roman" w:hAnsi="Times New Roman"/>
                <w:sz w:val="18"/>
                <w:szCs w:val="18"/>
                <w:color w:val="0000FF"/>
                <w:w w:val="88"/>
              </w:rPr>
            </w:pPr>
            <w:hyperlink w:anchor="page10">
              <w:r>
                <w:rPr>
                  <w:rFonts w:ascii="Times New Roman" w:cs="Times New Roman" w:eastAsia="Times New Roman" w:hAnsi="Times New Roman"/>
                  <w:sz w:val="18"/>
                  <w:szCs w:val="18"/>
                  <w:color w:val="0000FF"/>
                  <w:w w:val="88"/>
                </w:rPr>
                <w:t>8</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820" w:type="dxa"/>
            <w:vAlign w:val="bottom"/>
            <w:gridSpan w:val="4"/>
          </w:tcPr>
          <w:p>
            <w:pPr>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Item 2.</w:t>
              </w:r>
            </w:hyperlink>
          </w:p>
        </w:tc>
        <w:tc>
          <w:tcPr>
            <w:tcW w:w="8620" w:type="dxa"/>
            <w:vAlign w:val="bottom"/>
            <w:gridSpan w:val="24"/>
          </w:tcPr>
          <w:p>
            <w:pPr>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Management’s Discussion and Analysis of Financial Condition and Results of Operations</w:t>
              </w:r>
            </w:hyperlink>
          </w:p>
        </w:tc>
        <w:tc>
          <w:tcPr>
            <w:tcW w:w="1280" w:type="dxa"/>
            <w:vAlign w:val="bottom"/>
            <w:gridSpan w:val="4"/>
          </w:tcPr>
          <w:p>
            <w:pPr>
              <w:ind w:left="940"/>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Item 3.</w:t>
              </w:r>
            </w:hyperlink>
          </w:p>
        </w:tc>
        <w:tc>
          <w:tcPr>
            <w:tcW w:w="260" w:type="dxa"/>
            <w:vAlign w:val="bottom"/>
            <w:gridSpan w:val="2"/>
          </w:tcPr>
          <w:p>
            <w:pPr>
              <w:spacing w:after="0"/>
              <w:rPr>
                <w:sz w:val="21"/>
                <w:szCs w:val="21"/>
                <w:color w:val="auto"/>
              </w:rPr>
            </w:pPr>
          </w:p>
        </w:tc>
        <w:tc>
          <w:tcPr>
            <w:tcW w:w="43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w:anchor="page38">
              <w:r>
                <w:rPr>
                  <w:rFonts w:ascii="Times New Roman" w:cs="Times New Roman" w:eastAsia="Times New Roman" w:hAnsi="Times New Roman"/>
                  <w:sz w:val="18"/>
                  <w:szCs w:val="18"/>
                  <w:color w:val="0000FF"/>
                  <w:w w:val="99"/>
                </w:rPr>
                <w:t>Quantitative and Qualitative Disclosures About Market Risk</w:t>
              </w:r>
            </w:hyperlink>
          </w:p>
        </w:tc>
        <w:tc>
          <w:tcPr>
            <w:tcW w:w="4260" w:type="dxa"/>
            <w:vAlign w:val="bottom"/>
            <w:gridSpan w:val="8"/>
          </w:tcPr>
          <w:p>
            <w:pPr>
              <w:spacing w:after="0"/>
              <w:rPr>
                <w:sz w:val="21"/>
                <w:szCs w:val="21"/>
                <w:color w:val="auto"/>
              </w:rPr>
            </w:pPr>
          </w:p>
        </w:tc>
        <w:tc>
          <w:tcPr>
            <w:tcW w:w="1280" w:type="dxa"/>
            <w:vAlign w:val="bottom"/>
            <w:gridSpan w:val="4"/>
          </w:tcPr>
          <w:p>
            <w:pPr>
              <w:ind w:left="940"/>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36</w:t>
              </w:r>
            </w:hyperlink>
          </w:p>
        </w:tc>
      </w:tr>
      <w:tr>
        <w:trPr>
          <w:trHeight w:val="250"/>
        </w:trPr>
        <w:tc>
          <w:tcPr>
            <w:tcW w:w="820" w:type="dxa"/>
            <w:vAlign w:val="bottom"/>
            <w:gridSpan w:val="4"/>
          </w:tcPr>
          <w:p>
            <w:pPr>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Item 4.</w:t>
              </w:r>
            </w:hyperlink>
          </w:p>
        </w:tc>
        <w:tc>
          <w:tcPr>
            <w:tcW w:w="8620" w:type="dxa"/>
            <w:vAlign w:val="bottom"/>
            <w:gridSpan w:val="24"/>
          </w:tcPr>
          <w:p>
            <w:pPr>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Controls and Procedures</w:t>
              </w:r>
            </w:hyperlink>
          </w:p>
        </w:tc>
        <w:tc>
          <w:tcPr>
            <w:tcW w:w="1280" w:type="dxa"/>
            <w:vAlign w:val="bottom"/>
            <w:gridSpan w:val="4"/>
          </w:tcPr>
          <w:p>
            <w:pPr>
              <w:ind w:left="940"/>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36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Times New Roman" w:cs="Times New Roman" w:eastAsia="Times New Roman" w:hAnsi="Times New Roman"/>
                <w:sz w:val="18"/>
                <w:szCs w:val="18"/>
                <w:b w:val="1"/>
                <w:bCs w:val="1"/>
                <w:color w:val="0000FF"/>
              </w:rPr>
            </w:pPr>
            <w:hyperlink w:anchor="page39">
              <w:r>
                <w:rPr>
                  <w:rFonts w:ascii="Times New Roman" w:cs="Times New Roman" w:eastAsia="Times New Roman" w:hAnsi="Times New Roman"/>
                  <w:sz w:val="18"/>
                  <w:szCs w:val="18"/>
                  <w:b w:val="1"/>
                  <w:bCs w:val="1"/>
                  <w:color w:val="0000FF"/>
                </w:rPr>
                <w:t>Part II.</w:t>
              </w:r>
            </w:hyperlink>
          </w:p>
        </w:tc>
        <w:tc>
          <w:tcPr>
            <w:tcW w:w="8620" w:type="dxa"/>
            <w:vAlign w:val="bottom"/>
            <w:gridSpan w:val="24"/>
          </w:tcPr>
          <w:p>
            <w:pPr>
              <w:spacing w:after="0"/>
              <w:rPr>
                <w:rFonts w:ascii="Times New Roman" w:cs="Times New Roman" w:eastAsia="Times New Roman" w:hAnsi="Times New Roman"/>
                <w:sz w:val="18"/>
                <w:szCs w:val="18"/>
                <w:b w:val="1"/>
                <w:bCs w:val="1"/>
                <w:color w:val="0000FF"/>
              </w:rPr>
            </w:pPr>
            <w:hyperlink w:anchor="page39">
              <w:r>
                <w:rPr>
                  <w:rFonts w:ascii="Times New Roman" w:cs="Times New Roman" w:eastAsia="Times New Roman" w:hAnsi="Times New Roman"/>
                  <w:sz w:val="18"/>
                  <w:szCs w:val="18"/>
                  <w:b w:val="1"/>
                  <w:bCs w:val="1"/>
                  <w:color w:val="0000FF"/>
                </w:rPr>
                <w:t>Other Information</w:t>
              </w:r>
            </w:hyperlink>
          </w:p>
        </w:tc>
        <w:tc>
          <w:tcPr>
            <w:tcW w:w="1280" w:type="dxa"/>
            <w:vAlign w:val="bottom"/>
            <w:gridSpan w:val="4"/>
          </w:tcPr>
          <w:p>
            <w:pPr>
              <w:ind w:left="940"/>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37</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Item 1.</w:t>
              </w:r>
            </w:hyperlink>
          </w:p>
        </w:tc>
        <w:tc>
          <w:tcPr>
            <w:tcW w:w="80" w:type="dxa"/>
            <w:vAlign w:val="bottom"/>
            <w:tcBorders>
              <w:bottom w:val="single" w:sz="8" w:color="0000FF"/>
            </w:tcBorders>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7"/>
              </w:rPr>
            </w:pPr>
            <w:hyperlink w:anchor="page39">
              <w:r>
                <w:rPr>
                  <w:rFonts w:ascii="Times New Roman" w:cs="Times New Roman" w:eastAsia="Times New Roman" w:hAnsi="Times New Roman"/>
                  <w:sz w:val="18"/>
                  <w:szCs w:val="18"/>
                  <w:color w:val="0000FF"/>
                  <w:w w:val="97"/>
                </w:rPr>
                <w:t>Legal Proceedings</w:t>
              </w:r>
            </w:hyperlink>
          </w:p>
        </w:tc>
        <w:tc>
          <w:tcPr>
            <w:tcW w:w="120" w:type="dxa"/>
            <w:vAlign w:val="bottom"/>
          </w:tcPr>
          <w:p>
            <w:pPr>
              <w:spacing w:after="0"/>
              <w:rPr>
                <w:sz w:val="21"/>
                <w:szCs w:val="21"/>
                <w:color w:val="auto"/>
              </w:rPr>
            </w:pPr>
          </w:p>
        </w:tc>
        <w:tc>
          <w:tcPr>
            <w:tcW w:w="7180" w:type="dxa"/>
            <w:vAlign w:val="bottom"/>
            <w:gridSpan w:val="18"/>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gridSpan w:val="3"/>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37</w:t>
              </w:r>
            </w:hyperlink>
          </w:p>
        </w:tc>
      </w:tr>
      <w:tr>
        <w:trPr>
          <w:trHeight w:val="250"/>
        </w:trPr>
        <w:tc>
          <w:tcPr>
            <w:tcW w:w="640" w:type="dxa"/>
            <w:vAlign w:val="bottom"/>
            <w:gridSpan w:val="3"/>
          </w:tcPr>
          <w:p>
            <w:pPr>
              <w:spacing w:after="0"/>
              <w:rPr>
                <w:rFonts w:ascii="Times New Roman" w:cs="Times New Roman" w:eastAsia="Times New Roman" w:hAnsi="Times New Roman"/>
                <w:sz w:val="18"/>
                <w:szCs w:val="18"/>
                <w:color w:val="0000FF"/>
                <w:w w:val="96"/>
              </w:rPr>
            </w:pPr>
            <w:hyperlink w:anchor="page39">
              <w:r>
                <w:rPr>
                  <w:rFonts w:ascii="Times New Roman" w:cs="Times New Roman" w:eastAsia="Times New Roman" w:hAnsi="Times New Roman"/>
                  <w:sz w:val="18"/>
                  <w:szCs w:val="18"/>
                  <w:color w:val="0000FF"/>
                  <w:w w:val="96"/>
                </w:rPr>
                <w:t>Item 1A.</w:t>
              </w:r>
            </w:hyperlink>
          </w:p>
        </w:tc>
        <w:tc>
          <w:tcPr>
            <w:tcW w:w="180" w:type="dxa"/>
            <w:vAlign w:val="bottom"/>
          </w:tcPr>
          <w:p>
            <w:pPr>
              <w:spacing w:after="0"/>
              <w:rPr>
                <w:sz w:val="21"/>
                <w:szCs w:val="21"/>
                <w:color w:val="auto"/>
              </w:rPr>
            </w:pPr>
          </w:p>
        </w:tc>
        <w:tc>
          <w:tcPr>
            <w:tcW w:w="900" w:type="dxa"/>
            <w:vAlign w:val="bottom"/>
            <w:gridSpan w:val="3"/>
          </w:tcPr>
          <w:p>
            <w:pPr>
              <w:spacing w:after="0"/>
              <w:rPr>
                <w:rFonts w:ascii="Times New Roman" w:cs="Times New Roman" w:eastAsia="Times New Roman" w:hAnsi="Times New Roman"/>
                <w:sz w:val="18"/>
                <w:szCs w:val="18"/>
                <w:color w:val="0000FF"/>
                <w:w w:val="97"/>
              </w:rPr>
            </w:pPr>
            <w:hyperlink w:anchor="page39">
              <w:r>
                <w:rPr>
                  <w:rFonts w:ascii="Times New Roman" w:cs="Times New Roman" w:eastAsia="Times New Roman" w:hAnsi="Times New Roman"/>
                  <w:sz w:val="18"/>
                  <w:szCs w:val="18"/>
                  <w:color w:val="0000FF"/>
                  <w:w w:val="97"/>
                </w:rPr>
                <w:t>Risk Factors</w:t>
              </w:r>
            </w:hyperlink>
          </w:p>
        </w:tc>
        <w:tc>
          <w:tcPr>
            <w:tcW w:w="7720" w:type="dxa"/>
            <w:vAlign w:val="bottom"/>
            <w:gridSpan w:val="21"/>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gridSpan w:val="3"/>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37</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Item 2.</w:t>
              </w:r>
            </w:hyperlink>
          </w:p>
        </w:tc>
        <w:tc>
          <w:tcPr>
            <w:tcW w:w="180" w:type="dxa"/>
            <w:vAlign w:val="bottom"/>
          </w:tcPr>
          <w:p>
            <w:pPr>
              <w:spacing w:after="0"/>
              <w:rPr>
                <w:sz w:val="21"/>
                <w:szCs w:val="21"/>
                <w:color w:val="auto"/>
              </w:rPr>
            </w:pPr>
          </w:p>
        </w:tc>
        <w:tc>
          <w:tcPr>
            <w:tcW w:w="8620" w:type="dxa"/>
            <w:vAlign w:val="bottom"/>
            <w:gridSpan w:val="24"/>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Unregistered Sales of Equity Securities and Use of Proceeds</w:t>
              </w:r>
            </w:hyperlink>
          </w:p>
        </w:tc>
        <w:tc>
          <w:tcPr>
            <w:tcW w:w="1280" w:type="dxa"/>
            <w:vAlign w:val="bottom"/>
            <w:gridSpan w:val="4"/>
          </w:tcPr>
          <w:p>
            <w:pPr>
              <w:ind w:left="94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Item 3.</w:t>
              </w:r>
            </w:hyperlink>
          </w:p>
        </w:tc>
        <w:tc>
          <w:tcPr>
            <w:tcW w:w="8620" w:type="dxa"/>
            <w:vAlign w:val="bottom"/>
            <w:gridSpan w:val="24"/>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Defaults Upon Senior Securities</w:t>
              </w:r>
            </w:hyperlink>
          </w:p>
        </w:tc>
        <w:tc>
          <w:tcPr>
            <w:tcW w:w="1280" w:type="dxa"/>
            <w:vAlign w:val="bottom"/>
            <w:gridSpan w:val="4"/>
          </w:tcPr>
          <w:p>
            <w:pPr>
              <w:ind w:left="94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37</w:t>
              </w:r>
            </w:hyperlink>
          </w:p>
        </w:tc>
      </w:tr>
      <w:tr>
        <w:trPr>
          <w:trHeight w:val="250"/>
        </w:trPr>
        <w:tc>
          <w:tcPr>
            <w:tcW w:w="82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Item 4.</w:t>
              </w:r>
            </w:hyperlink>
          </w:p>
        </w:tc>
        <w:tc>
          <w:tcPr>
            <w:tcW w:w="2300" w:type="dxa"/>
            <w:vAlign w:val="bottom"/>
            <w:tcBorders>
              <w:top w:val="single" w:sz="8" w:color="0000FF"/>
            </w:tcBorders>
            <w:gridSpan w:val="10"/>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Mine Safety Disclosures</w:t>
              </w:r>
            </w:hyperlink>
          </w:p>
        </w:tc>
        <w:tc>
          <w:tcPr>
            <w:tcW w:w="6320" w:type="dxa"/>
            <w:vAlign w:val="bottom"/>
            <w:gridSpan w:val="14"/>
          </w:tcPr>
          <w:p>
            <w:pPr>
              <w:spacing w:after="0"/>
              <w:rPr>
                <w:sz w:val="21"/>
                <w:szCs w:val="21"/>
                <w:color w:val="auto"/>
              </w:rPr>
            </w:pPr>
          </w:p>
        </w:tc>
        <w:tc>
          <w:tcPr>
            <w:tcW w:w="1280" w:type="dxa"/>
            <w:vAlign w:val="bottom"/>
            <w:gridSpan w:val="4"/>
          </w:tcPr>
          <w:p>
            <w:pPr>
              <w:ind w:left="94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6860" w:type="dxa"/>
            <w:vAlign w:val="bottom"/>
            <w:gridSpan w:val="1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Item 5.</w:t>
              </w:r>
            </w:hyperlink>
          </w:p>
        </w:tc>
        <w:tc>
          <w:tcPr>
            <w:tcW w:w="8620" w:type="dxa"/>
            <w:vAlign w:val="bottom"/>
            <w:gridSpan w:val="24"/>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Other Information</w:t>
              </w:r>
            </w:hyperlink>
          </w:p>
        </w:tc>
        <w:tc>
          <w:tcPr>
            <w:tcW w:w="1280" w:type="dxa"/>
            <w:vAlign w:val="bottom"/>
            <w:gridSpan w:val="4"/>
          </w:tcPr>
          <w:p>
            <w:pPr>
              <w:ind w:left="94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320" w:type="dxa"/>
            <w:vAlign w:val="bottom"/>
            <w:gridSpan w:val="2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Item 6.</w:t>
              </w:r>
            </w:hyperlink>
          </w:p>
        </w:tc>
        <w:tc>
          <w:tcPr>
            <w:tcW w:w="8620" w:type="dxa"/>
            <w:vAlign w:val="bottom"/>
            <w:gridSpan w:val="24"/>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Exhibits</w:t>
              </w:r>
            </w:hyperlink>
          </w:p>
        </w:tc>
        <w:tc>
          <w:tcPr>
            <w:tcW w:w="1280" w:type="dxa"/>
            <w:vAlign w:val="bottom"/>
            <w:gridSpan w:val="4"/>
          </w:tcPr>
          <w:p>
            <w:pPr>
              <w:ind w:left="94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40" w:type="dxa"/>
            <w:vAlign w:val="bottom"/>
            <w:gridSpan w:val="2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Times New Roman" w:cs="Times New Roman" w:eastAsia="Times New Roman" w:hAnsi="Times New Roman"/>
                <w:sz w:val="18"/>
                <w:szCs w:val="18"/>
                <w:b w:val="1"/>
                <w:bCs w:val="1"/>
                <w:color w:val="0000FF"/>
                <w:w w:val="95"/>
              </w:rPr>
            </w:pPr>
            <w:hyperlink w:anchor="page40">
              <w:r>
                <w:rPr>
                  <w:rFonts w:ascii="Times New Roman" w:cs="Times New Roman" w:eastAsia="Times New Roman" w:hAnsi="Times New Roman"/>
                  <w:sz w:val="18"/>
                  <w:szCs w:val="18"/>
                  <w:b w:val="1"/>
                  <w:bCs w:val="1"/>
                  <w:color w:val="0000FF"/>
                  <w:w w:val="95"/>
                </w:rPr>
                <w:t>Signatures</w:t>
              </w:r>
            </w:hyperlink>
          </w:p>
        </w:tc>
        <w:tc>
          <w:tcPr>
            <w:tcW w:w="8620" w:type="dxa"/>
            <w:vAlign w:val="bottom"/>
            <w:gridSpan w:val="24"/>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gridSpan w:val="3"/>
          </w:tcPr>
          <w:p>
            <w:pPr>
              <w:spacing w:after="0"/>
              <w:rPr>
                <w:rFonts w:ascii="Times New Roman" w:cs="Times New Roman" w:eastAsia="Times New Roman" w:hAnsi="Times New Roman"/>
                <w:sz w:val="18"/>
                <w:szCs w:val="18"/>
                <w:color w:val="0000FF"/>
              </w:rPr>
            </w:pPr>
            <w:hyperlink w:anchor="page40">
              <w:r>
                <w:rPr>
                  <w:rFonts w:ascii="Times New Roman" w:cs="Times New Roman" w:eastAsia="Times New Roman" w:hAnsi="Times New Roman"/>
                  <w:sz w:val="18"/>
                  <w:szCs w:val="18"/>
                  <w:color w:val="0000FF"/>
                </w:rPr>
                <w:t>38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20" w:type="dxa"/>
            <w:vAlign w:val="bottom"/>
            <w:gridSpan w:val="5"/>
          </w:tcPr>
          <w:p>
            <w:pPr>
              <w:spacing w:after="0"/>
              <w:rPr>
                <w:rFonts w:ascii="Times New Roman" w:cs="Times New Roman" w:eastAsia="Times New Roman" w:hAnsi="Times New Roman"/>
                <w:sz w:val="18"/>
                <w:szCs w:val="18"/>
                <w:b w:val="1"/>
                <w:bCs w:val="1"/>
                <w:color w:val="0000FF"/>
                <w:w w:val="98"/>
              </w:rPr>
            </w:pPr>
            <w:hyperlink w:anchor="page41">
              <w:r>
                <w:rPr>
                  <w:rFonts w:ascii="Times New Roman" w:cs="Times New Roman" w:eastAsia="Times New Roman" w:hAnsi="Times New Roman"/>
                  <w:sz w:val="18"/>
                  <w:szCs w:val="18"/>
                  <w:b w:val="1"/>
                  <w:bCs w:val="1"/>
                  <w:color w:val="0000FF"/>
                  <w:w w:val="98"/>
                </w:rPr>
                <w:t>Index to Exhibits</w:t>
              </w:r>
            </w:hyperlink>
          </w:p>
        </w:tc>
        <w:tc>
          <w:tcPr>
            <w:tcW w:w="8120" w:type="dxa"/>
            <w:vAlign w:val="bottom"/>
            <w:gridSpan w:val="23"/>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gridSpan w:val="3"/>
          </w:tcPr>
          <w:p>
            <w:pPr>
              <w:spacing w:after="0"/>
              <w:rPr>
                <w:rFonts w:ascii="Times New Roman" w:cs="Times New Roman" w:eastAsia="Times New Roman" w:hAnsi="Times New Roman"/>
                <w:sz w:val="18"/>
                <w:szCs w:val="18"/>
                <w:color w:val="0000FF"/>
              </w:rPr>
            </w:pPr>
            <w:hyperlink w:anchor="page41">
              <w:r>
                <w:rPr>
                  <w:rFonts w:ascii="Times New Roman" w:cs="Times New Roman" w:eastAsia="Times New Roman" w:hAnsi="Times New Roman"/>
                  <w:sz w:val="18"/>
                  <w:szCs w:val="18"/>
                  <w:color w:val="0000FF"/>
                </w:rPr>
                <w:t>39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720"/>
          </w:cols>
          <w:pgMar w:left="280" w:top="576" w:right="89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b w:val="1"/>
          <w:bCs w:val="1"/>
          <w:color w:val="auto"/>
        </w:rPr>
        <w:t>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0" w:type="dxa"/>
            <w:vAlign w:val="bottom"/>
          </w:tcPr>
          <w:p>
            <w:pPr>
              <w:spacing w:after="0"/>
              <w:rPr>
                <w:sz w:val="1"/>
                <w:szCs w:val="1"/>
                <w:color w:val="auto"/>
              </w:rPr>
            </w:pPr>
          </w:p>
        </w:tc>
      </w:tr>
      <w:tr>
        <w:trPr>
          <w:trHeight w:val="238"/>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29,727</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34,522</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77,743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77,387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75,335</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30,968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maturities of long-term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9,029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5,385</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 and other assets available for sale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264,604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264,133</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68,059</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receivables, less current maturities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8,264</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Intangibles,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5,091</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7,930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94,148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94,667</w:t>
            </w:r>
          </w:p>
        </w:tc>
        <w:tc>
          <w:tcPr>
            <w:tcW w:w="0" w:type="dxa"/>
            <w:vAlign w:val="bottom"/>
          </w:tcPr>
          <w:p>
            <w:pPr>
              <w:spacing w:after="0"/>
              <w:rPr>
                <w:sz w:val="1"/>
                <w:szCs w:val="1"/>
                <w:color w:val="auto"/>
              </w:rPr>
            </w:pPr>
          </w:p>
        </w:tc>
      </w:tr>
      <w:tr>
        <w:trPr>
          <w:trHeight w:val="297"/>
        </w:trPr>
        <w:tc>
          <w:tcPr>
            <w:tcW w:w="8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358,752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358,800</w:t>
            </w:r>
          </w:p>
        </w:tc>
        <w:tc>
          <w:tcPr>
            <w:tcW w:w="0" w:type="dxa"/>
            <w:vAlign w:val="bottom"/>
          </w:tcPr>
          <w:p>
            <w:pPr>
              <w:spacing w:after="0"/>
              <w:rPr>
                <w:sz w:val="1"/>
                <w:szCs w:val="1"/>
                <w:color w:val="auto"/>
              </w:rPr>
            </w:pPr>
          </w:p>
        </w:tc>
      </w:tr>
      <w:tr>
        <w:trPr>
          <w:trHeight w:val="163"/>
        </w:trPr>
        <w:tc>
          <w:tcPr>
            <w:tcW w:w="8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35,117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48,845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39,379</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27,445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Warranty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13,891</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portion of other long-term obligations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37"/>
        </w:trPr>
        <w:tc>
          <w:tcPr>
            <w:tcW w:w="8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129,022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131,308</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16,062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7,475</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long-term obligations, less current portion</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29,876</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118" w:right="419" w:bottom="1440" w:gutter="0" w:footer="0" w:header="0"/>
        </w:sectPr>
      </w:pPr>
    </w:p>
    <w:p>
      <w:pPr>
        <w:spacing w:after="0" w:line="2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240" w:top="118" w:right="419" w:bottom="1440" w:gutter="0" w:footer="0" w:header="0"/>
          <w:type w:val="continuous"/>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28,</w:t>
            </w:r>
          </w:p>
        </w:tc>
      </w:tr>
      <w:tr>
        <w:trPr>
          <w:trHeight w:val="238"/>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5"/>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no par value, authorized 115,000,000 shares; 45,317,267 and 44,779,534</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shares issued and outstanding at January 26, 2019 and April 28, 2018, respectively</w:t>
            </w: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54,731</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40,328</w:t>
            </w: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107,105</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Stock, at cost, 303,957 shares at January 26, 2019 and April 28, 2018,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201,151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197,616</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358,752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358,800</w:t>
            </w:r>
          </w:p>
        </w:tc>
      </w:tr>
      <w:tr>
        <w:trPr>
          <w:trHeight w:val="163"/>
        </w:trPr>
        <w:tc>
          <w:tcPr>
            <w:tcW w:w="8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bl>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240" w:top="118" w:right="41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5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27,</w:t>
            </w:r>
          </w:p>
        </w:tc>
      </w:tr>
      <w:tr>
        <w:trPr>
          <w:trHeight w:val="238"/>
        </w:trPr>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115,069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130,316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441,949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472,353</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90,200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101,749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336,076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356,536</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24,869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28,567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105,873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115,817</w:t>
            </w:r>
          </w:p>
        </w:tc>
      </w:tr>
      <w:tr>
        <w:trPr>
          <w:trHeight w:val="284"/>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Selling</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15,537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15,271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48,040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45,560</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8,574</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8,335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25,685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26,138</w:t>
            </w: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8,280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8,299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26,611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26,294</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32,391</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31,905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100,336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97,992</w:t>
            </w:r>
          </w:p>
        </w:tc>
      </w:tr>
      <w:tr>
        <w:trPr>
          <w:trHeight w:val="237"/>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5,537</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17,825</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5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77"/>
        </w:trPr>
        <w:tc>
          <w:tcPr>
            <w:tcW w:w="50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17,743</w:t>
            </w: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8,371</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9,372</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1"/>
        </w:trPr>
        <w:tc>
          <w:tcPr>
            <w:tcW w:w="5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45,018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44,518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44,834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44,403</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45,018</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44,518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45,139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44,798</w:t>
            </w:r>
          </w:p>
        </w:tc>
      </w:tr>
      <w:tr>
        <w:trPr>
          <w:trHeight w:val="284"/>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0.21</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5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8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5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5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27,</w:t>
            </w:r>
          </w:p>
        </w:tc>
      </w:tr>
      <w:tr>
        <w:trPr>
          <w:trHeight w:val="238"/>
        </w:trPr>
        <w:tc>
          <w:tcPr>
            <w:tcW w:w="52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26, 2019</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5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9,372</w:t>
            </w:r>
          </w:p>
        </w:tc>
      </w:tr>
      <w:tr>
        <w:trPr>
          <w:trHeight w:val="284"/>
        </w:trPr>
        <w:tc>
          <w:tcPr>
            <w:tcW w:w="5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2,289</w:t>
            </w:r>
          </w:p>
        </w:tc>
      </w:tr>
      <w:tr>
        <w:trPr>
          <w:trHeight w:val="27"/>
        </w:trPr>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7"/>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1,178</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2,206</w:t>
            </w:r>
          </w:p>
        </w:tc>
      </w:tr>
      <w:tr>
        <w:trPr>
          <w:trHeight w:val="27"/>
        </w:trPr>
        <w:tc>
          <w:tcPr>
            <w:tcW w:w="5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11,578</w:t>
            </w:r>
          </w:p>
        </w:tc>
      </w:tr>
      <w:tr>
        <w:trPr>
          <w:trHeight w:val="20"/>
        </w:trPr>
        <w:tc>
          <w:tcPr>
            <w:tcW w:w="5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1233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118" w:right="29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Accumulated Other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Paid-In</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Treasury</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Comprehensive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Stock</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Capital</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Loss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April 28,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54,731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197,616</w:t>
            </w: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4,574</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25"/>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gain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w:t>
            </w: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w:t>
            </w: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declared ($0.07 per share)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July 28, 2018</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108,558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199,445</w:t>
            </w: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8,606</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5"/>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gain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($0.07 per share)</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October 27, 2018</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55,608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41,345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114,033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204,737</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gain on available-for-sale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1,261</w:t>
            </w: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830</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($0.07 per share)</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r>
      <w:tr>
        <w:trPr>
          <w:trHeight w:val="297"/>
        </w:trPr>
        <w:tc>
          <w:tcPr>
            <w:tcW w:w="3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January 26, 2019</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57,699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41,949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107,563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201,151</w:t>
            </w:r>
          </w:p>
        </w:tc>
      </w:tr>
      <w:tr>
        <w:trPr>
          <w:trHeight w:val="311"/>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bl>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Accumulated Other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Paid-In</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Treasury</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Comprehensive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Stock</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Capital</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Loss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April 29,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52,530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198,286</w:t>
            </w: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8,429</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1,081</w:t>
            </w:r>
          </w:p>
        </w:tc>
      </w:tr>
      <w:tr>
        <w:trPr>
          <w:trHeight w:val="225"/>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gain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w:t>
            </w: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w:t>
            </w: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declared ($0.07 per share)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July 29, 2017</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53,561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119,302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206,399</w:t>
            </w: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7,132</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gain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w:t>
            </w: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declared ($0.07 per share)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October 28, 2017</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123,330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211,039</w:t>
            </w: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1,228</w:t>
            </w:r>
          </w:p>
        </w:tc>
      </w:tr>
      <w:tr>
        <w:trPr>
          <w:trHeight w:val="225"/>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gain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w:t>
            </w: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declared ($0.07 per share)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January 27,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54,725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39,671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114,028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204,415</w:t>
            </w: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16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0" w:type="dxa"/>
            <w:vAlign w:val="bottom"/>
          </w:tcPr>
          <w:p>
            <w:pPr>
              <w:spacing w:after="0"/>
              <w:rPr>
                <w:sz w:val="1"/>
                <w:szCs w:val="1"/>
                <w:color w:val="auto"/>
              </w:rPr>
            </w:pPr>
          </w:p>
        </w:tc>
      </w:tr>
      <w:tr>
        <w:trPr>
          <w:trHeight w:val="238"/>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9,861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9,372</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14,054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13,335</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sale of property, equipment and other assets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Contingent consideration adjustment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Equity in loss of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3,429</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7,364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32,187</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26,953</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sales of property, equipment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sales or maturities of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22,341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13,751</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Purchases of equity investment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4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(19,926)</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Principal payments on long-term obligations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3,552</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16,231</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29,755</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32,839</w:t>
            </w:r>
          </w:p>
        </w:tc>
        <w:tc>
          <w:tcPr>
            <w:tcW w:w="0" w:type="dxa"/>
            <w:vAlign w:val="bottom"/>
          </w:tcPr>
          <w:p>
            <w:pPr>
              <w:spacing w:after="0"/>
              <w:rPr>
                <w:sz w:val="1"/>
                <w:szCs w:val="1"/>
                <w:color w:val="auto"/>
              </w:rPr>
            </w:pPr>
          </w:p>
        </w:tc>
      </w:tr>
      <w:tr>
        <w:trPr>
          <w:trHeight w:val="297"/>
        </w:trPr>
        <w:tc>
          <w:tcPr>
            <w:tcW w:w="84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33,307</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49,070</w:t>
            </w:r>
          </w:p>
        </w:tc>
        <w:tc>
          <w:tcPr>
            <w:tcW w:w="0" w:type="dxa"/>
            <w:vAlign w:val="bottom"/>
          </w:tcPr>
          <w:p>
            <w:pPr>
              <w:spacing w:after="0"/>
              <w:rPr>
                <w:sz w:val="1"/>
                <w:szCs w:val="1"/>
                <w:color w:val="auto"/>
              </w:rPr>
            </w:pPr>
          </w:p>
        </w:tc>
      </w:tr>
      <w:tr>
        <w:trPr>
          <w:trHeight w:val="163"/>
        </w:trPr>
        <w:tc>
          <w:tcPr>
            <w:tcW w:w="8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payments for:</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7,449</w:t>
            </w:r>
          </w:p>
        </w:tc>
        <w:tc>
          <w:tcPr>
            <w:tcW w:w="0" w:type="dxa"/>
            <w:vAlign w:val="bottom"/>
          </w:tcPr>
          <w:p>
            <w:pPr>
              <w:spacing w:after="0"/>
              <w:rPr>
                <w:sz w:val="1"/>
                <w:szCs w:val="1"/>
                <w:color w:val="auto"/>
              </w:rPr>
            </w:pPr>
          </w:p>
        </w:tc>
      </w:tr>
      <w:tr>
        <w:trPr>
          <w:trHeight w:val="176"/>
        </w:trPr>
        <w:tc>
          <w:tcPr>
            <w:tcW w:w="8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Demonstration equipment transferred to inventory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property and equipment included in 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Contributions of common stock under the ESPP</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400"/>
          </w:cols>
          <w:pgMar w:left="240" w:top="118" w:right="259" w:bottom="833"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18" w:right="259" w:bottom="833" w:gutter="0" w:footer="0" w:header="0"/>
          <w:type w:val="continuous"/>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260" w:right="25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(dollar amounts in thousands, except per share data) (unaudited)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Daktronics, Inc. and its subsidiaries (the “Company”, “Daktronics”, “we”, “our”, or “us”) are the world's industry leader in designing and manufacturing electronic scoreboards, programmable display systems and large screen video displays for sporting, commercial and transportation applications.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generally accepted accounting principles in the United States ("GAAP") requires management to make estimates and assumptions affecting the reported amounts therein. Due to the inherent uncertainty involved in making estimates, actual results in future periods may differ from those estimates.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condensed or omitted. The balance sheet at April 28, 2018, has been derived from the audited financial statements at that date, but it does not include all the information and footnotes required by GAAP for complete financial statements. These financial statements should be read in conjunction with our financial statements and notes thereto for the year ended April 28, 2018,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Certain prior year amounts in the condensed consolidated balance sheet have been reclassified to conform to the current year's presentation due to the adoption of Accounting Standards Update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Billings in excess of costs and estimated earnings, customer deposits, and deferred revenue are combined to present contract liabilities. Costs and estimated earnings in excess of billings now represent contract assets. These reclassifications had no effect on reported net income, comprehensive income, cash flows, total assets or total liabilities.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nine months ended January 26, 2019 and January 27, 2018, contained operating results for 39 weeks.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 that sum to the total of the same amounts shown in the condensed consolidated statement of cash flows:</w:t>
      </w:r>
    </w:p>
    <w:p>
      <w:pPr>
        <w:spacing w:after="0" w:line="10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16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0" w:type="dxa"/>
            <w:vAlign w:val="bottom"/>
          </w:tcPr>
          <w:p>
            <w:pPr>
              <w:spacing w:after="0"/>
              <w:rPr>
                <w:sz w:val="1"/>
                <w:szCs w:val="1"/>
                <w:color w:val="auto"/>
              </w:rPr>
            </w:pPr>
          </w:p>
        </w:tc>
      </w:tr>
      <w:tr>
        <w:trPr>
          <w:trHeight w:val="238"/>
        </w:trPr>
        <w:tc>
          <w:tcPr>
            <w:tcW w:w="7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33,281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49,042</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7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 statement of cash</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33,307</w:t>
            </w:r>
          </w:p>
        </w:tc>
        <w:tc>
          <w:tcPr>
            <w:tcW w:w="2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49,070</w:t>
            </w:r>
          </w:p>
        </w:tc>
        <w:tc>
          <w:tcPr>
            <w:tcW w:w="0" w:type="dxa"/>
            <w:vAlign w:val="bottom"/>
          </w:tcPr>
          <w:p>
            <w:pPr>
              <w:spacing w:after="0"/>
              <w:rPr>
                <w:sz w:val="1"/>
                <w:szCs w:val="1"/>
                <w:color w:val="auto"/>
              </w:rPr>
            </w:pPr>
          </w:p>
        </w:tc>
      </w:tr>
      <w:tr>
        <w:trPr>
          <w:trHeight w:val="24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Standards Adopted</w:t>
      </w: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In October 2016, the Financial Accounting Standards Board ("FASB") issued ASU 2016-16, </w:t>
      </w:r>
      <w:r>
        <w:rPr>
          <w:rFonts w:ascii="Times New Roman" w:cs="Times New Roman" w:eastAsia="Times New Roman" w:hAnsi="Times New Roman"/>
          <w:sz w:val="17"/>
          <w:szCs w:val="17"/>
          <w:i w:val="1"/>
          <w:iCs w:val="1"/>
          <w:color w:val="auto"/>
        </w:rPr>
        <w:t>Income Taxes (Topic 740) Intra-Entity Transfers of Assets 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than Inventory</w:t>
      </w:r>
      <w:r>
        <w:rPr>
          <w:rFonts w:ascii="Times New Roman" w:cs="Times New Roman" w:eastAsia="Times New Roman" w:hAnsi="Times New Roman"/>
          <w:sz w:val="17"/>
          <w:szCs w:val="17"/>
          <w:color w:val="auto"/>
        </w:rPr>
        <w:t>, which is intended to improve the accounting for the income tax consequences of intra-entity transfers of assets other than inventory. Current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GAAP prohibits the recognition of current and deferred income taxes for an intra-entity asset transfer until the asset has been sold to an outside party, which is an exception to the principle of comprehensive recognition of current and deferred income taxes in GAAP. This update eliminates the exception by requiring entities to recognize the income tax consequences of an intra-entity transfer of an asset other than inventory when the transfer occurs. We adopted ASU 2016-16 during the first quarter of fiscal 2019. The adoption of ASU 2016-16 did not have an impact on our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Subsequently, the FASB also issued ASUs 2016-08, 2016-10, 2016-12, and 2016-20 to give further guidance to revenue recognition matters. ASU 2014-09 and related guidance supersedes revenue recognition requirements under FASB Accounting Standards Codification ("ASC") Topic 605 and related industry specific revenue recognition guidance. This new standard defines a comprehensive revenue recognition model, requiring a company to recognize revenue from the transfer of goods or services to customers in an amount that reflects the consideration that the entity expects to receive in exchange for those goods or services. It defines a five-step process to achieve this core principle that allows companies to use more judgment and make more estimates than under current guidance. In addition, it requires additional disclosures about the nature, amount, timing, and uncertainty of revenue and cash flows arising from customer contracts and provides guidance on transition requirements.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adopted ASU 2014-09 and its related guidance under the modified retrospective method during the first quarter of fiscal 2019 by applying the guidance to all open contracts at the adoption date. We completed an evaluation of our revenue arrangements under the new standard and determined that the adoption did not materially change the timing or amount of revenue recognized, primarily based upon our assessment of "point in time" and "over time" revenue recognition. No adjustment to beginning retained earnings was recorded and we have made additional disclosures related to revenue from contracts with customers as required by the new standard upon adoption. See "Note 4. Revenue Recognition" for more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Standards Not Yet Adopted</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February 2018, the FASB issued ASU 2018-02, </w:t>
      </w:r>
      <w:r>
        <w:rPr>
          <w:rFonts w:ascii="Times New Roman" w:cs="Times New Roman" w:eastAsia="Times New Roman" w:hAnsi="Times New Roman"/>
          <w:sz w:val="18"/>
          <w:szCs w:val="18"/>
          <w:i w:val="1"/>
          <w:iCs w:val="1"/>
          <w:color w:val="auto"/>
        </w:rPr>
        <w:t>Income Statement-Reporting Comprehensive Income (Topic 220): Reclassification of Certain Tax Effects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Accumulated Other Comprehensive Income</w:t>
      </w:r>
      <w:r>
        <w:rPr>
          <w:rFonts w:ascii="Times New Roman" w:cs="Times New Roman" w:eastAsia="Times New Roman" w:hAnsi="Times New Roman"/>
          <w:sz w:val="18"/>
          <w:szCs w:val="18"/>
          <w:color w:val="auto"/>
        </w:rPr>
        <w:t>, which allows a reclassification from accumulated other comprehensive income to retained earnings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stranded tax effects resulting from the newly enacted federal corporate income tax rate under the U.S. Tax Cuts and Jobs Act (the "Tax Act"). ASU 2018-02 is effective for interim and annual periods beginning after December 15, 2018, with early adoption permitted that can be made on a prospective or retrospective basis. We are currently evaluating the effect that adopting ASU 2018-02 will have on our condensed consolidated financial statements and related disclosures.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Intangibles-Goodwill and Other (Topic 350),</w:t>
      </w:r>
      <w:r>
        <w:rPr>
          <w:rFonts w:ascii="Times New Roman" w:cs="Times New Roman" w:eastAsia="Times New Roman" w:hAnsi="Times New Roman"/>
          <w:sz w:val="18"/>
          <w:szCs w:val="18"/>
          <w:color w:val="auto"/>
        </w:rPr>
        <w:t xml:space="preserve"> which simplifies the subsequent measurement of goodwill by removing the second step of the two-step impairment test. The amendment 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ASU 2017-04 is effective for interim and annual periods beginning after December 15, 2019 and will require adoption on a prospective basis. We are currently evaluating the effect that adopting ASU 2017-04 will have on our condensed consolidated financial statements and related disclosures.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which provides guidance regarding the measurement and recognition of credit impairment for certain financial assets. ASU 2016-13 is effective for interim and annual periods beginning after December 15, 2019, with early adoption permitted, and will require adoption on a modified retrospective basis. We are currently evaluating the effect that adopting ASU 2016-13 will have on our condensed consolidated financial statements and related disclosures.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sets out the principles for the recognition, measurement, presentation and disclosure of leases for both parties to a contract (that is, lessees and lessors). ASU 2016-02 requires lessees to apply a dual approach, classifying leases as either finance or operating leases based on the principle of whether or not the lease is effectively a financed purchase of the leased asset by the lessee. This classification will determine whether the lease expense is recognized based on an effective interest method or on a straight-line basis over the term of the lease. A lessee is also required to record a right-of-use asset and a lease liability for all leases with a term greater than 12 months regardless of their classification. ASU 2016-02 requires lessors to account for leases using an approach that is substantially equivalent to existing guidance for sales-type leases, direct financing leases and operating leases. In July 2018, the FASB issued ASU 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xml:space="preserve"> and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provide (i) narrow amendments to clarify how to apply certain aspects of the new lease standard, (ii) entities with an additional transition method to adopt the new standard, and (iii) lessors with a practical expedient for separating components of a contract. All ASUs are effective for interim and annual periods beginning after December 15, 2018, with early adoption permitted, and will require adoption on a modified retrospective basis.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plan to adopt this new standard in the first quarter of fiscal 2020. We are still reviewing the new standard and recent updates published by FASB. Our preliminary assumptions suggest we will likely adopt certain practical expedients, including the lookback option, and not change historical conclusions related to (1) contracts that contain leases, (2) existing lease classification, and (3) initial direct costs. Based on our current estimates, we expect to recognize right of use assets and lessee lease liabilities of approximately $5,600 with respect to operating leases. We are continuing to evaluate the effect that adopting these ASUs will have on our condensed consolidated financial statements and related disclosures, but at this time do not think the adoption will have a material impact on our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Investments in Affiliates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Investments in affiliates over which we have significant influence are accounted for under the equity method of accounting in accordance with the provisions of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xml:space="preserve">. Investments in affiliates over which we do not have the ability to exert significant influence over the affiliate's operating and financing activities are accounted for under the provisions of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We have evaluated our relationships with our affiliates and have determined that these entities are not variable interest entities.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amount of investments accounted for under the equity method was $4,108 and $3,647 at January 26, 2019 and April 28, 2018, respectively. The equity method requires us to report our share of losses up to our equity investment amount. Cash paid for investments in affiliates is included in the "Purchases of equity investment" line item in our condensed consolidated statements of cash flows. Our proportional share of the respective affiliates' earnings or losses is included in the "Other (expense) income, net" line item in our condensed consolidated statements of operations. For the nine months ended January 26, 2019 and January 27, 2018, our share of the losses of our affiliates was $392 and $401, respectively.</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amount of investments without readily determinable fair values was $42 at January 26, 2019 and April 28, 2018, respectively. There have not been any identified events or changes in circumstances that may have a significant adverse effect on their fair value, and it is not practical to estimate their fair value. We record equity investments without readily determinable fair values at cost, less any impairment, adjusted for observable price changes. During the nine months ended January 26, 2019, we did not record any changes in the measurement of such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 ("EPS")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net (loss) income and common share amounts used in the calculation of basic and diluted EPS for the three and nine months ended January 26, 2019 and January 27,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Per share (loss)</w:t>
            </w:r>
          </w:p>
        </w:tc>
        <w:tc>
          <w:tcPr>
            <w:tcW w:w="0" w:type="dxa"/>
            <w:vAlign w:val="bottom"/>
          </w:tcPr>
          <w:p>
            <w:pPr>
              <w:spacing w:after="0"/>
              <w:rPr>
                <w:sz w:val="1"/>
                <w:szCs w:val="1"/>
                <w:color w:val="auto"/>
              </w:rPr>
            </w:pPr>
          </w:p>
        </w:tc>
      </w:tr>
      <w:tr>
        <w:trPr>
          <w:trHeight w:val="238"/>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5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January 26, 2019</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45,018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45,018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January 27, 2018</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44,518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44,518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 January 26, 2019</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9,861</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44,834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9,861</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45,139</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 January 27, 2018</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9,372</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44,403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9,372</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44,798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2,308 shares of common stock with a weighted average exercise price of $9.98 for the three months ended January 26, 2019 and 1,203 shares of common stock with a weighted average exercise price of $11.45 for the three months ended January 27, 2018 were not included in the computation of diluted (loss) earnings per share because the effects would be anti-dilutive.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2,328 shares of common stock with a weighted average exercise price of $9.98 for the nine months ended January 26, 2019 and 1,281 shares of common stock with a weighted average exercise price of $12.55 for the nine months ended January 27, 2018 were not included in the computation of diluted earnings per share because the effects would be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ectPr>
          <w:pgSz w:w="11900" w:h="16838" w:orient="portrait"/>
          <w:cols w:equalWidth="0" w:num="1">
            <w:col w:w="11420"/>
          </w:cols>
          <w:pgMar w:left="240" w:top="118"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accounting policies and estimates as a result of adopting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are as follows: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are identified and follow the revenue recognition policies when: we have evidence all parties to the contract have approved the contract and are committed to perform their respective obligations, we can identify each party’s rights regarding the goods or services to be transferred, we can identify the payment terms for the goods or services to be transferred, the contract has commercial substance, and it is probable we will collect substantially all of the consideration to which we would be entitled in exchange for the goods or services.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Precontract costs are generally expensed as incurred, unless they are directly associated with an anticipated contract and recoverability from that contract is probable. Precontract costs directly associated with anticipated contracts expected to be recoverable include $478 and $217 as of January 26, 2019 and April 28, 2018, respectively. These are included in the "Inventories" line item in our condensed consolidated balance sheet.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contract inception, we identify performance obligations by reviewing the agreement for material distinct goods and services. Goods and services are distinct when the customer can benefit from them on their own and our promises to transfer these items are identifiable from other promises within the contract. When we are contracted to provide a single promise (an integrated system), we often treat it as a single performance obligation as we are providing goods and services with the same pattern of transfer, that are highly integrated or interdependent, that are modified or customized by other goods or services promised, or that provide a combined outcome for which the customer has contracted. When less interdependency or integration is necessary, or the customer can benefit from distinct items, we separate the contract into multiple performance obligations. We account for those warranties that extend beyond typical terms and include other services ("service-type warranty") as a separate performance obligation.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contracts can contain multiple components of transaction price. We evaluate each contract for these components and include fixed consideration, variable consideration, financing components, and non-cash consideration and exclude consideration payable to a customer and sales taxes in the transaction price. When we are responsible for site installations which includes subcontracted work, we maintain the responsibility and risks and consider ourselves the principal and include the consideration for these services in the transaction price. When our contract contains variable consideration, including return rights, discounts, claims, unpriced change orders, and liquidated damages, we estimate the transaction price using the expected value (i.e., the sum of the probability-weighted amount) or the most likely amount method, whichever is expected to better predict revenue for that contract situation. We also constrain the revenue to the extent that it is probable that a significant reversal of the amount of cumulative revenue recognized will not occur when the uncertainty associated with the variable consideration is subsequently resolved. We consider the following factors in determining revenue associated with variable consideration: (a) the contract or other evidence providing legal basis, (b) additional costs caused by unforeseen circumstances, (c) evidence supporting the claim, and (d) historical evidence and patterns of customers. We adjust the contract price for the effects of a significant financing component if we expect, at contract inception, that the period between when we transfer goods and services to a customer will exceed one year from the time the customer pays and represents financing. If the payment structures exceed a year but are structured to account for risks with a contract or correspond to payments on milestones or are scheduled for performance, we do not adjust the contract price for a financing component. See "Note 11. Receivables" for amounts recorded in long-term receivables.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separate performance obligations are identified, we allocate the transaction price to the individual performance obligation based on the best evidence and method we judge as faithfully depicting the value of the performance obligation. We allocate revenue to each performance obligation on the relative standalone selling price basis, when the standalone selling price is available. Many of our contracts are bundled and we do not have separate selling prices for each performance obligation, therefore, we primarily use the cost plus a margin approach to allocate the relative transaction price to identified performance obligations as it is the best representative of our pricing methods.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when we satisfy a performance obligation. We receive payments from customers based on a billing schedule as established in our contracts. Billing schedules include down payments and progress billings over time, set milestone payments specific to the project, are scheduled for performance-based payments, or are set time-based payment(s). Variability in contract assets and contract liabilities relates to the timing of billings and revenue recognition, which can vary significantly depending on contractual payment terms and build and installation schedules and the related timing differences in transfer of control. Balances are also impacted by the seasonality in our business.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judgments and estimates are used in our revenue policies. Throughout the revenue cycle, we evaluate contractual evidence, monitor our performance, evaluate variable consideration changes, update estimated costs to complete cost-to-cost projects, and obtain evidence of deliveries or other control change evidence for appropriate and consistent revenue recognition. We maintain internal policies and procedures to provide guidance for those involved in recording revenue. We monitor for changes in our business sales practices and customer interactions to capture the appropriate types of performance obligations and adjust for any change in control terms and conditions.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performance obligation types include: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18"/>
          <w:szCs w:val="18"/>
          <w:i w:val="1"/>
          <w:iCs w:val="1"/>
          <w:color w:val="auto"/>
        </w:rPr>
        <w:t>Unique configuration contracts</w:t>
      </w:r>
      <w:r>
        <w:rPr>
          <w:rFonts w:ascii="Times New Roman" w:cs="Times New Roman" w:eastAsia="Times New Roman" w:hAnsi="Times New Roman"/>
          <w:sz w:val="18"/>
          <w:szCs w:val="18"/>
          <w:color w:val="auto"/>
        </w:rPr>
        <w:t>: audio-visual communication systems uniquely configured (custom) or integrated for a customer's particular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system configuration may include all or a combination of the following: engineering services, project management services, video display(s), control solution(s), installation and integration services, scoring and messaging equipment, training, other on-site services, spare parts, software licenses, and assurance-type warranties.</w:t>
      </w:r>
    </w:p>
    <w:p>
      <w:pPr>
        <w:spacing w:after="0" w:line="18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We account for these types of contracts as a combined single performance obligation with no segmentation between types of products and services. In our judgment, this accounting treatment is most appropriate because the substantial part of our promise to customers is to provide significant integration services and incorporates individual goods and services into a combined output or system. Often times, the system is customized or significantly modified to the customers' desired configurations and location, and the interrelated goods and services provide utility to the customers as a package.</w:t>
      </w:r>
    </w:p>
    <w:p>
      <w:pPr>
        <w:spacing w:after="0" w:line="184"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Revenue for uniquely configured (custom) or integrated systems is recognized over time using the cost incurred input method. Over time revenue recognition is appropriate because we have no alternative use for the uniquely configured system and have an enforceable right to payment for work performed. The cost incurred input method measures cost incurred to date compared to estimated total costs for each contract. This method is the most faithful depiction of our performance because it measures the value of the contract transferred to the customer. Costs to perform include direct and indirect costs for contract design, production, integration, installation, and assurance-type warranty reserve. Direct costs include material and components; manufacturing, project management and engineering labor; and subcontracting expenses. Indirect costs include allocated charges for such items as facilities and equipment depreciation and general overhead. Provisions of estimated losses on uncompleted contracts are made in the period when such losses are capable of being estimated.</w:t>
      </w:r>
    </w:p>
    <w:p>
      <w:pPr>
        <w:spacing w:after="0" w:line="18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Contract modifications to existing contracts with customers are evaluated in accordance with the five-step revenue model. We treat contract modifications as a separate contract and new performance obligations when the additional goods or services are distinct and do not add to the unique configuration or are outside the integrated system and when the consideration reflects standalone selling prices. If the additional goods or services offered under the modification enhance the uniquely configured or integrated systems, revenue is allocated to the existing contracts' performance obligation. Modifications may cause changes in the timing of revenue recognition depending on the allocation to various performance obligations.</w:t>
      </w:r>
    </w:p>
    <w:p>
      <w:pPr>
        <w:spacing w:after="0" w:line="18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time between contract order and project completion is typically less than 12 months but may extend longer depending on the amount of custom work and customers’ delivery needs.</w:t>
      </w:r>
    </w:p>
    <w:p>
      <w:pPr>
        <w:spacing w:after="0" w:line="16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i w:val="1"/>
          <w:iCs w:val="1"/>
          <w:color w:val="auto"/>
        </w:rPr>
        <w:t>Limited configuration (standard systems) and after-sale parts contracts</w:t>
      </w:r>
      <w:r>
        <w:rPr>
          <w:rFonts w:ascii="Times New Roman" w:cs="Times New Roman" w:eastAsia="Times New Roman" w:hAnsi="Times New Roman"/>
          <w:sz w:val="18"/>
          <w:szCs w:val="18"/>
          <w:color w:val="auto"/>
        </w:rPr>
        <w:t>: Limited configured (standard systems) or after-sale parts contracts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or no configuration or limited integration are recognized as distinct individual performance obligations when material. When not distinct, we combine into one performance obligation the goods and/or services with each other until the bundle of goods or services are distinct. For standard display purchases made in large quantities, we account for each piece of equipment separately as a distinct performance obligation from which a customer derives benefit. Immaterial goods or services in the context of the contract are included with the display system performance obligation. Standard systems and equipment with limited configurations or integrations may include all or a combination (when immaterial) of the following performance obligations: engineering services, project management services, video display(s), control solution(s), installation and integration services, scoring, messaging and audio equipment, training, spare parts, software licenses, assurance-type warranties, and after-sale parts.</w:t>
      </w:r>
    </w:p>
    <w:p>
      <w:pPr>
        <w:spacing w:after="0" w:line="18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Revenue is recognized at a point in time when title or control passes, or over time as services are performed. When fulfilling limited configuration performance obligations, we are typically able to redirect the video displays or scoring, messaging, or audio equipment to another customer without incurring significant economic losses. Therefore, we have alternative use for the performance obligation and recognize revenue upon our substantial completion and at the point in time we estimate control has transferred to the customer. When limited configured single performance obligations are more service-type (i.e., installation and integration services), we recognize revenue over time using the cost-to-cost input method, which is the most faithful depiction of the customer obtaining control and benefits from the work performed.</w:t>
      </w:r>
    </w:p>
    <w:p>
      <w:pPr>
        <w:spacing w:after="0" w:line="18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i w:val="1"/>
          <w:iCs w:val="1"/>
          <w:color w:val="auto"/>
        </w:rPr>
        <w:t>Services and other</w:t>
      </w:r>
      <w:r>
        <w:rPr>
          <w:rFonts w:ascii="Times New Roman" w:cs="Times New Roman" w:eastAsia="Times New Roman" w:hAnsi="Times New Roman"/>
          <w:sz w:val="18"/>
          <w:szCs w:val="18"/>
          <w:color w:val="auto"/>
        </w:rPr>
        <w:t>: Services sold on a stand-alone basis or after the initial system sale include performance obligations such as event support,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room design, on-site training, equipment service, service-type warranties, technical support, software sold as a service, and other immaterial revenue streams. These are contracted with a customer generally per service event or service type on a stand-alone basis. Services and other are recognized as net sales when the services are performed, and control is transferred to the customer at a point in time when title or control passes or over time as services are performed and for time-based "stand ready to perform" type obligations. We use professional judgment to determine control transfer. If we have the right to consideration from a customer that directly corresponds with the value of our performance (where we bill a fixed amount for each hour of service provided), we recognize revenue related to the work completed.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Software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from software license fees on sales, other than uniquely configured type contracts, are recognized when delivery of the product has occurred. Subscription-based licenses include the right for a customer to use our licenses and receive related support for a specified term, and revenue is recognized pro-rata over the term of the engagement.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Shipping and handling costs</w:t>
      </w:r>
    </w:p>
    <w:p>
      <w:pPr>
        <w:spacing w:after="0" w:line="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Shipping and handling costs collected from our customers in connection with our sales are recorded as revenue. We record shipping and handling costs as a component of cost of sales at the time the product is shipped.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warranty offerings are described in "Note 12. Commitments and Contingencies."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 As noted in the segment information footnote, we are organized in five business segments: Commercial, Live Events, High School Park and Recreation, Transportation, and International.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disaggregation of revenue by segments: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160" w:type="dxa"/>
            <w:vAlign w:val="bottom"/>
            <w:gridSpan w:val="7"/>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 January 26, 2019</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4"/>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Recreation</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18,491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44,379</w:t>
            </w:r>
          </w:p>
        </w:tc>
      </w:tr>
      <w:tr>
        <w:trPr>
          <w:trHeight w:val="243"/>
        </w:trPr>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Limited configuration</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27,353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57,688</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13,002</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37,159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29,995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14,798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15,390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17,727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115,069</w:t>
            </w: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5"/>
        </w:trPr>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point in time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28,105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9,874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4,911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9,702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60,028</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2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61"/>
        </w:trPr>
        <w:tc>
          <w:tcPr>
            <w:tcW w:w="2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time</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10,479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55,041</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37,159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29,995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14,798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15,390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17,727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115,069</w:t>
            </w: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2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160" w:type="dxa"/>
            <w:vAlign w:val="bottom"/>
            <w:gridSpan w:val="7"/>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Nine Months Ended January 26, 2019</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4"/>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Recreation</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20,417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95,695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198,709</w:t>
            </w:r>
          </w:p>
        </w:tc>
      </w:tr>
      <w:tr>
        <w:trPr>
          <w:trHeight w:val="243"/>
        </w:trPr>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Limited configuration</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82,605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208,060</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35,180</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113,797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134,566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74,498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50,624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68,464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441,949</w:t>
            </w: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5"/>
        </w:trPr>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point in time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84,584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48,932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19,410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31,364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211,086</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2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61"/>
        </w:trPr>
        <w:tc>
          <w:tcPr>
            <w:tcW w:w="2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time</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29,213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107,770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25,566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37,100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230,863</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113,797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134,566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74,498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50,624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68,464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441,949</w:t>
            </w: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2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Segment Reporting" for a disaggregation of revenue by geography.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under the contract terms. Contract liabilities represent amounts billed to the clients in excess of revenue recognized to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our contract assets and liabilities: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8"/>
        </w:trPr>
        <w:tc>
          <w:tcPr>
            <w:tcW w:w="3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April 28, 2018</w:t>
            </w: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 Change</w:t>
            </w: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9,366</w:t>
            </w:r>
          </w:p>
        </w:tc>
        <w:tc>
          <w:tcPr>
            <w:tcW w:w="10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23.8</w:t>
            </w: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31.3</w:t>
            </w:r>
          </w:p>
        </w:tc>
      </w:tr>
      <w:tr>
        <w:trPr>
          <w:trHeight w:val="27"/>
        </w:trPr>
        <w:tc>
          <w:tcPr>
            <w:tcW w:w="3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our contract assets and contract liabilities from April 28, 2018 to January 26, 2019 were due to the timing of billing schedules and revenue recognition, which can vary significantly depending on the contractual payment terms and the seasonality of the sports markets. We had no material impairments of contract assets for the year.</w:t>
      </w:r>
    </w:p>
    <w:p>
      <w:pPr>
        <w:sectPr>
          <w:pgSz w:w="11900" w:h="16838" w:orient="portrait"/>
          <w:cols w:equalWidth="0" w:num="1">
            <w:col w:w="11420"/>
          </w:cols>
          <w:pgMar w:left="240" w:top="118"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type w:val="continuous"/>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26, 2019 and April 28, 2018, we had three contracts in progress that were identified as loss contracts and a provision for losses of $1,465 and $87, respectively. These were included in the "Accrued expenses" line item in our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January 26, 2019, we recognized revenue of $34,268 related to our contract liabilities as of April 28, 2018.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January 26, 2019, the aggregate amount of the transaction price allocated to the remaining performance obligations was $222,155. We expect approximately $185,993 of our remaining performance obligations to be recognized over the next 12 months with the remainder recognized thereafter. Remaining performance obligations related to product and service agreements are $167,890 and $54,265, respectively.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Reporting</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have organized and manage our business by five segments which meet the definition of reportable segments under ASC 280-10,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Commercial, Live Events, High School Park and Recreation, Transportation, and International. These segments are based on the customer type or geography and are the same as our business units. We evaluate segment performance based on operating results through contribution margin, which is comprised of gross profit less selling expense. We exclude general and administration expense, product design and development expense, non-operating income and expense and income tax expense in the segment analysis. Separate financial information is available and regularly evaluated by our chief operating decision-maker (CODM), the president and chief executive officer, in making resource allocation decisions for our segments.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for each of our five reporting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37,159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35,483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113,797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102,723</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29,995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45,167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134,566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191,432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14,798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74,498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69,602</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15,390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11,189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50,624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46,577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17,727</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27,014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68,464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62,019</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115,069</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130,316</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441,949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472,353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8,942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27,593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21,085</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9,747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26,495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43,056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21,997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23,672</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17,471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16,696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3,361</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12,317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11,308</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24,869</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28,567</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105,873</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115,817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Contribution margin: (1)</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13,984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7,307</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32,494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15,599</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14,245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13,612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9,332</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13,296</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57,833</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70,257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Non-allocated operating expenses: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8,574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8,335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25,685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26,138</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8,280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8,299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26,611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26,294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17,825</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17,743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8,371</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9,861</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9,372</w:t>
            </w: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4,628</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Unallocated corporate depreciation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4,754</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14,054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13,335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(1) Contribution margin consists of gross profit less selling expense.</w:t>
      </w:r>
    </w:p>
    <w:p>
      <w:pPr>
        <w:sectPr>
          <w:pgSz w:w="11900" w:h="16838" w:orient="portrait"/>
          <w:cols w:equalWidth="0" w:num="1">
            <w:col w:w="11420"/>
          </w:cols>
          <w:pgMar w:left="240" w:top="118"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type w:val="continuous"/>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6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94,418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98,989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361,679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398,894</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Outside United States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80,270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73,459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115,069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130,316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441,949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472,353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37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b w:val="1"/>
          <w:bCs w:val="1"/>
          <w:color w:val="auto"/>
        </w:rPr>
        <w:t>January 26,</w:t>
      </w:r>
    </w:p>
    <w:p>
      <w:pPr>
        <w:spacing w:after="0" w:line="4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22860</wp:posOffset>
            </wp:positionV>
            <wp:extent cx="883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April 28,</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22860</wp:posOffset>
            </wp:positionV>
            <wp:extent cx="866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6740" w:space="700"/>
            <w:col w:w="398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 net of accumulated depreciation:</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61,206</w:t>
            </w: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Outside United States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6,853</w:t>
            </w: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65,765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68,059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numerous customers worldwide for sales of our products and services, and no customer accounted for 10% or more of net sales; therefore, we are not economically dependent on a limited number of customers for the sale of our products and services.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have numerous raw material and component suppliers, and no supplier accounts for 10% or more of our cost of sales; however, we have a number of single-source suppliers that could limit our supply or cause delays in obtaining raw material and components needed in manufacturing.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Marketable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xml:space="preserve"> Marketable securities classified as available-for-sale are reported at fair value with unrealized gains or losses, net of tax, reported in accumulated other comprehensive loss on the condensed consolidated balance sheets. As it relates to fixed income marketable securities, it is not likely we will be required to sell any of these investments before recovery of the entire amortized cost basis. In addition, as of January 26, 2019,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26, 2019 and April 28, 2018,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January 26, 2019</w:t>
            </w: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3,959</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15,482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14,929</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14,864</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3,291</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37,678</w:t>
            </w: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37,596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April 28, 2018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8,669</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20,072</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19,949</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4,912</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34,676</w:t>
            </w: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34,522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Realized gains or losses on investments are recorded in our condensed consolidated statements of operations as "Other (expense) income, net." Upon the sale of a security classified as available-for-sale, the security’s specific unrealized gain (loss) is reclassified out of</w:t>
      </w:r>
    </w:p>
    <w:p>
      <w:pPr>
        <w:sectPr>
          <w:pgSz w:w="11900" w:h="16838" w:orient="portrait"/>
          <w:cols w:equalWidth="0" w:num="1">
            <w:col w:w="11420"/>
          </w:cols>
          <w:pgMar w:left="240" w:top="118" w:right="239" w:bottom="1440" w:gutter="0" w:footer="0" w:header="0"/>
          <w:type w:val="continuous"/>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into earnings based on the specific identification method. In the nine months ended January 26, 2019 and January 27, 2018, the reclassifications from accumulated other comprehensive loss to net earnings were immaterial.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available-for-sale securities are classified as current assets, as they are readily available to support our current operating needs. The contractual maturities of available-for-sale debt securities as of January 26, 2019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3,959</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14,488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15,482</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11,646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14,864</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3,291</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31,253</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6,343</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37,596</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AJT Systems, Inc. Acquisition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acquired the net assets of AJT Systems, Inc. ("AJT"), a Florida-based company, on June 21, 2018. The results of its operations have been included in our condensed consolidated financial statements since the date of acquisition. We have not made pro forma disclosures because the results of its operations are not material to our condensed consolidated financial statements.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AJT is a developer of real-time live to air graphics rendering and video server systems for the broadcast TV industry. This acquisition will allow our organization to grow and strengthen our solution offerings to the market. This acquisition was primarily funded with cash on hand.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Sale of Non-Digital Division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2017, we sold our non-digital division assets, primarily consisting of inventory, non-digital manufacturing equipment, patented and unpatented technology and know-how, customer lists, and backlog, net of warranty obligations and accounts payable with a net book value of $517. We recorded a gain of $1,267 on the disposal, which is included in cost of sales in the International business unit during the second quarter of fiscal 2018. No gain was recorded in the three or nine months ended January 26,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related to each reportable segment for the nine months ended January 26, 2019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April 28,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8,264</w:t>
            </w: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January 26,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7,968</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 an analysis of goodwill on an annual basis, and it is tested for impairment more frequently if events or changes in circumstances indicate that an asset might be impaired. We perform our annual analysis during our third quarter of each fiscal year, based on the goodwill amount as of the first business day of our third fiscal quarter.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conducting our impairment testing, we compare the fair value of each of our business units to the related carrying value of the allocated assets. We utilize the income approach based on discounted projected cash flows to estimate the fair value of each unit. The projected cash flows use many estimates including market conditions, expected market demand and our ability to grow or maintain market share, gross profit, and expected expenditures for capital and operating expenses. Assets shared or not directly attributed to a reportable segment's activities are allocated to the reportable segment based on sales and other measures.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performed our annual impairment test on October 29, 2018 and concluded no goodwill impairment existed.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Selected Financial Statement Data</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0" w:type="dxa"/>
            <w:vAlign w:val="bottom"/>
          </w:tcPr>
          <w:p>
            <w:pPr>
              <w:spacing w:after="0"/>
              <w:rPr>
                <w:sz w:val="1"/>
                <w:szCs w:val="1"/>
                <w:color w:val="auto"/>
              </w:rPr>
            </w:pPr>
          </w:p>
        </w:tc>
      </w:tr>
      <w:tr>
        <w:trPr>
          <w:trHeight w:val="238"/>
        </w:trPr>
        <w:tc>
          <w:tcPr>
            <w:tcW w:w="7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27,028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30,570</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10,743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34,416</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36,120</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72,187</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75,335</w:t>
            </w:r>
          </w:p>
        </w:tc>
        <w:tc>
          <w:tcPr>
            <w:tcW w:w="0" w:type="dxa"/>
            <w:vAlign w:val="bottom"/>
          </w:tcPr>
          <w:p>
            <w:pPr>
              <w:spacing w:after="0"/>
              <w:rPr>
                <w:sz w:val="1"/>
                <w:szCs w:val="1"/>
                <w:color w:val="auto"/>
              </w:rPr>
            </w:pPr>
          </w:p>
        </w:tc>
      </w:tr>
      <w:tr>
        <w:trPr>
          <w:trHeight w:val="27"/>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0" w:type="dxa"/>
            <w:vAlign w:val="bottom"/>
          </w:tcPr>
          <w:p>
            <w:pPr>
              <w:spacing w:after="0"/>
              <w:rPr>
                <w:sz w:val="1"/>
                <w:szCs w:val="1"/>
                <w:color w:val="auto"/>
              </w:rPr>
            </w:pPr>
          </w:p>
        </w:tc>
      </w:tr>
      <w:tr>
        <w:trPr>
          <w:trHeight w:val="238"/>
        </w:trPr>
        <w:tc>
          <w:tcPr>
            <w:tcW w:w="7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66,170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67,773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98,409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93,439</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6,079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5,878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55,000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53,004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Equipment held for rental</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Demonstration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7,331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Transportation equipment</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7,724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7,632</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242,738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237,209</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176,973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169,150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65,765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68,059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Receivables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are reported net of an allowance for doubtful accounts of $2,387 and $2,151 at January 26, 2019 and April 28, 2018, respectively. Included in accounts receivable as of January 26, 2019 and April 28, 2018 was $928 and $964, respectively, of retainage on construction-type contracts, all of which is expected to be collected within one year.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certain sales transactions, we have entered into sales contracts with installment payments exceeding 12 months and sales-type leases. The present value of these contracts and leases are recorded as a receivable as the revenue is recognized in accordance with GAAP,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$3,245 and $3,393 as of January 26, 2019 and April 28, 2018, respectively. Contract and lease receivables bearing annual interest rates of 4.8 to 9.0 percent are due in varying annual installments through August 2024. The face amount of long-term receivables was $3,440 as of January 26, 2019 and $3,733 as of April 28,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We are a party to legal proceedings and claims which arise during the ordinary course of business. We review our legal proceedings and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condensed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Times New Roman" w:cs="Times New Roman" w:eastAsia="Times New Roman" w:hAnsi="Times New Roman"/>
          <w:sz w:val="18"/>
          <w:szCs w:val="18"/>
          <w:i w:val="1"/>
          <w:iCs w:val="1"/>
          <w:color w:val="auto"/>
        </w:rPr>
        <w:t>Contingencies - Loss Contingencies</w:t>
      </w:r>
      <w:r>
        <w:rPr>
          <w:rFonts w:ascii="Times New Roman" w:cs="Times New Roman" w:eastAsia="Times New Roman" w:hAnsi="Times New Roman"/>
          <w:sz w:val="18"/>
          <w:szCs w:val="18"/>
          <w:color w:val="auto"/>
        </w:rPr>
        <w:t>. Our assessment of whether a loss is reasonably possible or probable is based on our assessment and consultation with legal counsel regarding the ultimate outcome of the matter following all appeals.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28, 2018, we recorded a liability and related other receivable of $1,904 for a net claim from a customer against work performed by one of our subcontractors during installation which damaged our customer's property. The amount recorded was for probable and reasonably estimated cost to remediate the damage. During the third quarter of fiscal 2019, this claim settled and was fully covered by insurance.</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type w:val="continuous"/>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January 26, 2019 and April 28, 2018, a customer was withholding $2,224 of payment claiming we did not perform to the customer's specifications. We believe we have performed to the agreed-upon written specifications, have strong contractual documentation to support our position, and customer with wherewithal to pay. We believe that we will ultimately prevail in collections. Although our assessment of the loss is remote, a number of factors could change the outcome.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other unresolved legal proceedings or claims, we do not believe there is a reasonable probability that any material loss would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Warranties: </w:t>
      </w:r>
      <w:r>
        <w:rPr>
          <w:rFonts w:ascii="Times New Roman" w:cs="Times New Roman" w:eastAsia="Times New Roman" w:hAnsi="Times New Roman"/>
          <w:sz w:val="18"/>
          <w:szCs w:val="18"/>
          <w:color w:val="auto"/>
        </w:rPr>
        <w:t>We offer a standard parts coverage warranty for periods varying from one to five years for most of our products. We also offer additional types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product sold. We estimate the costs which may be incurred under the contractual warranty obligations (assurance type warranty)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accruals and, to the extent we experience any changes in warranty claim activity or costs associated with servicing those claims, our accrued warranty obligation is adjusted accordingly. For service-type warranty contracts, we allocate revenue to this performance obligation and recognize the revenue over time and costs as incurred.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disclosed a warranty issue in Note 18 of our Annual Report on Form 10-K for the fiscal year ended April 28, 2018 regarding a mechanical device failure within a module for displays. During the nine months ended January 26, 2019 and January 27, 2018, we recognized warranty expense and estimated equipment service agreement losses for probable and reasonably estimated costs to remediate this issue of $1,610 and $4,034, respectively. As of January 26, 2019, we had $828 remaining accrued for equipment service agreement obligations for the estimate of probable future claims related to this issue. Our contractual warranty arrangements have expired for products with this issue and we do not expect material changes to the equipment service agreement accrual.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warranty obligation for the nine months ended January 26, 2019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26, 2019</w:t>
            </w:r>
          </w:p>
        </w:tc>
      </w:tr>
      <w:tr>
        <w:trPr>
          <w:trHeight w:val="27"/>
        </w:trPr>
        <w:tc>
          <w:tcPr>
            <w:tcW w:w="5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accrued warranty obligations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29,953</w:t>
            </w:r>
          </w:p>
        </w:tc>
      </w:tr>
      <w:tr>
        <w:trPr>
          <w:trHeight w:val="243"/>
        </w:trPr>
        <w:tc>
          <w:tcPr>
            <w:tcW w:w="5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w:t>
            </w:r>
          </w:p>
        </w:tc>
      </w:tr>
      <w:tr>
        <w:trPr>
          <w:trHeight w:val="27"/>
        </w:trPr>
        <w:tc>
          <w:tcPr>
            <w:tcW w:w="5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(12,571)</w:t>
            </w:r>
          </w:p>
        </w:tc>
      </w:tr>
      <w:tr>
        <w:trPr>
          <w:trHeight w:val="225"/>
        </w:trPr>
        <w:tc>
          <w:tcPr>
            <w:tcW w:w="5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Changes in accrued warranty obligations for pre-existing</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5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warranties during the period, including expirations</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7"/>
        </w:trPr>
        <w:tc>
          <w:tcPr>
            <w:tcW w:w="5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accrued warranty obligations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26,653</w:t>
            </w:r>
          </w:p>
        </w:tc>
      </w:tr>
      <w:tr>
        <w:trPr>
          <w:trHeight w:val="20"/>
        </w:trPr>
        <w:tc>
          <w:tcPr>
            <w:tcW w:w="5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Performance guarantees: </w:t>
      </w:r>
      <w:r>
        <w:rPr>
          <w:rFonts w:ascii="Times New Roman" w:cs="Times New Roman" w:eastAsia="Times New Roman" w:hAnsi="Times New Roman"/>
          <w:sz w:val="18"/>
          <w:szCs w:val="18"/>
          <w:color w:val="auto"/>
        </w:rPr>
        <w:t>We have entered into standby letters of credit and surety bonds with financial institutions relating to the guarantee of our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on contracts, primarily construction type contracts. As of January 26, 2019, we had outstanding letters of credit and surety bonds in the amount of $14,795 and $6,587, respectively. Performance guarantees are issued to certain customers to guarantee the operation and installation of the equipment and our ability to complete a contract. These performance guarantees have various terms but are generally one year.</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We lease vehicles, office space and equipment for various global sales and service locations, including manufacturing space in the United States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China. Some of these leases, including the lease for manufacturing facilities in Sioux Falls, South Dakota, include provisions for extensions or purchase. The lease for the facilities in Sioux Falls, South Dakota, can be extended for an additional five years past its current term, which ends March 31, 2022. This lease contains an option to purchase the property subject to the lease from March 31, 2017 to March 31, 2022 for $9,000, which approximates fair value. If the lease is extended, the purchase option increases to $9,090 for the year ending March 31, 2023 and $9,180 for the year ending March 31, 2024. Rental expense for operating leases was $2,551 and $2,568 for the nine months ended January 26, 2019 and January 27, 2018, respectively.</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payments under noncancelable operating leases, excluding executory costs such as management and maintenance fees, with initial or remaining terms of one year or more consisted of the following at January 26, 2019: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43"/>
        </w:trPr>
        <w:tc>
          <w:tcPr>
            <w:tcW w:w="5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8,424</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commitments: </w:t>
      </w:r>
      <w:r>
        <w:rPr>
          <w:rFonts w:ascii="Times New Roman" w:cs="Times New Roman" w:eastAsia="Times New Roman" w:hAnsi="Times New Roman"/>
          <w:sz w:val="18"/>
          <w:szCs w:val="18"/>
          <w:color w:val="auto"/>
        </w:rPr>
        <w:t>From time to time, we commit to purchase inventory, advertising, cloud-based information systems, information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support services, and various other products and services over periods that extend beyond one year. As of January 26, 2019, we were obligated under the following conditional and unconditional purchase commitments, which included $150 in conditional purchase commitments: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43"/>
        </w:trPr>
        <w:tc>
          <w:tcPr>
            <w:tcW w:w="5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calculate the provision for income taxes during interim reporting periods by applying an estimate of the annual effective tax rate for the full fiscal year to “ordinary” income or loss (pre-tax income or loss excluding unusual or infrequently occurring discrete items) for the reporting period. Due to various factors and operating in multiple state and foreign jurisdictions, our effective tax rate is subject to fluctuation. We recorded an effective tax rate of 55.4 percent and (71.8) percent for the three and nine months ended January 26, 2019, respectively, and an effective tax rate of (67.0) percent and 47.2 percent for the three and nine months ended January 27, 2018, respectively. The changes in the effective tax rates are due to tax credits proportionate to pre-tax book income, the release of $2,775 in unrecognized tax benefits related to a lapse of statute, the release of $480 for a valuation allowance reversal related to foreign net operating loss carryforwards, and a decrease in the federal statutory tax rate from 30.4 percent to 21 percent pursuant to the Tax Act as compared to the same prior year periods, which included a re-measurement of deferred taxes resulting in a $3,679 impact to tax expense due to the lowering of the tax rate under the Tax Act. The Tax Act reduced the federal normal statutory rate from 35 percent to 21 percent; however, since we are a fiscal year tax filer, a blended rate of 30.4 percent was used for fiscal year 2018.</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Tax Act, the SEC staff issued Staff Accounting Bulletin No. 118, </w:t>
      </w:r>
      <w:r>
        <w:rPr>
          <w:rFonts w:ascii="Times New Roman" w:cs="Times New Roman" w:eastAsia="Times New Roman" w:hAnsi="Times New Roman"/>
          <w:sz w:val="18"/>
          <w:szCs w:val="18"/>
          <w:i w:val="1"/>
          <w:iCs w:val="1"/>
          <w:color w:val="auto"/>
        </w:rPr>
        <w:t>Income Tax Accounting Implications of the Tax Act</w:t>
      </w:r>
      <w:r>
        <w:rPr>
          <w:rFonts w:ascii="Times New Roman" w:cs="Times New Roman" w:eastAsia="Times New Roman" w:hAnsi="Times New Roman"/>
          <w:sz w:val="18"/>
          <w:szCs w:val="18"/>
          <w:color w:val="auto"/>
        </w:rPr>
        <w:t xml:space="preserve"> (SAB 118), which allows us to record provisional amounts during a measurement period not to extend beyond one year from the enactment date of December 22, 2017. As of January 26, 2019, the accounting for the remeasurement of U.S. deferred tax assets and deemed repatriation tax was finalized, resulting in additional tax expense of $12 and $5, respectively. We have also elected to recognize tax resulting from any Global Intangible Low Taxed Income (GILTI) inclusion as a period cost if, and when, incurred. We have not previously provided deferred taxes on unremitted earnings attributable to foreign subsidiaries that have been considered to be reinvested indefinitely. The full effects of the Tax Act require a reassessment of previous indefinite reinvestment assertions with respect to certain jurisdictions. As of January 26, 2019, undistributed earnings of our foreign subsidiaries were considered to have been reinvested indefinitely.</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taxes of multiple state and foreign jurisdictions. Fiscal years 2016- 2018 remain open to federal tax examinations and fiscal years 2015-2018 for state income tax examinations. Certain subsidiaries are also subject to income tax in several foreign jurisdictions which have open tax years varying by jurisdiction beginning in fiscal 2008. In the event of any future tax assessments, we have elected to record the income taxes and any related interest and penalties as income tax expense on our condensed consolidated statement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26, 2019, we had $575 of unrecognized tax benefits which would reduce our effective tax rate if recognized.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Measurement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quoted prices included within Level 1 for the assets or liabilities, either directly or indirectly (for example,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supported by little or no market activity based on our own assumptions used to measure assets and liabilities.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values for fixed-rate long-term receivables are estimated using a discounted cash flow analysis based on interest rates currently being offered for contracts with similar terms to customers with similar credit quality. The carrying amounts reported on our condensed consolidated balance sheets for long-term receivables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on our condensed consolidated balance sheets within other long-term obligations approximates fair value and has been categorized as a Level 2 fair value measurement.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at January 26, 2019 and April 28, 2018 according to the valuation techniques we used to determine their fair values. There have been no transfers of assets or liabilities among the fair value hierarchies presented.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January 26, 2019</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33,281</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33,281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15,482</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15,482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14,864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 - asset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 liability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liabilities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48,789</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22,110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69,545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April 28, 2018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29,727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992</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19,949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19,949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 - asset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 liability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liabilities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30,747</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33,335</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63,082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 forward of the Level 3 contingent liabilities, both short- and long-term, for the nine months ended January 26, 2019 is as follows: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type w:val="continuous"/>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liability as of April 28, 2018</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1,316</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adjustments (1)</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liabilities as of January 26, 2019</w:t>
            </w: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8890</wp:posOffset>
            </wp:positionV>
            <wp:extent cx="9347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6" w:lineRule="exact"/>
        <w:rPr>
          <w:sz w:val="20"/>
          <w:szCs w:val="20"/>
          <w:color w:val="auto"/>
        </w:rPr>
      </w:pPr>
    </w:p>
    <w:p>
      <w:pPr>
        <w:jc w:val="both"/>
        <w:ind w:firstLine="8"/>
        <w:spacing w:after="0" w:line="266" w:lineRule="auto"/>
        <w:tabs>
          <w:tab w:leader="none" w:pos="29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an adjustment to the contingent consideration liability in the second quarter of fiscal 2019, resulting in an increase in income from operations. The adjustment was caused by a change in the fair value of the contingent liability, which reflected future financial performance measures established by the seller prior to the close of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-433070</wp:posOffset>
            </wp:positionV>
            <wp:extent cx="9347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Consists of cash on hand in bank deposits and highly liquid investments, primarily money market accounts. The fair value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using quoted market prices in active markets. The carrying amount approximates fair value.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Consists of cash and cash equivalents held in bank deposit accounts to secure issuances of foreign bank guarantees.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cash was measured using quoted market prices in active markets. The carrying amount approximates fair value.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Certificates of deposit</w:t>
      </w:r>
      <w:r>
        <w:rPr>
          <w:rFonts w:ascii="Times New Roman" w:cs="Times New Roman" w:eastAsia="Times New Roman" w:hAnsi="Times New Roman"/>
          <w:sz w:val="18"/>
          <w:szCs w:val="18"/>
          <w:color w:val="auto"/>
        </w:rPr>
        <w:t>: Consists of time deposit accounts with original maturities of less than three years and various yields. The fair value of these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measured based on valuations observed in less active markets than Level 1 investments from a third-party financial institution. The carrying amount approximates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securities</w:t>
      </w:r>
      <w:r>
        <w:rPr>
          <w:rFonts w:ascii="Times New Roman" w:cs="Times New Roman" w:eastAsia="Times New Roman" w:hAnsi="Times New Roman"/>
          <w:sz w:val="18"/>
          <w:szCs w:val="18"/>
          <w:color w:val="auto"/>
        </w:rPr>
        <w:t>: Consists of U.S. Government treasury bills, notes, and bonds with original maturities of less than three years and various yields.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these securities was measured using quoted market prices in active markets.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U.S. Government sponsored entities</w:t>
      </w:r>
      <w:r>
        <w:rPr>
          <w:rFonts w:ascii="Times New Roman" w:cs="Times New Roman" w:eastAsia="Times New Roman" w:hAnsi="Times New Roman"/>
          <w:sz w:val="18"/>
          <w:szCs w:val="18"/>
          <w:color w:val="auto"/>
        </w:rPr>
        <w:t>: Consists of Fannie Mae and Federal Home Loan Bank investment grade debt securities trading with sufficient frequency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Municipal bonds</w:t>
      </w:r>
      <w:r>
        <w:rPr>
          <w:rFonts w:ascii="Times New Roman" w:cs="Times New Roman" w:eastAsia="Times New Roman" w:hAnsi="Times New Roman"/>
          <w:sz w:val="18"/>
          <w:szCs w:val="18"/>
          <w:color w:val="auto"/>
        </w:rPr>
        <w:t>: Consists of investment grade municipal bonds trading with sufficient frequency and volume to enable us to obtain pricing information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ongoing basis. The contractual maturities of these investments vary from two to three years. The fair value of these bonds was measured based on valuations observed in less active markets than Level 1 investments.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Derivatives – currency forward contracts</w:t>
      </w:r>
      <w:r>
        <w:rPr>
          <w:rFonts w:ascii="Times New Roman" w:cs="Times New Roman" w:eastAsia="Times New Roman" w:hAnsi="Times New Roman"/>
          <w:sz w:val="18"/>
          <w:szCs w:val="18"/>
          <w:color w:val="auto"/>
        </w:rPr>
        <w:t>: Consists of currency forward contracts trading with sufficient frequency and volume to enable us to obtain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on an ongoing basis. The fair value of these securities was measured based on a valuation from a third-party bank. See "Note 15. Derivative Financial Instruments" for more information regarding our derivatives.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Contingent liabilities</w:t>
      </w:r>
      <w:r>
        <w:rPr>
          <w:rFonts w:ascii="Times New Roman" w:cs="Times New Roman" w:eastAsia="Times New Roman" w:hAnsi="Times New Roman"/>
          <w:sz w:val="18"/>
          <w:szCs w:val="18"/>
          <w:color w:val="auto"/>
        </w:rPr>
        <w:t>: Consists of the fair value of liabilities measured on expected future payments relating to business acquisitions if future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measures are achieved. The contingent liabilities were calculated by estimating the discounted present value of expected future payments for estimated performance measure attainment. To estimate future performance measure attainment, we utilized significant unobservable inputs as of January 26, 2019 and April 28, 2018. The unobservable inputs included management expectations and forecasts for business sales and profit performance and an estimated discount rate based on current borrowing interest rates. To the extent that these assumptions changed, or actual results differed from these estimates, the fair value of the contingent consideration liabilities could change from $1,354 to $0 or increase in proportion to increased business performance from this estimate. The contingent liabilities are presented in the "Current portion of other long-term obligations" and "Other long-term obligations" line items in our condensed consolidated balance sheets.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Non-recurring measurements: </w:t>
      </w:r>
      <w:r>
        <w:rPr>
          <w:rFonts w:ascii="Times New Roman" w:cs="Times New Roman" w:eastAsia="Times New Roman" w:hAnsi="Times New Roman"/>
          <w:sz w:val="18"/>
          <w:szCs w:val="18"/>
          <w:color w:val="auto"/>
        </w:rPr>
        <w:t>The fair value measurement standard also applies to certain non-financial assets and liabilities measured at fair value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nonrecurring basis. Certain long-lived assets such as goodwill, intangible assets and property and equipment are measured at fair value on a nonrecurring basis and are subject to fair value adjustments in certain circumstances, such as when there is evidence of impairment.</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measurements using fair value</w:t>
      </w:r>
      <w:r>
        <w:rPr>
          <w:rFonts w:ascii="Times New Roman" w:cs="Times New Roman" w:eastAsia="Times New Roman" w:hAnsi="Times New Roman"/>
          <w:sz w:val="18"/>
          <w:szCs w:val="18"/>
          <w:color w:val="auto"/>
        </w:rPr>
        <w:t>: Some of our financial instruments, such as accounts receivable, long-term receivables, prepaid expense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contract assets and liabilities, accounts payable, warranty obligations, and other long-term obligations, are reflected in the condensed consolidated balance sheets at carrying value, which approximates fair value due to their short-term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Derivative Financial Instruments</w:t>
      </w:r>
    </w:p>
    <w:p>
      <w:pPr>
        <w:sectPr>
          <w:pgSz w:w="11900" w:h="16838" w:orient="portrait"/>
          <w:cols w:equalWidth="0" w:num="1">
            <w:col w:w="11420"/>
          </w:cols>
          <w:pgMar w:left="240" w:top="118"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type w:val="continuous"/>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condensed consolidated balance sheets within accounts receivable or accounts payable measured at fair value, and changes in fair values are recognized in earnings unless specific hedge accounting criteria are met for cash flow or net investment hedges. As of January 26, 2019 and April 28, 2018, we had not designated any of our derivative instruments as accounting hedges, and thus we recorded the changes in fair value in "Other (expense) income, net" in the condensed consolidated statements of operations.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foreign currency exchange contracts in aggregated notional amounts in place to exchange U.S. dollars at January 26, 2019 and April 28, 2018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300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January 26, 2019</w:t>
            </w:r>
          </w:p>
        </w:tc>
        <w:tc>
          <w:tcPr>
            <w:tcW w:w="276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April 28, 2018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U.S. Dollars</w:t>
            </w: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Dollars/Canadian Dollars</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821</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2,165</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Dollars/British Pounds</w:t>
            </w: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Dollars/Singapore Dollars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Dollars/Euros</w:t>
            </w: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Dollars/Swiss Franc</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Dollars/Malaysian Ringgit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1,966</w:t>
            </w:r>
          </w:p>
        </w:tc>
        <w:tc>
          <w:tcPr>
            <w:tcW w:w="2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January 26, 2019, there was an asset and liability of $20 and $24, respectively, and as of April 28, 2018, there was an asset and liability of $41 and $236, respectively, representing the fair value of foreign currency exchange forward contracts, which were determined using Level 2 inputs from a third-party bank.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strategy and operating strategy; (v.) the declaration and payment of dividends; (vi.) the timing and magnitude of future contracts; (vii.) raw material shortages and lead times; (viii.) fluctuations in margins; (ix.) the seasonality of our business; (x.) the introduction of new products and technology; (xi.) the amount and frequency of warranty claims; (xii.) our ability to manage the impact that new or adjusted tariffs may have on the cost of raw materials and components and our ability to sell product internationally; (xiii.) resolution of litigation contingencies; and (xiv.) the timing and magnitude of any acquisitions or dispositions. The words “may,” “would,” “could,” “should,” “will,” “expect,” “estimate,” “anticipate,” “believe,” “intend,” “plan”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April 28, 2018 in the section entitled “Item 1A. Risk Factors” and "Item 7. Management's Discussion and Analysis of Financial Condition and Results of Operations," and those factors discussed in detail in our other filings with the Securities and Exchange Commission.</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are based upon our condensed consolidated financial statements, which have been prepared in accordance with generally accepted accounting principles in the United States ("GAAP"). This discussion should be read in conjunction with the accompanying Condensed Consolidated Financial Statements and Notes to the Condensed Consolidated Financial Statements included in this Report. The preparation of these condensed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w:t>
      </w:r>
    </w:p>
    <w:p>
      <w:pPr>
        <w:sectPr>
          <w:pgSz w:w="11900" w:h="16838" w:orient="portrait"/>
          <w:cols w:equalWidth="0" w:num="1">
            <w:col w:w="11420"/>
          </w:cols>
          <w:pgMar w:left="240" w:top="118"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type w:val="continuous"/>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construction-type contracts, costs to be incurred for product warranties and extended maintenance contracts, bad debts, excess and obsolete inventory, income taxes, share-based compensation, goodwill impairment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 Disclosures related to our business segments are provided in "Note 5. Segment Reporting" of the Notes to the Condensed Consolidated Financial Statements included elsewhere in this Report.</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sales and profitability historically have fluctuated due to the impact of uniquely configured orders, such as display systems for professional sports facilities, colleges and universities, and spectacular projects in the commercial area, as well as the seasonality of the sports market. Uniquely configured orders can include several displays, controllers, and subcontracted structure builds, each of which can occur on varied schedules per the customer's needs. Outdoor installation sales can be impacted by outdoor weather conditions and the construction season. Our third fiscal quarter tends to be a slower quarter because it includes two holidays, it is affected by sports seasonality, and generally less outdoor construction work occurs due to weather conditions.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gross margins tend to fluctuate more on uniquely configured orders than on limited configured orders. Uniquely configured orders involving competitive bidding and substantial subcontract work for product installation generally have lower gross margins. Although we follow the over time method of recognizing revenues for uniquely configured orders, we nevertheless have experienced fluctuations in operating results and expect our future results of operations will be subject to similar fluctuations.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remaining performance obligations ("backlog") consist of contractually binding sales agreements or purchase orders for integrated electronic display systems and related products and exclude extended service agreements and service only orders. Orders are included in backlog when we are in receipt of an executed contract and any required deposits or security. As a result, certain orders for which we have received binding letters of intent or contracts will not be included in backlog until all required contractual documents and deposits are received. Backlog can fluctuate due to large order bookings and the timing and seasonality of net sales. Because order backlog fluctuates and may be subject to extended delivery schedules, orders may be canceled and have varied estimated profitability. Our backlog is not necessarily indicative of future net sales or net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mission is to be the world leader at informing and entertaining audiences through dynamic audio-visual communication systems. We measure our success through estimated market share based on estimated market demand for digital displays and generating profits over the long-term. Our success is contingent on the depth and quality of our products, including related control systems, the depth of our service offerings and our technology serving these market demands. These qualities are important for our long-term success because our products have finite lifetimes, and we strive to win replacement business from existing customers.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Increases in user adoption, the acceptance of a variety of digital solutions, and the decline of digital solution pricing over the years have increased the size of the global market. With this positive demand, strong competition exists across all of our business units, which causes margin constraints. Projects with multimillion-dollar revenue potential also attract competition, which generally reduces profitability.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organize around customer segments and geographic regions as further described in "Note 5. Segment Reporting" of the Notes to the Condensed Consolidated Financial Statements included elsewhere in this Report. Each business segment also has unique key growth drivers and challenges.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Commercial Business Unit: </w:t>
      </w:r>
      <w:r>
        <w:rPr>
          <w:rFonts w:ascii="Times New Roman" w:cs="Times New Roman" w:eastAsia="Times New Roman" w:hAnsi="Times New Roman"/>
          <w:sz w:val="18"/>
          <w:szCs w:val="18"/>
          <w:color w:val="auto"/>
        </w:rPr>
        <w:t>Over the long-term, we believe growth in the Commercial business unit will result from a number of factors, including:</w:t>
      </w:r>
    </w:p>
    <w:p>
      <w:pPr>
        <w:spacing w:after="0" w:line="227" w:lineRule="exact"/>
        <w:rPr>
          <w:sz w:val="20"/>
          <w:szCs w:val="20"/>
          <w:color w:val="auto"/>
        </w:rPr>
      </w:pPr>
    </w:p>
    <w:p>
      <w:pPr>
        <w:jc w:val="both"/>
        <w:ind w:left="66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are the principal factors that impact our success in this business unit. We utilize a reseller network to distribute our standard products.</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accounts standard display market opportunities due to customers' desire to communicate their message, advertising and content consistently across the country. Increased demand is possible from retailers, quick serve restaurants, petroleum businesses, and other nationwide organizations.</w:t>
      </w:r>
    </w:p>
    <w:p>
      <w:pPr>
        <w:ind w:left="660" w:right="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messaging systems demand growth due to market adoption and marketplace expansion.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deployment of digital billboards as Out-of-Home ("OOH") advertising companies continue developing new sites and replacing digital billboards reaching end of life. This is dependent on no adverse changes occurring in the digital billboard regulatory environment restricting future billboard deployment, as well as maintaining our current market share in a business that is concentrated in a few large OOH companies.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cycles within each of these areas.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Live Events Business Unit: </w:t>
      </w:r>
      <w:r>
        <w:rPr>
          <w:rFonts w:ascii="Times New Roman" w:cs="Times New Roman" w:eastAsia="Times New Roman" w:hAnsi="Times New Roman"/>
          <w:sz w:val="18"/>
          <w:szCs w:val="18"/>
          <w:color w:val="auto"/>
        </w:rPr>
        <w:t>Over the long-term, we believe growth in the Live Events business unit will result from a number of factors, including:</w:t>
      </w:r>
    </w:p>
    <w:p>
      <w:pPr>
        <w:spacing w:after="0" w:line="22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spending more on larger display systems to enhance the game-day and event experience for attendees.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product costs, driving an expansion of the marketplace.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and service offerings, which remain the most integrated and comprehensive offerings in the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nature of sports teams, which strive to out-perform their competitors with display systems.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messaging systems needs throughout a sports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cycles within each of these areas.</w:t>
      </w:r>
    </w:p>
    <w:p>
      <w:pPr>
        <w:spacing w:after="0" w:line="20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Business Unit: </w:t>
      </w:r>
      <w:r>
        <w:rPr>
          <w:rFonts w:ascii="Times New Roman" w:cs="Times New Roman" w:eastAsia="Times New Roman" w:hAnsi="Times New Roman"/>
          <w:sz w:val="18"/>
          <w:szCs w:val="18"/>
          <w:color w:val="auto"/>
        </w:rPr>
        <w:t>Over the long-term, we believe growth in the High School Park and Recreation business unit will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number of factors, including:</w:t>
      </w:r>
    </w:p>
    <w:p>
      <w:pPr>
        <w:spacing w:after="0" w:line="160" w:lineRule="exact"/>
        <w:rPr>
          <w:sz w:val="20"/>
          <w:szCs w:val="20"/>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video systems in high schools as school districts realize the revenue generating potential of these displays compared to traditional scoreboards.</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different types of displays and dynamic messaging systems, such as message centers at schools to communicate to students, parents and the broader community.</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more sophisticated displays in school athletic facilities, such as large integrated video systems.</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Transportation Business Unit: </w:t>
      </w:r>
      <w:r>
        <w:rPr>
          <w:rFonts w:ascii="Times New Roman" w:cs="Times New Roman" w:eastAsia="Times New Roman" w:hAnsi="Times New Roman"/>
          <w:sz w:val="18"/>
          <w:szCs w:val="18"/>
          <w:color w:val="auto"/>
        </w:rPr>
        <w:t>Over the long-term, we believe growth in the Transportation business unit will result from increasing applications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spending, primarily by state and federal governments, along with the continuing acceptance of private/public partnerships as an alternative funding source. Growth is also expected in dynamic messaging systems for advertising and way-finding use in public transport and airport terminals.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International Business Unit: </w:t>
      </w:r>
      <w:r>
        <w:rPr>
          <w:rFonts w:ascii="Times New Roman" w:cs="Times New Roman" w:eastAsia="Times New Roman" w:hAnsi="Times New Roman"/>
          <w:sz w:val="18"/>
          <w:szCs w:val="18"/>
          <w:color w:val="auto"/>
        </w:rPr>
        <w:t>Over the long-term, we believe growth in the International business unit will result from achieving greater penetration in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geographies and building products more suited to individual markets. We continue to broaden our product offerings into the transportation segment in Europe and the Middle East. We also focus on sports facility, spectacular-type, and third-party advertising market opportunities and the factors listed in each of the other business units to the extent they apply outside of the United States and Canada.</w:t>
      </w:r>
    </w:p>
    <w:p>
      <w:pPr>
        <w:spacing w:after="0" w:line="1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 downturns, the sports business also can be seriously impacted. Our Commercial and International business units are highly dependent on economic conditions in general.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to manufacture and the selling prices of our products have decreased over time and are expected to continue to decrease in the future. As a result, each year we must sell more product to generate the same or greater level of net sales as in previous fiscal years. This price decline has been significant as a result of increased competition across all business units.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Annual Report discloses Risk Factors we face, including exposure to geopolitical, economic, and social changes. For fiscal year 2019, while we remain optimistic about long-term growth in the digital display industry, the recent U.S. Administrative trade actions, including tariffs and sanctions, and related reactions and responses outside the U.S. are very dynamic. This environment has created volatility, such as increases in pricing of and demand for aluminum, electrical, and other components we use in our production. We continue to monitor the situation and evaluate ways to minimize these impacts through vendor negotiations, alternative sources, and potential price adjustments. We also expect some of the measures being contemplated by various governments will create market reactions and will possibly have significant financial impact in future quarters.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JANUARY 26, 2019 AND JANUARY 27,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4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7"/>
                <w:szCs w:val="17"/>
                <w:color w:val="auto"/>
              </w:rPr>
            </w:pPr>
          </w:p>
        </w:tc>
        <w:tc>
          <w:tcPr>
            <w:tcW w:w="1200" w:type="dxa"/>
            <w:vAlign w:val="bottom"/>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Dollar Change</w:t>
            </w:r>
          </w:p>
        </w:tc>
        <w:tc>
          <w:tcPr>
            <w:tcW w:w="148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4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37,159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35,483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1,676</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29,995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45,167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(15,172)</w:t>
            </w:r>
          </w:p>
        </w:tc>
        <w:tc>
          <w:tcPr>
            <w:tcW w:w="2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14,798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3,335</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15,390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11,189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4,201</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17,727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27,014</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115,069</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130,316</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2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0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Orders:</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41,114</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28,745</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12,369</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45,767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39,911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5,856</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17,034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13,451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3,583</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11,541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14,641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19,973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29,405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2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135,429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126,153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9,276</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The increase in net sales for the three months ended January 26, 2019 compared to the same period one year ago was primarily due to the timing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large custom projects in the spectacular niche, increased order volumes in the on-premise niche, and a decrease in shipments in the OOH niche.</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orders for the three months ended January 26, 2019 compared to the same period one year ago was the net result of volatility in order timing of large custom projects in the spectacular niche and increased demand in the on-premise and OOH niches.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decrease in net sales for the three months ended January 26, 2019 compared to the same period one year ago was primarily due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orders on a year to date basis. During the third quarter of fiscal 2018, we recognized more than $15 million in sales on three projects, with no similar sized projects in the third quarter of fiscal 2019.</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Orders increased for the three months ended January 26, 2019 compared to the same period one year ago due to the increased number of projects in professional sports and college and university venues. During the third quarter of fiscal 2019, we were awarded two projects each valued at over $4 million, with no similar sized projects in the third quarter of fiscal 2018.</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The increase in net sales for the three months ended January 26, 2019 compared to the same period one year ago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increased shipments of scoring systems and message centers as a result of growth in market activity and the timing of customer demand.</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Orders increased for the three months ended January 26, 2019 compared to the same period one year ago due to overall strong market demand and an increase in projects for larger video systems.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type w:val="continuous"/>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The increase in net sales for the three months ended January 26, 2019 compared to the same period one year ago was primarily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timing of production for large orders and an increase in demand for intelligent transportation systems.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Orders for the three months ended January 26, 2019 compared to the same period one year ago decreased primarily due to variability caused by large order timing.</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Net sales for the three months ended January 26, 2019 compared to the same period one year ago decreased primarily due to the size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timing of large contracts and fluctuations in conversion to revenue inherent in this large contract business.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Orders decreased for the three months ended January 26, 2019 compared to the same period one year ago primarily due to the variability of timing caused by large projects.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Order Backlog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product order backlog as of January 26, 2019 was $168 million as compared to $151 million as of January 27, 2018 and $150 million at the end of the second quarter of fiscal 2019. Historically, our product order backlog varies due to the seasonality of our business, the timing of large projects, and customer delivery schedules for these orders. The product order backlog as of January 26, 2019 increased from January 27, 2018 in our Commercial, Live Events, High School Park and Recreation, and Transportation business units and decreased in our International business unit.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January 26, 2019</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January 27, 2018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r>
      <w:tr>
        <w:trPr>
          <w:trHeight w:val="198"/>
        </w:trPr>
        <w:tc>
          <w:tcPr>
            <w:tcW w:w="348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17"/>
                <w:szCs w:val="17"/>
                <w:color w:val="auto"/>
              </w:rPr>
            </w:pPr>
          </w:p>
        </w:tc>
        <w:tc>
          <w:tcPr>
            <w:tcW w:w="10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7"/>
                <w:szCs w:val="17"/>
                <w:color w:val="auto"/>
              </w:rPr>
            </w:pP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Sales</w:t>
            </w: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7"/>
                <w:szCs w:val="17"/>
                <w:color w:val="auto"/>
              </w:rPr>
            </w:pP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8,942</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24.1%</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7,546</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21.3%</w:t>
            </w:r>
          </w:p>
        </w:tc>
      </w:tr>
      <w:tr>
        <w:trPr>
          <w:trHeight w:val="243"/>
        </w:trPr>
        <w:tc>
          <w:tcPr>
            <w:tcW w:w="3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3,950</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13.2</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9,747</w:t>
            </w:r>
          </w:p>
        </w:tc>
        <w:tc>
          <w:tcPr>
            <w:tcW w:w="15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2,736</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18.5</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2,768</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24.1</w:t>
            </w:r>
          </w:p>
        </w:tc>
      </w:tr>
      <w:tr>
        <w:trPr>
          <w:trHeight w:val="243"/>
        </w:trPr>
        <w:tc>
          <w:tcPr>
            <w:tcW w:w="3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5,880</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38.2</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3,570</w:t>
            </w:r>
          </w:p>
        </w:tc>
        <w:tc>
          <w:tcPr>
            <w:tcW w:w="15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31.9</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3,361</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19.0</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4,936</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18.3</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24,869</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21.6%</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28,567</w:t>
            </w:r>
          </w:p>
        </w:tc>
        <w:tc>
          <w:tcPr>
            <w:tcW w:w="15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21.9%</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is net sales less cost of sales. Cost of sales consists primarily of inventory, consumables, salaries, other employee-related costs, facilities-related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for manufacturing locations, machinery and equipment maintenance and depreciation, site sub-contractors, warranty costs, and other service delivery expenses.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our gross profit percentage for the three months ended January 26, 2019 compared to the same period one year ago was primarily due to lower sales volumes over relatively fixed infrastructure costs, $1.8 million in expenses for an unprofitable project and a litigation claim, and an increase in commodity costs due to the current global trade environment, which was partly offset by lower warranty expenses and a change in sales mix. Total warranty as a percent of sales decreased to 1.6% for the three months ended January 26, 2019 as compared to 2.9% during the three months ended January 27, 2018. The following describes the overall impact by business unit:</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The gross profit percent increase for the three months ended January 26, 2019 compared to the same period one year ago was due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warranty and service expenses and sales mix.</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gross profit percent decrease for the three months ended January 26, 2019 compared to the same period one year ago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sales volumes over relatively fixed infrastructure costs and an unprofitable project.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The gross profit percent decrease for the three months ended January 26, 2019 as compared to the same period one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ago was primarily due to a litigation claim, partly offset by higher sales volumes over relatively fixed infrastructure.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The gross profit percent increase for the three months ended January 26, 2019 compared to the same period one year ago was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higher sales volumes over relatively fixed infrastructure costs and a change in sales mix.</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gross profit percent increase for the three months ended January 26, 2019 compared to the same period one year ago was primarily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lower warranty expenses and a change in sales mix, partly offset by lower sales volumes over relatively fixed infrastructure costs.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type w:val="continuous"/>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January 26, 2019</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January 27, 2018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8"/>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a Percent of</w:t>
            </w: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198"/>
        </w:trPr>
        <w:tc>
          <w:tcPr>
            <w:tcW w:w="338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7"/>
                <w:szCs w:val="17"/>
                <w:color w:val="auto"/>
              </w:rPr>
            </w:pPr>
          </w:p>
        </w:tc>
        <w:tc>
          <w:tcPr>
            <w:tcW w:w="106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7"/>
                <w:szCs w:val="17"/>
                <w:color w:val="auto"/>
              </w:rPr>
            </w:pPr>
          </w:p>
        </w:tc>
        <w:tc>
          <w:tcPr>
            <w:tcW w:w="138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Pr>
          <w:p>
            <w:pPr>
              <w:spacing w:after="0"/>
              <w:rPr>
                <w:sz w:val="17"/>
                <w:szCs w:val="17"/>
                <w:color w:val="auto"/>
              </w:rPr>
            </w:pPr>
          </w:p>
        </w:tc>
        <w:tc>
          <w:tcPr>
            <w:tcW w:w="162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7"/>
                <w:szCs w:val="17"/>
                <w:color w:val="auto"/>
              </w:rPr>
            </w:pPr>
          </w:p>
        </w:tc>
        <w:tc>
          <w:tcPr>
            <w:tcW w:w="10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7"/>
                <w:szCs w:val="17"/>
                <w:color w:val="auto"/>
              </w:rPr>
            </w:pPr>
          </w:p>
        </w:tc>
        <w:tc>
          <w:tcPr>
            <w:tcW w:w="134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1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(94.1)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5,904</w:t>
            </w:r>
          </w:p>
        </w:tc>
        <w:tc>
          <w:tcPr>
            <w:tcW w:w="1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(1,014.3)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4,959</w:t>
            </w: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32.2</w:t>
            </w:r>
          </w:p>
        </w:tc>
        <w:tc>
          <w:tcPr>
            <w:tcW w:w="1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2,625</w:t>
            </w:r>
          </w:p>
        </w:tc>
        <w:tc>
          <w:tcPr>
            <w:tcW w:w="1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23.5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9,332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13,296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consists of gross profit less selling expenses. Selling expenses consist primarily of salaries, other employee-related costs, travel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entertainment expenses, facility-related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Contribution margin is impacted by the previously discussed sales and gross margin for each business unit. The impact of changes in selling expenses on each business unit's contribution margin are as follows: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expense in our High School Park and Recreation business unit increased in the third quarter of fiscal 2019 compared to the same quarter a year ago due to an increase in the allocation of shared resources to this market's selling efforts. Selling expense in our Live Events business unit decreased in the third quarter of fiscal 2019 compared to the same quarter a year ago due to reduced personnel related expenses.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expense in our Commercial, Transportation, and International business units remained relatively flat during the third quarter of fiscal 2019 compared to the same quarter a year ago.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January 26, 2019</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January 27, 2018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a Percent of</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198"/>
        </w:trPr>
        <w:tc>
          <w:tcPr>
            <w:tcW w:w="340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7"/>
                <w:szCs w:val="17"/>
                <w:color w:val="auto"/>
              </w:rPr>
            </w:pPr>
          </w:p>
        </w:tc>
        <w:tc>
          <w:tcPr>
            <w:tcW w:w="11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Pr>
          <w:p>
            <w:pPr>
              <w:spacing w:after="0"/>
              <w:rPr>
                <w:sz w:val="17"/>
                <w:szCs w:val="17"/>
                <w:color w:val="auto"/>
              </w:rPr>
            </w:pPr>
          </w:p>
        </w:tc>
        <w:tc>
          <w:tcPr>
            <w:tcW w:w="162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7"/>
                <w:szCs w:val="17"/>
                <w:color w:val="auto"/>
              </w:rPr>
            </w:pPr>
          </w:p>
        </w:tc>
        <w:tc>
          <w:tcPr>
            <w:tcW w:w="128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8,574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8,335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3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8,299</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consist primarily of salaries, other employee-related costs, professional fees, shareholder relations costs, facilities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equipment-related costs for administrative departments, training costs, and the cost of supplies.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third quarter of fiscal 2019 increased as compared to the same period one year ago primarily due to an increase in professional fees and IT related systems.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expenses </w:t>
      </w:r>
      <w:r>
        <w:rPr>
          <w:rFonts w:ascii="Times New Roman" w:cs="Times New Roman" w:eastAsia="Times New Roman" w:hAnsi="Times New Roman"/>
          <w:sz w:val="18"/>
          <w:szCs w:val="18"/>
          <w:color w:val="auto"/>
        </w:rPr>
        <w:t>consist primarily of salaries, other employee-related costs, professional services, facilities costs and equipment-related costs and supplies. 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We plan to make continued investments in our software and controller capabilities throughout our various product offerings. Through all design efforts, we focus on standardizing display components and control systems for both single site and network displays.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costs for product design and development represent an allocated amount of costs based on time charges, professional services, material costs and the overhead of our engineering departments. Generally, a significant portion of our engineering time is spent on product design and development, while the rest is allocated to large contract work and included in cost of sales.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design and development expenses in the third quarter of fiscal 2019 remained relatively flat as compared to the same period one year ago. To deliver value to our customers and serve the markets' expectations, we expect a similar level of expenditures for new or enhanced customer solutions for the remainder of fiscal 2019 as compared to fiscal 2018.</w:t>
      </w:r>
    </w:p>
    <w:p>
      <w:pPr>
        <w:sectPr>
          <w:pgSz w:w="11900" w:h="16838" w:orient="portrait"/>
          <w:cols w:equalWidth="0" w:num="1">
            <w:col w:w="11420"/>
          </w:cols>
          <w:pgMar w:left="240" w:top="118"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type w:val="continuous"/>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5"/>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January 26, 2019</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January 27, 2018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198"/>
        </w:trPr>
        <w:tc>
          <w:tcPr>
            <w:tcW w:w="408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7"/>
                <w:szCs w:val="17"/>
                <w:color w:val="auto"/>
              </w:rPr>
            </w:pPr>
          </w:p>
        </w:tc>
        <w:tc>
          <w:tcPr>
            <w:tcW w:w="11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5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Sales</w:t>
            </w:r>
          </w:p>
        </w:tc>
        <w:tc>
          <w:tcPr>
            <w:tcW w:w="13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Change</w:t>
            </w:r>
          </w:p>
        </w:tc>
        <w:tc>
          <w:tcPr>
            <w:tcW w:w="200" w:type="dxa"/>
            <w:vAlign w:val="bottom"/>
          </w:tcPr>
          <w:p>
            <w:pPr>
              <w:spacing w:after="0"/>
              <w:rPr>
                <w:sz w:val="17"/>
                <w:szCs w:val="17"/>
                <w:color w:val="auto"/>
              </w:rPr>
            </w:pPr>
          </w:p>
        </w:tc>
        <w:tc>
          <w:tcPr>
            <w:tcW w:w="10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8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4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We generate interest income through short-term cash investments, marketable securities, and product sales on an installment basis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the rights to sell and retain advertising revenues from displays, which result in long-term receivables. Interest expense is comprised primarily of interest costs on long-term marketing obligations.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interest income, net for the third quarter of fiscal 2019 compared to the same period one year ago was primarily due to the change in investment levels caused by the volatility of working capital needs.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The change in other income and expense, net for the third quarter of fiscal 2019 as compared to the same period one year ago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foreign currency volatility and losses recorded from an equity method affiliate.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calculate the provision for income taxes during interim reporting periods by applying an estimate of the annual effective tax rate for the full fiscal year to “ordinary” income or loss (pretax income or loss excluding unusual or infrequently occurring discrete items) for the reporting period. Due to various factors, including operations in multiple jurisdictions worldwide, our effective tax rate is subject to fluctuation. We have recorded a tax rate of 55.4 percent for the third quarter of fiscal 2019 as compared to an effective tax rate of (67.0) percent for the third quarter of fiscal 2018. The change in the effective tax rate is due to tax credits proportionate to pre-tax book income, the release of $2.8 million in unrecognized tax benefits related to a lapse of statute, the release of $0.5 million for a valuation allowance reversal related to foreign net operating loss carryforwards, and a decrease in the federal statutory tax rate from 30.4 percent to 21 percent pursuant to the U.S. Tax Cuts and Jobs Act (the “Tax Act”), as compared to the same prior year period, which included a re-measurement of deferred taxes resulting in a $3.7 million impact to tax expense due to the lowering of the tax rate under the Tax Act. The Tax Act reduced the federal normal statutory rate from 35 percent to 21 percent; however, since we are a fiscal year tax filer, a blended rate of 30.4 percent was used for fiscal year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JANUARY 26, 2019 AND JANUARY 27,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4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17"/>
                <w:szCs w:val="17"/>
                <w:color w:val="auto"/>
              </w:rPr>
            </w:pPr>
          </w:p>
        </w:tc>
        <w:tc>
          <w:tcPr>
            <w:tcW w:w="110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7"/>
                <w:szCs w:val="17"/>
                <w:color w:val="auto"/>
              </w:rPr>
            </w:pPr>
          </w:p>
        </w:tc>
        <w:tc>
          <w:tcPr>
            <w:tcW w:w="146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Dollar Change</w:t>
            </w:r>
          </w:p>
        </w:tc>
        <w:tc>
          <w:tcPr>
            <w:tcW w:w="13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6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6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113,797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102,723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11,074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Live Events</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134,566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191,432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(56,866)</w:t>
            </w:r>
          </w:p>
        </w:tc>
        <w:tc>
          <w:tcPr>
            <w:tcW w:w="2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74,498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69,602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4,896</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Transportation</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46,577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4,047</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68,464</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62,019</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6,445</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441,949</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472,353</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2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5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123,637</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97,816</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25,821</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128,803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145,246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73,928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60,368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13,560</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54,736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38,155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16,581</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65,291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79,909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2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446,395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421,494</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24,901</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type w:val="continuous"/>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Net sales for the nine months ended January 26, 2019 compared to the same period one year ago increased as a result of the timing of large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 projects in the spectacular niche and increased order volumes in the on-premise niche. The OOH niche remained relatively flat year over year.</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orders for the nine months ended January 26, 2019 compared to the same period one year ago was the result of volatility in order timing of large custom projects in the spectacular niche and increased demand in the on-premise and OOH niches.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decrease in net sales for the nine months ended January 26, 2019 compared to the same period one year ago was primarily due to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video project sizes with lower average sales price for arenas, professional sports, and colleges and universities. During the first nine months of fiscal 2018, we recognized more than $41 million in sales on seven projects, with no similar sized projects in the first nine months of fiscal 2019.</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Orders decreased for the nine months ended January 26, 2019 compared to the same period one year ago due to a decreased number of projects in professional sports venues and an order cancellation. During the first nine months of fiscal 2018, we were awarded three projects each valued at over $5 million as compared to one project valued at over $5 million in the first nine months of fiscal 2019.</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The increase in net sales for the nine months ended January 26, 2019 compared to the same period one year ago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increased shipments of scoring systems and message centers as a result of growth in market activity and timing of customer demand.</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Orders increased for the nine months ended January 26, 2019 compared to the same period one year ago due to overall strong market demand and an increase in large video system projects.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Net sales for the nine months ended January 26, 2019 compared to the same period one year ago was primarily due to the variability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for large orders and timing of customer schedules and an increase in demand for intelligent transportation systems.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Orders increased for the nine months ended January 26, 2019 compared to the same period one year ago primarily due to variability caused by large order timing and continued demand for intelligent transportation systems.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Net sales increased in our International business unit for the nine months ended January 26, 2019 compared to the same period one year ago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mainly due to the timing of recognizing revenue on large project orders and decreased orders on a year to date basis.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Orders decreased for the nine months ended January 26, 2019 compared to the same period one year ago primarily due to the variability of timing caused by large projects.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January 26, 2019</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January 27, 2018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r>
      <w:tr>
        <w:trPr>
          <w:trHeight w:val="198"/>
        </w:trPr>
        <w:tc>
          <w:tcPr>
            <w:tcW w:w="348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17"/>
                <w:szCs w:val="17"/>
                <w:color w:val="auto"/>
              </w:rPr>
            </w:pPr>
          </w:p>
        </w:tc>
        <w:tc>
          <w:tcPr>
            <w:tcW w:w="10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7"/>
                <w:szCs w:val="17"/>
                <w:color w:val="auto"/>
              </w:rPr>
            </w:pP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Sales</w:t>
            </w: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7"/>
                <w:szCs w:val="17"/>
                <w:color w:val="auto"/>
              </w:rPr>
            </w:pP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27,593</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24.2%</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21,085</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3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26,495</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19.7</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43,056</w:t>
            </w:r>
          </w:p>
        </w:tc>
        <w:tc>
          <w:tcPr>
            <w:tcW w:w="15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22.5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21,997</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29.5</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23,672</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34.0</w:t>
            </w:r>
          </w:p>
        </w:tc>
      </w:tr>
      <w:tr>
        <w:trPr>
          <w:trHeight w:val="243"/>
        </w:trPr>
        <w:tc>
          <w:tcPr>
            <w:tcW w:w="3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17,471</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34.5</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16,696</w:t>
            </w:r>
          </w:p>
        </w:tc>
        <w:tc>
          <w:tcPr>
            <w:tcW w:w="15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35.8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12,317</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18.0</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11,308</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18.2</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105,873</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24.0%</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115,817</w:t>
            </w:r>
          </w:p>
        </w:tc>
        <w:tc>
          <w:tcPr>
            <w:tcW w:w="15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24.5%</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is net sales less cost of sales. Cost of sales consists primarily of inventory, consumables, salaries, other employee-related costs, facilities-related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for manufacturing locations, machinery and equipment maintenance and depreciation, site sub-contractors, warranty costs, and other service delivery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our gross profit percentage for the nine months ended January 26, 2019 compared to the same period one year ago was the net result of the changes described below:</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The gross profit percent increase for the nine months ended January 26, 2019 compared to the same period one year ago was the result of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warranty expenses, sales mix, and the $1.0 million adjustment of the contingent liability related to a prior acquisition earnout provision.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gross profit percent decrease for the nine months ended January 26, 2019 compared to the same period one year ago was the result of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volumes over relatively fixed infrastructure costs and an unprofitable project, partly offset by lower warranty expenses.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The gross profit percent decrease for the nine months ended January 26, 2019 as compared to the same period one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ago was due to competitive bidding on large projects, a change in sales mix, and a litigation claim, partly offset by higher sales volumes over relatively fixed infrastructure costs.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The gross profit percent decrease for the nine months ended January 26, 2019 compared to the same period one year ago was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receipt in the first nine months of the prior fiscal year of a supplier reimbursement for a component issue with no similar receipt in the first nine months of the current fiscal year, partly offset by higher sales volumes over relatively fixed infrastructure costs.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gross profit percent decrease for the nine months ended January 26, 2019 compared to the same period one year ago was primarily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the $1.2 million gain from the sale of our non-digital assets that was recorded in the first nine months of fiscal 2018, partly offset by higher sales volumes over relatively fixed infrastructure costs.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January 26, 2019</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January 27, 2018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8"/>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198"/>
        </w:trPr>
        <w:tc>
          <w:tcPr>
            <w:tcW w:w="342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7"/>
                <w:szCs w:val="17"/>
                <w:color w:val="auto"/>
              </w:rPr>
            </w:pPr>
          </w:p>
        </w:tc>
        <w:tc>
          <w:tcPr>
            <w:tcW w:w="106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7"/>
                <w:szCs w:val="17"/>
                <w:color w:val="auto"/>
              </w:rPr>
            </w:pPr>
          </w:p>
        </w:tc>
        <w:tc>
          <w:tcPr>
            <w:tcW w:w="13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Pr>
          <w:p>
            <w:pPr>
              <w:spacing w:after="0"/>
              <w:rPr>
                <w:sz w:val="17"/>
                <w:szCs w:val="17"/>
                <w:color w:val="auto"/>
              </w:rPr>
            </w:pPr>
          </w:p>
        </w:tc>
        <w:tc>
          <w:tcPr>
            <w:tcW w:w="162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7"/>
                <w:szCs w:val="17"/>
                <w:color w:val="auto"/>
              </w:rPr>
            </w:pPr>
          </w:p>
        </w:tc>
        <w:tc>
          <w:tcPr>
            <w:tcW w:w="10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7"/>
                <w:szCs w:val="17"/>
                <w:color w:val="auto"/>
              </w:rPr>
            </w:pPr>
          </w:p>
        </w:tc>
        <w:tc>
          <w:tcPr>
            <w:tcW w:w="134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13,984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3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16,250</w:t>
            </w: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12.1</w:t>
            </w:r>
          </w:p>
        </w:tc>
        <w:tc>
          <w:tcPr>
            <w:tcW w:w="16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32,494</w:t>
            </w:r>
          </w:p>
        </w:tc>
        <w:tc>
          <w:tcPr>
            <w:tcW w:w="1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12,874</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17.3</w:t>
            </w:r>
          </w:p>
        </w:tc>
        <w:tc>
          <w:tcPr>
            <w:tcW w:w="16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15,599</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22.4</w:t>
            </w:r>
          </w:p>
        </w:tc>
      </w:tr>
      <w:tr>
        <w:trPr>
          <w:trHeight w:val="243"/>
        </w:trPr>
        <w:tc>
          <w:tcPr>
            <w:tcW w:w="3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14,245</w:t>
            </w: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28.1</w:t>
            </w:r>
          </w:p>
        </w:tc>
        <w:tc>
          <w:tcPr>
            <w:tcW w:w="1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13,612</w:t>
            </w:r>
          </w:p>
        </w:tc>
        <w:tc>
          <w:tcPr>
            <w:tcW w:w="1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29.2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480</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0.7</w:t>
            </w:r>
          </w:p>
        </w:tc>
        <w:tc>
          <w:tcPr>
            <w:tcW w:w="16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1,245</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57,833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70,257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consists of gross profit less selling expenses. Selling expenses consist primarily of salaries, other employee-related costs, travel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entertainment expenses, facilities-related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Contribution margin is impacted by the previously discussed sales and gross margin for each business unit. The impact of changes in selling expenses on each business unit's contribution margin are as follows: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expense in our High School Park and Recreation business unit increased in the nine months ended January 26, 2019 compared to the same period one year ago primarily due to a change in the allocation of resources to this market's selling efforts. Selling expense in our International business unit increased in the nine months ended January 26, 2019 compared to the same period one year ago primarily due to third-party commissions and increased personnel related expenses.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expenses in our Commercial, Live Events, and Transportation business units remained relatively flat in the nine months ended January 26, 2019 compared to the same period one year ago.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January 26, 2019</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January 27, 2018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a Percent of</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198"/>
        </w:trPr>
        <w:tc>
          <w:tcPr>
            <w:tcW w:w="340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7"/>
                <w:szCs w:val="17"/>
                <w:color w:val="auto"/>
              </w:rPr>
            </w:pPr>
          </w:p>
        </w:tc>
        <w:tc>
          <w:tcPr>
            <w:tcW w:w="11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Pr>
          <w:p>
            <w:pPr>
              <w:spacing w:after="0"/>
              <w:rPr>
                <w:sz w:val="17"/>
                <w:szCs w:val="17"/>
                <w:color w:val="auto"/>
              </w:rPr>
            </w:pPr>
          </w:p>
        </w:tc>
        <w:tc>
          <w:tcPr>
            <w:tcW w:w="162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7"/>
                <w:szCs w:val="17"/>
                <w:color w:val="auto"/>
              </w:rPr>
            </w:pPr>
          </w:p>
        </w:tc>
        <w:tc>
          <w:tcPr>
            <w:tcW w:w="128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26,138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3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26,611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26,294</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consist primarily of salaries, other employee-related costs, professional fees, shareholder relations costs, facilities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equipment-related costs for administrative departments, training costs, and the cost of supplies.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type w:val="continuous"/>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nine months ended January 26, 2019 decreased as compared to the same period one year ago primarily due to a decrease in professional fees.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expenses </w:t>
      </w:r>
      <w:r>
        <w:rPr>
          <w:rFonts w:ascii="Times New Roman" w:cs="Times New Roman" w:eastAsia="Times New Roman" w:hAnsi="Times New Roman"/>
          <w:sz w:val="18"/>
          <w:szCs w:val="18"/>
          <w:color w:val="auto"/>
        </w:rPr>
        <w:t>consist primarily of salaries, other employee-related costs, professional services, facilities costs and equipment-related costs and supplies. 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We plan to make continued investments in our software and controller capabilities throughout our various product offerings. Through all design efforts, we focus on standardizing display components and control systems for both single site and network displays.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costs for product design and development represent an allocated amount of costs based on time charges, professional services, material costs and the overhead of our engineering departments. Generally, a significant portion of our engineering time is spent on product design and development, while the rest is allocated to large contract work and included in cost of 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design and development expenses in the nine months ended January 26, 2019 as compared to the same period one year ago increased primarily due to increased labor costs assigned to product design and development projects relating to our strategy to accelerate the deployment of products and solutions to our markets. To deliver value to our customers and serve the markets' expectations, we expect a similar level of expenditures for new or enhanced customer solutions for the remainder of fiscal 2019 as compared to fiscal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January 26, 2019</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January 27, 2018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198"/>
        </w:trPr>
        <w:tc>
          <w:tcPr>
            <w:tcW w:w="408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7"/>
                <w:szCs w:val="17"/>
                <w:color w:val="auto"/>
              </w:rPr>
            </w:pPr>
          </w:p>
        </w:tc>
        <w:tc>
          <w:tcPr>
            <w:tcW w:w="11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5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Sales</w:t>
            </w:r>
          </w:p>
        </w:tc>
        <w:tc>
          <w:tcPr>
            <w:tcW w:w="13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Change</w:t>
            </w:r>
          </w:p>
        </w:tc>
        <w:tc>
          <w:tcPr>
            <w:tcW w:w="180" w:type="dxa"/>
            <w:vAlign w:val="bottom"/>
          </w:tcPr>
          <w:p>
            <w:pPr>
              <w:spacing w:after="0"/>
              <w:rPr>
                <w:sz w:val="17"/>
                <w:szCs w:val="17"/>
                <w:color w:val="auto"/>
              </w:rPr>
            </w:pPr>
          </w:p>
        </w:tc>
        <w:tc>
          <w:tcPr>
            <w:tcW w:w="11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8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4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We generate interest income through short-term cash investments, marketable securities, and product sales on an installment basis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the rights to sell and retain advertising revenues from displays, which result in long-term receivables. Interest expense is comprised primarily of interest costs on long-term marketing obligations.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interest income, net in the nine months ended January 26, 2019 compared to the same period one year ago was primarily due to the change in investment levels caused by the volatility of working capital needs and changes in investing and financing activities.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The change in other income and expense, net for the nine months ended January 26, 2019 compared to the same period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ago was primarily due to foreign currency volatility and losses recorded from an equity method affiliate.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calculate the provision for income taxes during interim reporting periods by applying an estimate of the annual effective tax rate for the full fiscal year to “ordinary” income or loss (pretax income or loss excluding unusual or infrequently occurring discrete items) for the reporting period. Due to various factors, including operations in multiple jurisdictions worldwide, our effective tax rate is subject to fluctuation. We have recorded a tax rate of (71.8) percent for the nine months ended January 26, 2019 as compared to an effective tax rate of 47.2 percent for the nine months ended January 27, 2018. The change in the effective tax rate is due to tax credits proportionate to pre-tax book income, the release of $2.8 million in unrecognized tax benefits related to a lapse of statute, the release of $0.5 million for a valuation allowance reversal related to foreign net operating loss carryforwards, and a decrease in the federal statutory tax rate from 30.4 percent to 21 percent pursuant to the Tax Act, as compared to the same prior year period, which included a re-measurement of deferred taxes resulting in a $3.7 million impact to tax expense due to the lowering of the tax rate under the Tax Act. The Tax Act reduced the federal normal statutory rate from 35 percent to 21 percent; however, since we are a fiscal year tax filer, a blended rate of 30.4 percent was used for fiscal year 2018.</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70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7"/>
                <w:szCs w:val="17"/>
                <w:color w:val="auto"/>
              </w:rPr>
            </w:pPr>
          </w:p>
        </w:tc>
        <w:tc>
          <w:tcPr>
            <w:tcW w:w="1220" w:type="dxa"/>
            <w:vAlign w:val="bottom"/>
          </w:tcPr>
          <w:p>
            <w:pPr>
              <w:jc w:val="right"/>
              <w:ind w:right="430"/>
              <w:spacing w:after="0" w:line="198" w:lineRule="exact"/>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30"/>
              <w:spacing w:after="0" w:line="198" w:lineRule="exact"/>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7"/>
                <w:szCs w:val="17"/>
                <w:color w:val="auto"/>
              </w:rPr>
            </w:pPr>
          </w:p>
        </w:tc>
        <w:tc>
          <w:tcPr>
            <w:tcW w:w="150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70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32,187</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26,953</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00" w:type="dxa"/>
            <w:vAlign w:val="bottom"/>
          </w:tcPr>
          <w:p>
            <w:pPr>
              <w:spacing w:after="0"/>
              <w:rPr>
                <w:sz w:val="21"/>
                <w:szCs w:val="21"/>
                <w:color w:val="auto"/>
              </w:rPr>
            </w:pP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1,500.5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667</w:t>
            </w:r>
          </w:p>
        </w:tc>
        <w:tc>
          <w:tcPr>
            <w:tcW w:w="20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3,552</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16,231</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Operating cash flows consist primarily of net income adjusted for non-cash items, including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stock-based compensation, deferred income taxes and the effect of changes in operating assets and liabilities.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$32.2 million for the first nine months of fiscal 2019 compared to net cash provided by operating activities of $27.0 million in the first nine months of fiscal 2018. The $5.2 million increase in cash from operating activities from the first nine months of fiscal 2018 to the first nine months of fiscal 2019 was the result of changes in net operating assets and liabilities of $7.7 million, a $1.0 million adjustment of the contingent liability, $0.7 million in depreciation and amortization, $0.5 million increase in net income, and $0.1 million in other non-cash items, net, adjusted by $3.8 million in deferred income taxes, and a $1.0 million gain on the sale of property, equipment and other assets.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changes in operating assets and liabilities consisted of the following:</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14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6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Long-term receivables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4,199</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3,954</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Property and equipment and other assets available for sale</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receivables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Current marketing obligations and other payables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(9,829)</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12,104</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2,573</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Warranty obligations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marketing obligations and other payables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0" w:type="dxa"/>
            <w:vAlign w:val="bottom"/>
          </w:tcPr>
          <w:p>
            <w:pPr>
              <w:spacing w:after="0"/>
              <w:rPr>
                <w:sz w:val="22"/>
                <w:szCs w:val="22"/>
                <w:color w:val="auto"/>
              </w:rPr>
            </w:pPr>
          </w:p>
        </w:tc>
        <w:tc>
          <w:tcPr>
            <w:tcW w:w="682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7,364</w:t>
            </w:r>
          </w:p>
        </w:tc>
        <w:tc>
          <w:tcPr>
            <w:tcW w:w="20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8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changes in operating assets and liabilities can be impacted by the timing of cash flows on large orders, which can cause significant short-term and seasonal fluctuations in inventory, accounts receivables, accounts payable, contract assets and liabilities, and various other operating assets and liabilities. Variability in contract assets and liabilities relates to the timing of billings on construction-type contracts and revenue recognition, which can vary significantly depending on contractual payment terms and build and installation schedules. Balances are also impacted by the sports market seasonality.</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Net cash used in investing activities totaled $19.9 million in the first nine months of fiscal 2019 compared to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investing activities of $1.2 million in the first nine months of fiscal 2018. Marketable securities, net totaled $3.0 million in the first nine months of fiscal 2019 as compared $8.5 million in the first nine months of fiscal 2018. Purchases of property and equipment totaled $14.1 million in the first nine months of fiscal 2019 compared to $10.9 million in the first nine months of fiscal 2018. Proceeds from the sale of property, equipment and other assets totaled $0.3 million in the first nine months of fiscal 2019 compared</w:t>
      </w:r>
    </w:p>
    <w:p>
      <w:pPr>
        <w:sectPr>
          <w:pgSz w:w="11900" w:h="16838" w:orient="portrait"/>
          <w:cols w:equalWidth="0" w:num="1">
            <w:col w:w="11420"/>
          </w:cols>
          <w:pgMar w:left="240" w:top="118"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type w:val="continuous"/>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$2.1 million in the first nine months of fiscal 2018; this was mostly related to the sale of our non-digital division assets in the first nine months of fiscal 2018. During the first nine months of fiscal 2019, we had a net cash outflow of $2.3 million for the acquisition of assets of AJT Systems, Inc.</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w:t>
      </w:r>
      <w:r>
        <w:rPr>
          <w:rFonts w:ascii="Times New Roman" w:cs="Times New Roman" w:eastAsia="Times New Roman" w:hAnsi="Times New Roman"/>
          <w:sz w:val="18"/>
          <w:szCs w:val="18"/>
          <w:color w:val="auto"/>
        </w:rPr>
        <w:t>Net cash used in financing activities was $8.8 million for the nine months ended January 26, 2019 compared to $10.1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same period one year ago. Principal payments on long-term obligations for the nine months ended January 26, 2019 was $0.4 million compared to $1.0 million during the first nine months of fiscal 2018, which was mostly related to a contingent liability payment. Dividends of $9.4 million, or $0.21 per share, were paid to Daktronics shareholders during the first nine months of fiscal 2019, as compared to dividends of $9.3 million, or $0.21 per share, paid to Daktronics shareholders during the first nine months of fiscal 2018. Proceeds from the exercise of stock options for the nine months ended January 26, 2019 were $1.3 million compared to $0.5 million during the first nine months of fiscal 2018.</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Liquidity and Capital Resources Discussion: </w:t>
      </w:r>
      <w:r>
        <w:rPr>
          <w:rFonts w:ascii="Times New Roman" w:cs="Times New Roman" w:eastAsia="Times New Roman" w:hAnsi="Times New Roman"/>
          <w:sz w:val="18"/>
          <w:szCs w:val="18"/>
          <w:color w:val="auto"/>
        </w:rPr>
        <w:t>We had $3.1 million of retainage on long-term contracts included in receivables and contract assets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26, 2019, which we expect to collect within one year.</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Working capital was $135.6 million and $132.8 million at January 26, 2019 and April 28, 2018, respectively. The changes in working capital, particularly changes in accounts receivable, accounts payable, inventory, and contract assets and liabilities, and the seasonality of the sports market can have a significant impact on the amount of net cash provided by operating activities largely due to the timing of payments and receipts. We have historically financed working capital needs through a combination of cash flow from operations and borrowings under bank credit agreements.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used and expect to continue to use cash balances to meet our short-term working capital requirements. On large product orders, the time between order acceptance and project completion may extend up to and exceed 12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15, 2016, we entered into a credit agreement and a related revolving note with a U.S. bank. The agreement and note have a maturity date of November 15, 2019. The revolving amount of the agreement and note is $35.0 million, including up to $15.0 million for commercial and standby letters of credits. The interest rate ranges from LIBOR plus 145 basis points to LIBOR plus 195 basis points depending on the ratio of our interest-bearing debt to EBITDA. EBITDA is defined as net income before deductions for interest expense, income taxes, depreciation and amortization, all as determined in accordance with GAAP. The effective interest rate was 4.0 percent at January 26, 2019. We are assessed a loan fee equal to 0.125 percent per annum on any unused portion of the loan. As of January 26, 2019, there were no advances to us under the loan portion of the line of credit, and the balance of letters of credit outstanding was approximately $11.2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is unsecured and requires us to be in compliance with the following financial ratios:</w:t>
      </w:r>
    </w:p>
    <w:p>
      <w:pPr>
        <w:spacing w:after="0" w:line="27" w:lineRule="exact"/>
        <w:rPr>
          <w:sz w:val="20"/>
          <w:szCs w:val="20"/>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fixed charge coverage ratio of at least 2 to 1 at the end of any fiscal year. The ratio is equal to (a) EBITDA minus the sum of dividends or other distributions (unless the bank approves), share repurchases, a maintenance capital expenditure reserve in the amount of $6.0 million, and income tax to (b) all principal and interest payments with respect to indebtedness, excluding principal payments on the line of credit;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ratio of funded debt, excluding any marketing obligations, to EBITDA of less than 1 to 1 at the end of any fiscal quarter.</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15, 2016, we entered into an amended and restated loan agreement and a continuing and unlimited guaranty agreement with another U.S. bank which supports our credit needs outside of the United States. The loan and guaranty have a maturity date of November 15, 2019. The revolving amount of the loan is $20.0 million. We intend to use the borrowings under the agreement to support credit needs for general corporate purposes outside the United States. This credit agreement is unsecured. It contains the same covenants as the credit agreement on the line of credit and contains an inter creditor agreement whereby the debt has a cross default provision with the primary credit agreement. Total credit allowed between the two credit agreements is limited to $55.0 million. The interest rate is equal to LIBOR plus 1.5 percent. As of January 26, 2019, there were no advances outstanding under the loan agreement and approximately $3.6 million in bank guarantees under this line of credit.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26, 2019, we were in compliance with all applicable bank loan covenants.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utilize cash on hand to pay dividends to our investors. The following table summarizes the quarterly dividends declared and/or paid since the prior fiscal year end of April 28, 2018: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1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20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Amount per Share</w:t>
            </w:r>
          </w:p>
        </w:tc>
      </w:tr>
      <w:tr>
        <w:trPr>
          <w:trHeight w:val="27"/>
        </w:trPr>
        <w:tc>
          <w:tcPr>
            <w:tcW w:w="17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1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31, 2018</w:t>
            </w:r>
          </w:p>
        </w:tc>
        <w:tc>
          <w:tcPr>
            <w:tcW w:w="1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June 11, 2018</w:t>
            </w:r>
          </w:p>
        </w:tc>
        <w:tc>
          <w:tcPr>
            <w:tcW w:w="2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June 21, 2018</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$0.07</w:t>
            </w:r>
          </w:p>
        </w:tc>
      </w:tr>
      <w:tr>
        <w:trPr>
          <w:trHeight w:val="243"/>
        </w:trPr>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6, 2018</w:t>
            </w:r>
          </w:p>
        </w:tc>
        <w:tc>
          <w:tcPr>
            <w:tcW w:w="1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September 17, 2018</w:t>
            </w:r>
          </w:p>
        </w:tc>
        <w:tc>
          <w:tcPr>
            <w:tcW w:w="2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September 27, 2018</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$0.07</w:t>
            </w:r>
          </w:p>
        </w:tc>
      </w:tr>
      <w:tr>
        <w:trPr>
          <w:trHeight w:val="27"/>
        </w:trPr>
        <w:tc>
          <w:tcPr>
            <w:tcW w:w="1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3"/>
        </w:trPr>
        <w:tc>
          <w:tcPr>
            <w:tcW w:w="1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29, 2018</w:t>
            </w:r>
          </w:p>
        </w:tc>
        <w:tc>
          <w:tcPr>
            <w:tcW w:w="1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10, 2018</w:t>
            </w:r>
          </w:p>
        </w:tc>
        <w:tc>
          <w:tcPr>
            <w:tcW w:w="2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20, 2018</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$0.07</w:t>
            </w:r>
          </w:p>
        </w:tc>
      </w:tr>
      <w:tr>
        <w:trPr>
          <w:trHeight w:val="27"/>
        </w:trPr>
        <w:tc>
          <w:tcPr>
            <w:tcW w:w="17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expect to continue to pay dividends for the foreseeable future, the nature and amounts of dividends will be reviewed regularly and declared by the Board of Directors at its discretion.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its loss to Daktronics. At January 26, 2019, we had $6.6 million of bonded work outstanding against this line.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growth and profitability improvement strategies depend on investments in capital expenditures. We are projecting capital expenditures to be less than $20.0 million for fiscal 2019 purchases of manufacturing equipment for new or enhanced product production, expanded capacity, investments in quality and reliability equipment, and continued information infrastructure investments.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working capital available from all sources will be adequate to meet the cash requirements of our operations in the foreseeable future. If our growth extends beyond current expectations, profitability does not continue, or if we make any strategic investments, we may need to increase our credit facilities or seek other means of financing. We anticipate we will be able to obtain any needed funds under commercially reasonable terms from our current lenders or other sources, although this availability cannot be guaranteed.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our off-balance sheet arrangements and contractual obligations since the fiscal year ended April 28, 2018. For additional information, see our Annual Report on Form 10-K for the fiscal year ended April 28,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describe our significant accounting policies in "Note 1. Nature of Business and Summary of Significant Accounting Policies" of the Notes to Consolidated Financial Statements included in our Annual Report on Form 10-K for the fiscal year ended April 28, 2018. We discuss our critical accounting estimates in "Part II, Item 7. Management’s Discussion and Analysis of Financial Condition and Results of Operations" in our Annual Report on Form 10-K for the fiscal year ended April 28, 2018. In the first quarter of fiscal 2019, we adopted new revenue recognition guidance, as described in "Note 1. Basis of Presentation" of the Notes to the Condensed Consolidated Financial Statements included elsewhere in this Report. There have been no other significant changes in our significant accounting policies or critical accounting estimates since the end of fiscal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elsewhere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interest rate, foreign currency, and commodity risks as disclosed in our Annual Report on Form 10-K for the fiscal year ended April 28, 2018. There have been no material changes in our exposure to these risks during the first nine months of fiscal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January 26, 2019, which is the end of the period covered by this Report. Based upon that evaluation, the Chief Executive Officer and Chief Financial Officer concluded that as of January 26, 2019, our disclosure controls and procedures were effective.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evaluation described in the foregoing paragraph, our Chief Executive Officer and Chief Financial Officer concluded that during the quarter ended January 26, 2019, there was no change in our internal control over financial reporting which has materially affected, or is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our business and operations included in this Quarterly Report on Form 10-Q should be read together with the risk factors described in Item 1A. of our Annual Report on Form 10-K for the fiscal year ended April 28, 2018.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January 26, 2019, we did not repurchase any shares of our common stock.</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list of exhibits required to be filed as part of this report is set forth in the Index of Exhibits, which immediately precedes such exhibits, and is incorporated herein by reference.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u w:val="single" w:color="auto"/>
          <w:color w:val="auto"/>
        </w:rPr>
        <w:t>/s/ Sheila M. Anderson</w:t>
      </w:r>
    </w:p>
    <w:p>
      <w:pPr>
        <w:spacing w:after="0" w:line="6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Daktronics, Inc.</w:t>
      </w:r>
    </w:p>
    <w:p>
      <w:pPr>
        <w:spacing w:after="0" w:line="6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6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6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6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Date: February 22,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88" w:lineRule="exact"/>
        <w:rPr>
          <w:sz w:val="20"/>
          <w:szCs w:val="20"/>
          <w:color w:val="auto"/>
        </w:rPr>
      </w:pPr>
    </w:p>
    <w:p>
      <w:pPr>
        <w:ind w:left="720" w:right="40" w:hanging="688"/>
        <w:spacing w:after="0" w:line="282" w:lineRule="auto"/>
        <w:tabs>
          <w:tab w:leader="none" w:pos="700" w:val="left"/>
        </w:tabs>
        <w:rPr>
          <w:rFonts w:ascii="Times New Roman" w:cs="Times New Roman" w:eastAsia="Times New Roman" w:hAnsi="Times New Roman"/>
          <w:sz w:val="18"/>
          <w:szCs w:val="18"/>
          <w:u w:val="single" w:color="auto"/>
          <w:color w:val="0000FF"/>
        </w:rPr>
      </w:pPr>
      <w:hyperlink r:id="rId17">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u w:val="single" w:color="auto"/>
          <w:color w:val="0000FF"/>
        </w:rPr>
        <w:tab/>
      </w:r>
      <w:hyperlink r:id="rId17">
        <w:r>
          <w:rPr>
            <w:rFonts w:ascii="Times New Roman" w:cs="Times New Roman" w:eastAsia="Times New Roman" w:hAnsi="Times New Roman"/>
            <w:sz w:val="18"/>
            <w:szCs w:val="18"/>
            <w:u w:val="single" w:color="auto"/>
            <w:color w:val="0000FF"/>
          </w:rPr>
          <w:t>Amended and Restated Articles of Incorporation of the Company. (Incorporated by reference to Exhibit 3.1 of the Current Report on Form 10-Q/A</w:t>
        </w:r>
      </w:hyperlink>
      <w:r>
        <w:rPr>
          <w:rFonts w:ascii="Times New Roman" w:cs="Times New Roman" w:eastAsia="Times New Roman" w:hAnsi="Times New Roman"/>
          <w:sz w:val="18"/>
          <w:szCs w:val="18"/>
          <w:u w:val="single" w:color="auto"/>
          <w:color w:val="0000FF"/>
        </w:rPr>
        <w:t xml:space="preserve"> </w:t>
      </w:r>
      <w:hyperlink r:id="rId17">
        <w:r>
          <w:rPr>
            <w:rFonts w:ascii="Times New Roman" w:cs="Times New Roman" w:eastAsia="Times New Roman" w:hAnsi="Times New Roman"/>
            <w:sz w:val="18"/>
            <w:szCs w:val="18"/>
            <w:u w:val="single" w:color="auto"/>
            <w:color w:val="0000FF"/>
          </w:rPr>
          <w:t>(Amendment No. 1) of Daktronics, Inc. filed on December 21, 2018).</w:t>
        </w:r>
      </w:hyperlink>
    </w:p>
    <w:p>
      <w:pPr>
        <w:spacing w:after="0" w:line="216" w:lineRule="exact"/>
        <w:rPr>
          <w:rFonts w:ascii="Times New Roman" w:cs="Times New Roman" w:eastAsia="Times New Roman" w:hAnsi="Times New Roman"/>
          <w:sz w:val="18"/>
          <w:szCs w:val="18"/>
          <w:u w:val="single" w:color="auto"/>
          <w:color w:val="0000FF"/>
        </w:rPr>
      </w:pPr>
    </w:p>
    <w:p>
      <w:pPr>
        <w:ind w:left="40"/>
        <w:spacing w:after="0"/>
        <w:tabs>
          <w:tab w:leader="none" w:pos="700" w:val="left"/>
        </w:tabs>
        <w:rPr>
          <w:rFonts w:ascii="Times New Roman" w:cs="Times New Roman" w:eastAsia="Times New Roman" w:hAnsi="Times New Roman"/>
          <w:sz w:val="18"/>
          <w:szCs w:val="18"/>
          <w:u w:val="single" w:color="auto"/>
          <w:color w:val="0000FF"/>
        </w:rPr>
      </w:pPr>
      <w:hyperlink r:id="rId18">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18">
        <w:r>
          <w:rPr>
            <w:rFonts w:ascii="Times New Roman" w:cs="Times New Roman" w:eastAsia="Times New Roman" w:hAnsi="Times New Roman"/>
            <w:sz w:val="18"/>
            <w:szCs w:val="18"/>
            <w:u w:val="single" w:color="auto"/>
            <w:color w:val="0000FF"/>
          </w:rPr>
          <w:t>Amended and Restated Bylaws of the Company (Incorporated by reference to Exhibit 3.4 filed with our Annual Report on Form 10-K on June 12,</w:t>
        </w:r>
      </w:hyperlink>
    </w:p>
    <w:p>
      <w:pPr>
        <w:spacing w:after="0" w:line="27" w:lineRule="exact"/>
        <w:rPr>
          <w:sz w:val="20"/>
          <w:szCs w:val="20"/>
          <w:color w:val="auto"/>
        </w:rPr>
      </w:pPr>
    </w:p>
    <w:p>
      <w:pPr>
        <w:ind w:left="720"/>
        <w:spacing w:after="0"/>
        <w:rPr>
          <w:rFonts w:ascii="Times New Roman" w:cs="Times New Roman" w:eastAsia="Times New Roman" w:hAnsi="Times New Roman"/>
          <w:sz w:val="18"/>
          <w:szCs w:val="18"/>
          <w:u w:val="single" w:color="auto"/>
          <w:color w:val="0000FF"/>
        </w:rPr>
      </w:pPr>
      <w:hyperlink r:id="rId18">
        <w:r>
          <w:rPr>
            <w:rFonts w:ascii="Times New Roman" w:cs="Times New Roman" w:eastAsia="Times New Roman" w:hAnsi="Times New Roman"/>
            <w:sz w:val="18"/>
            <w:szCs w:val="18"/>
            <w:u w:val="single" w:color="auto"/>
            <w:color w:val="0000FF"/>
          </w:rPr>
          <w:t>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 w:lineRule="exact"/>
        <w:rPr>
          <w:sz w:val="20"/>
          <w:szCs w:val="20"/>
          <w:color w:val="auto"/>
        </w:rPr>
      </w:pPr>
    </w:p>
    <w:p>
      <w:pPr>
        <w:ind w:left="720" w:right="40" w:hanging="688"/>
        <w:spacing w:after="0" w:line="281" w:lineRule="auto"/>
        <w:tabs>
          <w:tab w:leader="none" w:pos="700" w:val="left"/>
        </w:tabs>
        <w:rPr>
          <w:rFonts w:ascii="Times New Roman" w:cs="Times New Roman" w:eastAsia="Times New Roman" w:hAnsi="Times New Roman"/>
          <w:sz w:val="18"/>
          <w:szCs w:val="18"/>
          <w:u w:val="single" w:color="auto"/>
          <w:color w:val="0000FF"/>
        </w:rPr>
      </w:pPr>
      <w:hyperlink r:id="rId20">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u w:val="single" w:color="auto"/>
          <w:color w:val="0000FF"/>
        </w:rPr>
        <w:tab/>
      </w:r>
      <w:hyperlink r:id="rId20">
        <w:r>
          <w:rPr>
            <w:rFonts w:ascii="Times New Roman" w:cs="Times New Roman" w:eastAsia="Times New Roman" w:hAnsi="Times New Roman"/>
            <w:sz w:val="18"/>
            <w:szCs w:val="18"/>
            <w:u w:val="single" w:color="auto"/>
            <w:color w:val="0000FF"/>
          </w:rPr>
          <w:t>Rights Agreement dated as of November 16, 2018 between Daktronics, Inc. and Equiniti Trust Company, as Rights Agent (Incorporated by</w:t>
        </w:r>
      </w:hyperlink>
      <w:r>
        <w:rPr>
          <w:rFonts w:ascii="Times New Roman" w:cs="Times New Roman" w:eastAsia="Times New Roman" w:hAnsi="Times New Roman"/>
          <w:sz w:val="18"/>
          <w:szCs w:val="18"/>
          <w:u w:val="single" w:color="auto"/>
          <w:color w:val="0000FF"/>
        </w:rPr>
        <w:t xml:space="preserve"> </w:t>
      </w:r>
      <w:hyperlink r:id="rId20">
        <w:r>
          <w:rPr>
            <w:rFonts w:ascii="Times New Roman" w:cs="Times New Roman" w:eastAsia="Times New Roman" w:hAnsi="Times New Roman"/>
            <w:sz w:val="18"/>
            <w:szCs w:val="18"/>
            <w:u w:val="single" w:color="auto"/>
            <w:color w:val="0000FF"/>
          </w:rPr>
          <w:t>reference to Exhibit 4.1 of the Current Report on Form 8-K of Daktronics, Inc. filed on November 16, 2018).</w:t>
        </w:r>
      </w:hyperlink>
    </w:p>
    <w:p>
      <w:pPr>
        <w:spacing w:after="0" w:line="2" w:lineRule="exact"/>
        <w:rPr>
          <w:rFonts w:ascii="Times New Roman" w:cs="Times New Roman" w:eastAsia="Times New Roman" w:hAnsi="Times New Roman"/>
          <w:sz w:val="18"/>
          <w:szCs w:val="18"/>
          <w:u w:val="single" w:color="auto"/>
          <w:color w:val="0000FF"/>
        </w:rPr>
      </w:pPr>
    </w:p>
    <w:p>
      <w:pPr>
        <w:ind w:left="720" w:right="40" w:hanging="688"/>
        <w:spacing w:after="0" w:line="281" w:lineRule="auto"/>
        <w:tabs>
          <w:tab w:leader="none" w:pos="700" w:val="left"/>
        </w:tabs>
        <w:rPr>
          <w:rFonts w:ascii="Times New Roman" w:cs="Times New Roman" w:eastAsia="Times New Roman" w:hAnsi="Times New Roman"/>
          <w:sz w:val="18"/>
          <w:szCs w:val="18"/>
          <w:u w:val="single" w:color="auto"/>
          <w:color w:val="0000FF"/>
        </w:rPr>
      </w:pPr>
      <w:hyperlink r:id="rId21">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21">
        <w:r>
          <w:rPr>
            <w:rFonts w:ascii="Times New Roman" w:cs="Times New Roman" w:eastAsia="Times New Roman" w:hAnsi="Times New Roman"/>
            <w:sz w:val="18"/>
            <w:szCs w:val="18"/>
            <w:u w:val="single" w:color="auto"/>
            <w:color w:val="0000FF"/>
          </w:rPr>
          <w:t>Credit Agreement dated November 15, 2016 by and between the Company and U.S. Bank National Association (Incorporated by reference to</w:t>
        </w:r>
      </w:hyperlink>
      <w:r>
        <w:rPr>
          <w:rFonts w:ascii="Times New Roman" w:cs="Times New Roman" w:eastAsia="Times New Roman" w:hAnsi="Times New Roman"/>
          <w:sz w:val="18"/>
          <w:szCs w:val="18"/>
          <w:u w:val="single" w:color="auto"/>
          <w:color w:val="0000FF"/>
        </w:rPr>
        <w:t xml:space="preserve"> </w:t>
      </w:r>
      <w:hyperlink r:id="rId21">
        <w:r>
          <w:rPr>
            <w:rFonts w:ascii="Times New Roman" w:cs="Times New Roman" w:eastAsia="Times New Roman" w:hAnsi="Times New Roman"/>
            <w:sz w:val="18"/>
            <w:szCs w:val="18"/>
            <w:u w:val="single" w:color="auto"/>
            <w:color w:val="0000FF"/>
          </w:rPr>
          <w:t>Exhibit 10.1 filed with our Current Report on Form 8-K filed on November 16, 2016).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81" w:lineRule="auto"/>
        <w:tabs>
          <w:tab w:leader="none" w:pos="700" w:val="left"/>
        </w:tabs>
        <w:rPr>
          <w:rFonts w:ascii="Times New Roman" w:cs="Times New Roman" w:eastAsia="Times New Roman" w:hAnsi="Times New Roman"/>
          <w:sz w:val="18"/>
          <w:szCs w:val="18"/>
          <w:u w:val="single" w:color="auto"/>
          <w:color w:val="0000FF"/>
        </w:rPr>
      </w:pPr>
      <w:hyperlink r:id="rId23">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u w:val="single" w:color="auto"/>
          <w:color w:val="0000FF"/>
        </w:rPr>
        <w:tab/>
      </w:r>
      <w:hyperlink r:id="rId23">
        <w:r>
          <w:rPr>
            <w:rFonts w:ascii="Times New Roman" w:cs="Times New Roman" w:eastAsia="Times New Roman" w:hAnsi="Times New Roman"/>
            <w:sz w:val="18"/>
            <w:szCs w:val="18"/>
            <w:u w:val="single" w:color="auto"/>
            <w:color w:val="0000FF"/>
          </w:rPr>
          <w:t>Revolving Note dated November 15, 2016 issued by the Company to U.S. Bank National Association (Incorporated by reference to Exhibit 10.2</w:t>
        </w:r>
      </w:hyperlink>
      <w:r>
        <w:rPr>
          <w:rFonts w:ascii="Times New Roman" w:cs="Times New Roman" w:eastAsia="Times New Roman" w:hAnsi="Times New Roman"/>
          <w:sz w:val="18"/>
          <w:szCs w:val="18"/>
          <w:u w:val="single" w:color="auto"/>
          <w:color w:val="0000FF"/>
        </w:rPr>
        <w:t xml:space="preserve"> </w:t>
      </w:r>
      <w:hyperlink r:id="rId23">
        <w:r>
          <w:rPr>
            <w:rFonts w:ascii="Times New Roman" w:cs="Times New Roman" w:eastAsia="Times New Roman" w:hAnsi="Times New Roman"/>
            <w:sz w:val="18"/>
            <w:szCs w:val="18"/>
            <w:u w:val="single" w:color="auto"/>
            <w:color w:val="0000FF"/>
          </w:rPr>
          <w:t>filed with our Current Report on Form 8-K filed on November 16, 2016).</w:t>
        </w:r>
      </w:hyperlink>
    </w:p>
    <w:p>
      <w:pPr>
        <w:spacing w:after="0" w:line="2" w:lineRule="exact"/>
        <w:rPr>
          <w:rFonts w:ascii="Times New Roman" w:cs="Times New Roman" w:eastAsia="Times New Roman" w:hAnsi="Times New Roman"/>
          <w:sz w:val="18"/>
          <w:szCs w:val="18"/>
          <w:u w:val="single" w:color="auto"/>
          <w:color w:val="0000FF"/>
        </w:rPr>
      </w:pPr>
    </w:p>
    <w:p>
      <w:pPr>
        <w:ind w:left="720" w:right="40" w:hanging="688"/>
        <w:spacing w:after="0" w:line="281" w:lineRule="auto"/>
        <w:tabs>
          <w:tab w:leader="none" w:pos="700" w:val="left"/>
        </w:tabs>
        <w:rPr>
          <w:rFonts w:ascii="Times New Roman" w:cs="Times New Roman" w:eastAsia="Times New Roman" w:hAnsi="Times New Roman"/>
          <w:sz w:val="18"/>
          <w:szCs w:val="18"/>
          <w:u w:val="single" w:color="auto"/>
          <w:color w:val="0000FF"/>
        </w:rPr>
      </w:pPr>
      <w:hyperlink r:id="rId24">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u w:val="single" w:color="auto"/>
          <w:color w:val="0000FF"/>
        </w:rPr>
        <w:tab/>
      </w:r>
      <w:hyperlink r:id="rId24">
        <w:r>
          <w:rPr>
            <w:rFonts w:ascii="Times New Roman" w:cs="Times New Roman" w:eastAsia="Times New Roman" w:hAnsi="Times New Roman"/>
            <w:sz w:val="18"/>
            <w:szCs w:val="18"/>
            <w:u w:val="single" w:color="auto"/>
            <w:color w:val="0000FF"/>
          </w:rPr>
          <w:t>Amended and Restated Loan Agreement dated November 15, 2016 by and between the Company and Bank of America, N.A. (Incorporated by</w:t>
        </w:r>
      </w:hyperlink>
      <w:r>
        <w:rPr>
          <w:rFonts w:ascii="Times New Roman" w:cs="Times New Roman" w:eastAsia="Times New Roman" w:hAnsi="Times New Roman"/>
          <w:sz w:val="18"/>
          <w:szCs w:val="18"/>
          <w:u w:val="single" w:color="auto"/>
          <w:color w:val="0000FF"/>
        </w:rPr>
        <w:t xml:space="preserve"> </w:t>
      </w:r>
      <w:hyperlink r:id="rId24">
        <w:r>
          <w:rPr>
            <w:rFonts w:ascii="Times New Roman" w:cs="Times New Roman" w:eastAsia="Times New Roman" w:hAnsi="Times New Roman"/>
            <w:sz w:val="18"/>
            <w:szCs w:val="18"/>
            <w:u w:val="single" w:color="auto"/>
            <w:color w:val="0000FF"/>
          </w:rPr>
          <w:t>reference to Exhibit 10.3 filed with our Current Report on Form 8-K filed on November 16, 2016).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81" w:lineRule="auto"/>
        <w:tabs>
          <w:tab w:leader="none" w:pos="700" w:val="left"/>
        </w:tabs>
        <w:rPr>
          <w:rFonts w:ascii="Times New Roman" w:cs="Times New Roman" w:eastAsia="Times New Roman" w:hAnsi="Times New Roman"/>
          <w:sz w:val="18"/>
          <w:szCs w:val="18"/>
          <w:u w:val="single" w:color="auto"/>
          <w:color w:val="0000FF"/>
        </w:rPr>
      </w:pPr>
      <w:hyperlink r:id="rId26">
        <w:r>
          <w:rPr>
            <w:rFonts w:ascii="Times New Roman" w:cs="Times New Roman" w:eastAsia="Times New Roman" w:hAnsi="Times New Roman"/>
            <w:sz w:val="18"/>
            <w:szCs w:val="18"/>
            <w:u w:val="single" w:color="auto"/>
            <w:color w:val="0000FF"/>
          </w:rPr>
          <w:t>10.4</w:t>
        </w:r>
      </w:hyperlink>
      <w:r>
        <w:rPr>
          <w:rFonts w:ascii="Times New Roman" w:cs="Times New Roman" w:eastAsia="Times New Roman" w:hAnsi="Times New Roman"/>
          <w:sz w:val="18"/>
          <w:szCs w:val="18"/>
          <w:u w:val="single" w:color="auto"/>
          <w:color w:val="0000FF"/>
        </w:rPr>
        <w:tab/>
      </w:r>
      <w:hyperlink r:id="rId26">
        <w:r>
          <w:rPr>
            <w:rFonts w:ascii="Times New Roman" w:cs="Times New Roman" w:eastAsia="Times New Roman" w:hAnsi="Times New Roman"/>
            <w:sz w:val="18"/>
            <w:szCs w:val="18"/>
            <w:u w:val="single" w:color="auto"/>
            <w:color w:val="0000FF"/>
          </w:rPr>
          <w:t>Continuing and Unconditional Guaranty dated November 15, 2016 by and between the Company and Bank of America, N.A. (Incorporated by</w:t>
        </w:r>
      </w:hyperlink>
      <w:r>
        <w:rPr>
          <w:rFonts w:ascii="Times New Roman" w:cs="Times New Roman" w:eastAsia="Times New Roman" w:hAnsi="Times New Roman"/>
          <w:sz w:val="18"/>
          <w:szCs w:val="18"/>
          <w:u w:val="single" w:color="auto"/>
          <w:color w:val="0000FF"/>
        </w:rPr>
        <w:t xml:space="preserve"> </w:t>
      </w:r>
      <w:hyperlink r:id="rId26">
        <w:r>
          <w:rPr>
            <w:rFonts w:ascii="Times New Roman" w:cs="Times New Roman" w:eastAsia="Times New Roman" w:hAnsi="Times New Roman"/>
            <w:sz w:val="18"/>
            <w:szCs w:val="18"/>
            <w:u w:val="single" w:color="auto"/>
            <w:color w:val="0000FF"/>
          </w:rPr>
          <w:t>reference to Exhibit 10.4 filed with our Current Report on Form 8-K filed on November 16, 2016).</w:t>
        </w:r>
      </w:hyperlink>
    </w:p>
    <w:p>
      <w:pPr>
        <w:spacing w:after="0" w:line="2" w:lineRule="exact"/>
        <w:rPr>
          <w:rFonts w:ascii="Times New Roman" w:cs="Times New Roman" w:eastAsia="Times New Roman" w:hAnsi="Times New Roman"/>
          <w:sz w:val="18"/>
          <w:szCs w:val="18"/>
          <w:u w:val="single" w:color="auto"/>
          <w:color w:val="0000FF"/>
        </w:rPr>
      </w:pPr>
    </w:p>
    <w:p>
      <w:pPr>
        <w:ind w:left="720" w:right="40" w:hanging="688"/>
        <w:spacing w:after="0" w:line="281" w:lineRule="auto"/>
        <w:tabs>
          <w:tab w:leader="none" w:pos="700" w:val="left"/>
        </w:tabs>
        <w:rPr>
          <w:rFonts w:ascii="Times New Roman" w:cs="Times New Roman" w:eastAsia="Times New Roman" w:hAnsi="Times New Roman"/>
          <w:sz w:val="18"/>
          <w:szCs w:val="18"/>
          <w:u w:val="single" w:color="auto"/>
          <w:color w:val="0000FF"/>
        </w:rPr>
      </w:pPr>
      <w:hyperlink r:id="rId27">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u w:val="single" w:color="auto"/>
          <w:color w:val="0000FF"/>
        </w:rPr>
        <w:tab/>
      </w:r>
      <w:hyperlink r:id="rId27">
        <w:r>
          <w:rPr>
            <w:rFonts w:ascii="Times New Roman" w:cs="Times New Roman" w:eastAsia="Times New Roman" w:hAnsi="Times New Roman"/>
            <w:sz w:val="18"/>
            <w:szCs w:val="18"/>
            <w:u w:val="single" w:color="auto"/>
            <w:color w:val="0000FF"/>
          </w:rPr>
          <w:t>Amended and Restated Loan Agreement dated May 5, 2017 by and between the Company and Bank of America, N.A. (Incorporated by reference</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to Exhibit 10.6 filed with our Annual Report on Form 10-K filed on June 9, 2017).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81" w:lineRule="auto"/>
        <w:tabs>
          <w:tab w:leader="none" w:pos="700" w:val="left"/>
        </w:tabs>
        <w:rPr>
          <w:rFonts w:ascii="Times New Roman" w:cs="Times New Roman" w:eastAsia="Times New Roman" w:hAnsi="Times New Roman"/>
          <w:sz w:val="18"/>
          <w:szCs w:val="18"/>
          <w:u w:val="single" w:color="auto"/>
          <w:color w:val="0000FF"/>
        </w:rPr>
      </w:pPr>
      <w:hyperlink r:id="rId29">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u w:val="single" w:color="auto"/>
          <w:color w:val="0000FF"/>
        </w:rPr>
        <w:tab/>
      </w:r>
      <w:hyperlink r:id="rId29">
        <w:r>
          <w:rPr>
            <w:rFonts w:ascii="Times New Roman" w:cs="Times New Roman" w:eastAsia="Times New Roman" w:hAnsi="Times New Roman"/>
            <w:sz w:val="18"/>
            <w:szCs w:val="18"/>
            <w:u w:val="single" w:color="auto"/>
            <w:color w:val="0000FF"/>
          </w:rPr>
          <w:t>Daktronics, Inc. 2015 Stock Incentive Plan ("2015 Plan"). (Incorporated by reference to Exhibit A to the Company's Definitive Proxy Statement on</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Schedule 14A filed on July 14, 2015).</w:t>
        </w:r>
      </w:hyperlink>
    </w:p>
    <w:p>
      <w:pPr>
        <w:spacing w:after="0" w:line="2" w:lineRule="exact"/>
        <w:rPr>
          <w:rFonts w:ascii="Times New Roman" w:cs="Times New Roman" w:eastAsia="Times New Roman" w:hAnsi="Times New Roman"/>
          <w:sz w:val="18"/>
          <w:szCs w:val="18"/>
          <w:u w:val="single" w:color="auto"/>
          <w:color w:val="0000FF"/>
        </w:rPr>
      </w:pPr>
    </w:p>
    <w:p>
      <w:pPr>
        <w:ind w:left="40"/>
        <w:spacing w:after="0"/>
        <w:tabs>
          <w:tab w:leader="none" w:pos="700" w:val="left"/>
        </w:tabs>
        <w:rPr>
          <w:rFonts w:ascii="Times New Roman" w:cs="Times New Roman" w:eastAsia="Times New Roman" w:hAnsi="Times New Roman"/>
          <w:sz w:val="18"/>
          <w:szCs w:val="18"/>
          <w:u w:val="single" w:color="auto"/>
          <w:color w:val="0000FF"/>
        </w:rPr>
      </w:pPr>
      <w:hyperlink r:id="rId30">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u w:val="single" w:color="auto"/>
          <w:color w:val="0000FF"/>
        </w:rPr>
        <w:tab/>
      </w:r>
      <w:hyperlink r:id="rId30">
        <w:r>
          <w:rPr>
            <w:rFonts w:ascii="Times New Roman" w:cs="Times New Roman" w:eastAsia="Times New Roman" w:hAnsi="Times New Roman"/>
            <w:sz w:val="18"/>
            <w:szCs w:val="18"/>
            <w:u w:val="single" w:color="auto"/>
            <w:color w:val="0000FF"/>
          </w:rPr>
          <w:t>Form of Restricted Stock Award Agreement under the 2015 Plan (Incorporated by reference to Exhibit 10.2 filed with our Current Report on Form</w:t>
        </w:r>
      </w:hyperlink>
    </w:p>
    <w:p>
      <w:pPr>
        <w:spacing w:after="0" w:line="27" w:lineRule="exact"/>
        <w:rPr>
          <w:sz w:val="20"/>
          <w:szCs w:val="20"/>
          <w:color w:val="auto"/>
        </w:rPr>
      </w:pPr>
    </w:p>
    <w:p>
      <w:pPr>
        <w:ind w:left="720"/>
        <w:spacing w:after="0"/>
        <w:rPr>
          <w:rFonts w:ascii="Times New Roman" w:cs="Times New Roman" w:eastAsia="Times New Roman" w:hAnsi="Times New Roman"/>
          <w:sz w:val="18"/>
          <w:szCs w:val="18"/>
          <w:u w:val="single" w:color="auto"/>
          <w:color w:val="0000FF"/>
        </w:rPr>
      </w:pPr>
      <w:hyperlink r:id="rId30">
        <w:r>
          <w:rPr>
            <w:rFonts w:ascii="Times New Roman" w:cs="Times New Roman" w:eastAsia="Times New Roman" w:hAnsi="Times New Roman"/>
            <w:sz w:val="18"/>
            <w:szCs w:val="18"/>
            <w:u w:val="single" w:color="auto"/>
            <w:color w:val="0000FF"/>
          </w:rPr>
          <w:t>8-K on September 3,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 w:lineRule="exact"/>
        <w:rPr>
          <w:sz w:val="20"/>
          <w:szCs w:val="20"/>
          <w:color w:val="auto"/>
        </w:rPr>
      </w:pPr>
    </w:p>
    <w:p>
      <w:pPr>
        <w:ind w:left="720" w:right="40" w:hanging="688"/>
        <w:spacing w:after="0" w:line="281" w:lineRule="auto"/>
        <w:tabs>
          <w:tab w:leader="none" w:pos="700" w:val="left"/>
        </w:tabs>
        <w:rPr>
          <w:rFonts w:ascii="Times New Roman" w:cs="Times New Roman" w:eastAsia="Times New Roman" w:hAnsi="Times New Roman"/>
          <w:sz w:val="18"/>
          <w:szCs w:val="18"/>
          <w:u w:val="single" w:color="auto"/>
          <w:color w:val="0000FF"/>
        </w:rPr>
      </w:pPr>
      <w:hyperlink r:id="rId32">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u w:val="single" w:color="auto"/>
          <w:color w:val="0000FF"/>
        </w:rPr>
        <w:tab/>
      </w:r>
      <w:hyperlink r:id="rId32">
        <w:r>
          <w:rPr>
            <w:rFonts w:ascii="Times New Roman" w:cs="Times New Roman" w:eastAsia="Times New Roman" w:hAnsi="Times New Roman"/>
            <w:sz w:val="18"/>
            <w:szCs w:val="18"/>
            <w:u w:val="single" w:color="auto"/>
            <w:color w:val="0000FF"/>
          </w:rPr>
          <w:t>Form of Non-Qualified Stock Option Agreement Terms and Conditions under the 2015 Plan (Incorporated by reference to Exhibit 10.3 filed with</w:t>
        </w:r>
      </w:hyperlink>
      <w:r>
        <w:rPr>
          <w:rFonts w:ascii="Times New Roman" w:cs="Times New Roman" w:eastAsia="Times New Roman" w:hAnsi="Times New Roman"/>
          <w:sz w:val="18"/>
          <w:szCs w:val="18"/>
          <w:u w:val="single" w:color="auto"/>
          <w:color w:val="0000FF"/>
        </w:rPr>
        <w:t xml:space="preserve"> </w:t>
      </w:r>
      <w:hyperlink r:id="rId32">
        <w:r>
          <w:rPr>
            <w:rFonts w:ascii="Times New Roman" w:cs="Times New Roman" w:eastAsia="Times New Roman" w:hAnsi="Times New Roman"/>
            <w:sz w:val="18"/>
            <w:szCs w:val="18"/>
            <w:u w:val="single" w:color="auto"/>
            <w:color w:val="0000FF"/>
          </w:rPr>
          <w:t>our Current Report on Form 8-K on September 3, 2015).</w:t>
        </w:r>
      </w:hyperlink>
    </w:p>
    <w:p>
      <w:pPr>
        <w:spacing w:after="0" w:line="2" w:lineRule="exact"/>
        <w:rPr>
          <w:rFonts w:ascii="Times New Roman" w:cs="Times New Roman" w:eastAsia="Times New Roman" w:hAnsi="Times New Roman"/>
          <w:sz w:val="18"/>
          <w:szCs w:val="18"/>
          <w:u w:val="single" w:color="auto"/>
          <w:color w:val="0000FF"/>
        </w:rPr>
      </w:pPr>
    </w:p>
    <w:p>
      <w:pPr>
        <w:ind w:left="720" w:right="40" w:hanging="688"/>
        <w:spacing w:after="0" w:line="281" w:lineRule="auto"/>
        <w:tabs>
          <w:tab w:leader="none" w:pos="700" w:val="left"/>
        </w:tabs>
        <w:rPr>
          <w:rFonts w:ascii="Times New Roman" w:cs="Times New Roman" w:eastAsia="Times New Roman" w:hAnsi="Times New Roman"/>
          <w:sz w:val="18"/>
          <w:szCs w:val="18"/>
          <w:u w:val="single" w:color="auto"/>
          <w:color w:val="0000FF"/>
        </w:rPr>
      </w:pPr>
      <w:hyperlink r:id="rId33">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u w:val="single" w:color="auto"/>
          <w:color w:val="0000FF"/>
        </w:rPr>
        <w:tab/>
      </w:r>
      <w:hyperlink r:id="rId33">
        <w:r>
          <w:rPr>
            <w:rFonts w:ascii="Times New Roman" w:cs="Times New Roman" w:eastAsia="Times New Roman" w:hAnsi="Times New Roman"/>
            <w:sz w:val="18"/>
            <w:szCs w:val="18"/>
            <w:u w:val="single" w:color="auto"/>
            <w:color w:val="0000FF"/>
          </w:rPr>
          <w:t>Form of Incentive Stock Option Terms and Conditions under the 2015 Plan (Incorporated by reference to Exhibit 10.4 filed with our Current Report</w:t>
        </w:r>
      </w:hyperlink>
      <w:r>
        <w:rPr>
          <w:rFonts w:ascii="Times New Roman" w:cs="Times New Roman" w:eastAsia="Times New Roman" w:hAnsi="Times New Roman"/>
          <w:sz w:val="18"/>
          <w:szCs w:val="18"/>
          <w:u w:val="single" w:color="auto"/>
          <w:color w:val="0000FF"/>
        </w:rPr>
        <w:t xml:space="preserve"> </w:t>
      </w:r>
      <w:hyperlink r:id="rId33">
        <w:r>
          <w:rPr>
            <w:rFonts w:ascii="Times New Roman" w:cs="Times New Roman" w:eastAsia="Times New Roman" w:hAnsi="Times New Roman"/>
            <w:sz w:val="18"/>
            <w:szCs w:val="18"/>
            <w:u w:val="single" w:color="auto"/>
            <w:color w:val="0000FF"/>
          </w:rPr>
          <w:t>on Form 8-K on September 3, 2015).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81" w:lineRule="auto"/>
        <w:tabs>
          <w:tab w:leader="none" w:pos="700" w:val="left"/>
        </w:tabs>
        <w:rPr>
          <w:rFonts w:ascii="Times New Roman" w:cs="Times New Roman" w:eastAsia="Times New Roman" w:hAnsi="Times New Roman"/>
          <w:sz w:val="18"/>
          <w:szCs w:val="18"/>
          <w:u w:val="single" w:color="auto"/>
          <w:color w:val="0000FF"/>
        </w:rPr>
      </w:pPr>
      <w:hyperlink r:id="rId35">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u w:val="single" w:color="auto"/>
          <w:color w:val="0000FF"/>
        </w:rPr>
        <w:tab/>
      </w:r>
      <w:hyperlink r:id="rId35">
        <w:r>
          <w:rPr>
            <w:rFonts w:ascii="Times New Roman" w:cs="Times New Roman" w:eastAsia="Times New Roman" w:hAnsi="Times New Roman"/>
            <w:sz w:val="18"/>
            <w:szCs w:val="18"/>
            <w:u w:val="single" w:color="auto"/>
            <w:color w:val="0000FF"/>
          </w:rPr>
          <w:t>Form of Restricted Stock Unit Terms and Conditions under the 2015 Plan (Incorporated by reference to Exhibit 10.5 filed with our Current Report</w:t>
        </w:r>
      </w:hyperlink>
      <w:r>
        <w:rPr>
          <w:rFonts w:ascii="Times New Roman" w:cs="Times New Roman" w:eastAsia="Times New Roman" w:hAnsi="Times New Roman"/>
          <w:sz w:val="18"/>
          <w:szCs w:val="18"/>
          <w:u w:val="single" w:color="auto"/>
          <w:color w:val="0000FF"/>
        </w:rPr>
        <w:t xml:space="preserve"> </w:t>
      </w:r>
      <w:hyperlink r:id="rId35">
        <w:r>
          <w:rPr>
            <w:rFonts w:ascii="Times New Roman" w:cs="Times New Roman" w:eastAsia="Times New Roman" w:hAnsi="Times New Roman"/>
            <w:sz w:val="18"/>
            <w:szCs w:val="18"/>
            <w:u w:val="single" w:color="auto"/>
            <w:color w:val="0000FF"/>
          </w:rPr>
          <w:t>on Form 8-K on September 3, 2015).</w:t>
        </w:r>
      </w:hyperlink>
    </w:p>
    <w:p>
      <w:pPr>
        <w:spacing w:after="0" w:line="2" w:lineRule="exact"/>
        <w:rPr>
          <w:rFonts w:ascii="Times New Roman" w:cs="Times New Roman" w:eastAsia="Times New Roman" w:hAnsi="Times New Roman"/>
          <w:sz w:val="18"/>
          <w:szCs w:val="18"/>
          <w:u w:val="single" w:color="auto"/>
          <w:color w:val="0000FF"/>
        </w:rPr>
      </w:pPr>
    </w:p>
    <w:p>
      <w:pPr>
        <w:ind w:left="720" w:right="40" w:hanging="688"/>
        <w:spacing w:after="0" w:line="281" w:lineRule="auto"/>
        <w:tabs>
          <w:tab w:leader="none" w:pos="700" w:val="left"/>
        </w:tabs>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31.1</w:t>
        </w:r>
      </w:hyperlink>
      <w:r>
        <w:rPr>
          <w:rFonts w:ascii="Times New Roman" w:cs="Times New Roman" w:eastAsia="Times New Roman" w:hAnsi="Times New Roman"/>
          <w:sz w:val="18"/>
          <w:szCs w:val="18"/>
          <w:u w:val="single" w:color="auto"/>
          <w:color w:val="0000FF"/>
        </w:rPr>
        <w:tab/>
      </w:r>
      <w:hyperlink w:anchor="page42">
        <w:r>
          <w:rPr>
            <w:rFonts w:ascii="Times New Roman" w:cs="Times New Roman" w:eastAsia="Times New Roman" w:hAnsi="Times New Roman"/>
            <w:sz w:val="18"/>
            <w:szCs w:val="18"/>
            <w:u w:val="single" w:color="auto"/>
            <w:color w:val="0000FF"/>
          </w:rPr>
          <w:t>Certification of the Chief Executive Officer required by Rule 13a-14(a) or Rule 15d-14(a) under the Securities Exchange Act of 1934, as adopted</w:t>
        </w:r>
      </w:hyperlink>
      <w:r>
        <w:rPr>
          <w:rFonts w:ascii="Times New Roman" w:cs="Times New Roman" w:eastAsia="Times New Roman" w:hAnsi="Times New Roman"/>
          <w:sz w:val="18"/>
          <w:szCs w:val="18"/>
          <w:u w:val="single" w:color="auto"/>
          <w:color w:val="0000FF"/>
        </w:rPr>
        <w:t xml:space="preserve"> </w:t>
      </w:r>
      <w:hyperlink w:anchor="page42">
        <w:r>
          <w:rPr>
            <w:rFonts w:ascii="Times New Roman" w:cs="Times New Roman" w:eastAsia="Times New Roman" w:hAnsi="Times New Roman"/>
            <w:sz w:val="18"/>
            <w:szCs w:val="18"/>
            <w:u w:val="single" w:color="auto"/>
            <w:color w:val="0000FF"/>
          </w:rPr>
          <w:t>pursuant to Section 302 of the Sarbanes-Oxley Act of 2002. (1)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81" w:lineRule="auto"/>
        <w:tabs>
          <w:tab w:leader="none" w:pos="700" w:val="left"/>
        </w:tabs>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31.2</w:t>
        </w:r>
      </w:hyperlink>
      <w:r>
        <w:rPr>
          <w:rFonts w:ascii="Times New Roman" w:cs="Times New Roman" w:eastAsia="Times New Roman" w:hAnsi="Times New Roman"/>
          <w:sz w:val="18"/>
          <w:szCs w:val="18"/>
          <w:u w:val="single" w:color="auto"/>
          <w:color w:val="0000FF"/>
        </w:rPr>
        <w:tab/>
      </w:r>
      <w:hyperlink w:anchor="page43">
        <w:r>
          <w:rPr>
            <w:rFonts w:ascii="Times New Roman" w:cs="Times New Roman" w:eastAsia="Times New Roman" w:hAnsi="Times New Roman"/>
            <w:sz w:val="18"/>
            <w:szCs w:val="18"/>
            <w:u w:val="single" w:color="auto"/>
            <w:color w:val="0000FF"/>
          </w:rPr>
          <w:t>Certification of the Chief Financial Officer required by Rule 13a-14(a) or Rule 15d-14(a) under the Securities Exchange Act of 1934, as adopted</w:t>
        </w:r>
      </w:hyperlink>
      <w:r>
        <w:rPr>
          <w:rFonts w:ascii="Times New Roman" w:cs="Times New Roman" w:eastAsia="Times New Roman" w:hAnsi="Times New Roman"/>
          <w:sz w:val="18"/>
          <w:szCs w:val="18"/>
          <w:u w:val="single" w:color="auto"/>
          <w:color w:val="0000FF"/>
        </w:rPr>
        <w:t xml:space="preserve"> </w:t>
      </w:r>
      <w:hyperlink w:anchor="page43">
        <w:r>
          <w:rPr>
            <w:rFonts w:ascii="Times New Roman" w:cs="Times New Roman" w:eastAsia="Times New Roman" w:hAnsi="Times New Roman"/>
            <w:sz w:val="18"/>
            <w:szCs w:val="18"/>
            <w:u w:val="single" w:color="auto"/>
            <w:color w:val="0000FF"/>
          </w:rPr>
          <w:t>pursuant to Section 302 of the Sarbanes-Oxley Act of 2002. (1)</w:t>
        </w:r>
      </w:hyperlink>
    </w:p>
    <w:p>
      <w:pPr>
        <w:spacing w:after="0" w:line="1" w:lineRule="exact"/>
        <w:rPr>
          <w:rFonts w:ascii="Times New Roman" w:cs="Times New Roman" w:eastAsia="Times New Roman" w:hAnsi="Times New Roman"/>
          <w:sz w:val="18"/>
          <w:szCs w:val="18"/>
          <w:u w:val="single" w:color="auto"/>
          <w:color w:val="0000FF"/>
        </w:rPr>
      </w:pPr>
    </w:p>
    <w:p>
      <w:pPr>
        <w:ind w:left="40"/>
        <w:spacing w:after="0"/>
        <w:tabs>
          <w:tab w:leader="none" w:pos="700" w:val="left"/>
        </w:tabs>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32.1</w:t>
        </w:r>
      </w:hyperlink>
      <w:r>
        <w:rPr>
          <w:rFonts w:ascii="Times New Roman" w:cs="Times New Roman" w:eastAsia="Times New Roman" w:hAnsi="Times New Roman"/>
          <w:sz w:val="18"/>
          <w:szCs w:val="18"/>
          <w:u w:val="single" w:color="auto"/>
          <w:color w:val="0000FF"/>
        </w:rPr>
        <w:tab/>
      </w:r>
      <w:hyperlink w:anchor="page44">
        <w:r>
          <w:rPr>
            <w:rFonts w:ascii="Times New Roman" w:cs="Times New Roman" w:eastAsia="Times New Roman" w:hAnsi="Times New Roman"/>
            <w:sz w:val="18"/>
            <w:szCs w:val="18"/>
            <w:u w:val="single" w:color="auto"/>
            <w:color w:val="0000FF"/>
          </w:rPr>
          <w:t>Certification of the Chief Executive Officer pursuant to Section 906 of the Sarbanes-Oxley Act of 2002 (18 U.S.C. Section 1350).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700" w:val="left"/>
        </w:tabs>
        <w:rPr>
          <w:rFonts w:ascii="Times New Roman" w:cs="Times New Roman" w:eastAsia="Times New Roman" w:hAnsi="Times New Roman"/>
          <w:sz w:val="17"/>
          <w:szCs w:val="17"/>
          <w:u w:val="single" w:color="auto"/>
          <w:color w:val="0000FF"/>
        </w:rPr>
      </w:pPr>
      <w:hyperlink w:anchor="page45">
        <w:r>
          <w:rPr>
            <w:rFonts w:ascii="Times New Roman" w:cs="Times New Roman" w:eastAsia="Times New Roman" w:hAnsi="Times New Roman"/>
            <w:sz w:val="18"/>
            <w:szCs w:val="18"/>
            <w:u w:val="single" w:color="auto"/>
            <w:color w:val="0000FF"/>
          </w:rPr>
          <w:t>32.2</w:t>
        </w:r>
      </w:hyperlink>
      <w:r>
        <w:rPr>
          <w:rFonts w:ascii="Times New Roman" w:cs="Times New Roman" w:eastAsia="Times New Roman" w:hAnsi="Times New Roman"/>
          <w:sz w:val="18"/>
          <w:szCs w:val="18"/>
          <w:u w:val="single" w:color="auto"/>
          <w:color w:val="0000FF"/>
        </w:rPr>
        <w:tab/>
      </w:r>
      <w:hyperlink w:anchor="page45">
        <w:r>
          <w:rPr>
            <w:rFonts w:ascii="Times New Roman" w:cs="Times New Roman" w:eastAsia="Times New Roman" w:hAnsi="Times New Roman"/>
            <w:sz w:val="17"/>
            <w:szCs w:val="17"/>
            <w:u w:val="single" w:color="auto"/>
            <w:color w:val="0000FF"/>
          </w:rPr>
          <w:t>Certification of the Chief Financial Officer pursuant to Section 906 of the Sarbanes-Oxley Act of 2002 (18 U.S.C. Section 1350). (1)</w:t>
        </w:r>
      </w:hyperlink>
    </w:p>
    <w:p>
      <w:pPr>
        <w:spacing w:after="0" w:line="63" w:lineRule="exact"/>
        <w:rPr>
          <w:sz w:val="20"/>
          <w:szCs w:val="20"/>
          <w:color w:val="auto"/>
        </w:rPr>
      </w:pPr>
    </w:p>
    <w:p>
      <w:pPr>
        <w:jc w:val="both"/>
        <w:ind w:left="720" w:right="40" w:hanging="685"/>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our Quarterly Report on Form 10-Q for the period ended January 26, 2019 formatted in Extensible Business Reporting Language (XBRL): (i) the Condensed Consolidated Balance Sheets, (ii) the Condensed Consolidated Statements of Operations,</w:t>
      </w:r>
    </w:p>
    <w:p>
      <w:pPr>
        <w:ind w:left="720" w:right="40" w:firstLine="4"/>
        <w:spacing w:after="0" w:line="261" w:lineRule="auto"/>
        <w:tabs>
          <w:tab w:leader="none" w:pos="104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Statements of Comprehensive Income, (iv) the Condensed Consolidated Statements of Cash Flows, (v) Notes to Condensed Consolidated Financial Statements, and (vii) document and entity information. (1)</w:t>
      </w:r>
    </w:p>
    <w:p>
      <w:pPr>
        <w:spacing w:after="0" w:line="17" w:lineRule="exact"/>
        <w:rPr>
          <w:rFonts w:ascii="Times New Roman" w:cs="Times New Roman" w:eastAsia="Times New Roman" w:hAnsi="Times New Roman"/>
          <w:sz w:val="18"/>
          <w:szCs w:val="18"/>
          <w:color w:val="auto"/>
        </w:rPr>
      </w:pPr>
    </w:p>
    <w:p>
      <w:pPr>
        <w:ind w:left="1180" w:hanging="358"/>
        <w:spacing w:after="0"/>
        <w:tabs>
          <w:tab w:leader="none" w:pos="11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January 26, 2019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00" w:hanging="244"/>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00" w:hanging="244"/>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00" w:hanging="244"/>
        <w:spacing w:after="0" w:line="28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244"/>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244"/>
        <w:spacing w:after="0" w:line="28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244"/>
        <w:spacing w:after="0" w:line="28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6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6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100"/>
        <w:spacing w:after="0"/>
        <w:tabs>
          <w:tab w:leader="none" w:pos="6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2/22/2019</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January 26, 2019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6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6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120"/>
        <w:spacing w:after="0"/>
        <w:tabs>
          <w:tab w:leader="none" w:pos="6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2/22/2019</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January 26, 2019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540"/>
        <w:spacing w:after="0"/>
        <w:tabs>
          <w:tab w:leader="none" w:pos="72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2/22/2019</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January 26, 2019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540"/>
        <w:spacing w:after="0"/>
        <w:tabs>
          <w:tab w:leader="none" w:pos="7180" w:val="left"/>
        </w:tabs>
        <w:rPr>
          <w:sz w:val="20"/>
          <w:szCs w:val="20"/>
          <w:color w:val="auto"/>
        </w:rPr>
      </w:pPr>
      <w:r>
        <w:rPr>
          <w:rFonts w:ascii="Times New Roman" w:cs="Times New Roman" w:eastAsia="Times New Roman" w:hAnsi="Times New Roman"/>
          <w:sz w:val="18"/>
          <w:szCs w:val="18"/>
          <w:color w:val="auto"/>
        </w:rPr>
        <w:t>Date:</w:t>
        <w:tab/>
        <w:t>2/22/2019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01"/>
    </w:lvl>
    <w:lvl w:ilvl="1">
      <w:lvlJc w:val="left"/>
      <w:lvlText w:val="(%2)"/>
      <w:numFmt w:val="lowerRoman"/>
      <w:start w:val="3"/>
    </w:lvl>
    <w:lvl w:ilvl="2">
      <w:lvlJc w:val="left"/>
      <w:lvlText w:val="(%3)"/>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2" Type="http://schemas.openxmlformats.org/officeDocument/2006/relationships/image" Target="media/image11.png"/><Relationship Id="rId25" Type="http://schemas.openxmlformats.org/officeDocument/2006/relationships/image" Target="media/image12.png"/><Relationship Id="rId28" Type="http://schemas.openxmlformats.org/officeDocument/2006/relationships/image" Target="media/image13.png"/><Relationship Id="rId31" Type="http://schemas.openxmlformats.org/officeDocument/2006/relationships/image" Target="media/image14.png"/><Relationship Id="rId34"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17" Type="http://schemas.openxmlformats.org/officeDocument/2006/relationships/hyperlink" Target="http://www.sec.gov/Archives/edgar/data/915779/000091577918000119/exhibit31.htm" TargetMode="External"/><Relationship Id="rId18" Type="http://schemas.openxmlformats.org/officeDocument/2006/relationships/hyperlink" Target="http://www.sec.gov/Archives/edgar/data/915779/000091577913000026/dakt_exx34x10-kx2013.htm" TargetMode="External"/><Relationship Id="rId20" Type="http://schemas.openxmlformats.org/officeDocument/2006/relationships/hyperlink" Target="http://www.sec.gov/Archives/edgar/data/915779/000091577918000089/dakt_20181116x8-kxex41.htm" TargetMode="External"/><Relationship Id="rId21" Type="http://schemas.openxmlformats.org/officeDocument/2006/relationships/hyperlink" Target="http://www.sec.gov/Archives/edgar/data/915779/000091577916000233/dakt_20161115xex101.htm" TargetMode="External"/><Relationship Id="rId23" Type="http://schemas.openxmlformats.org/officeDocument/2006/relationships/hyperlink" Target="http://www.sec.gov/Archives/edgar/data/915779/000091577916000233/dakt_20161115xex102.htm" TargetMode="External"/><Relationship Id="rId24" Type="http://schemas.openxmlformats.org/officeDocument/2006/relationships/hyperlink" Target="http://www.sec.gov/Archives/edgar/data/915779/000091577916000233/dakt_20161115xex103.htm" TargetMode="External"/><Relationship Id="rId26" Type="http://schemas.openxmlformats.org/officeDocument/2006/relationships/hyperlink" Target="http://www.sec.gov/Archives/edgar/data/915779/000091577916000233/dakt_20161115xex104.htm" TargetMode="External"/><Relationship Id="rId27" Type="http://schemas.openxmlformats.org/officeDocument/2006/relationships/hyperlink" Target="http://www.sec.gov/Archives/edgar/data/915779/000091577917000027/dakt_ex106x10-kx2017.htm" TargetMode="External"/><Relationship Id="rId29" Type="http://schemas.openxmlformats.org/officeDocument/2006/relationships/hyperlink" Target="http://www.sec.gov/Archives/edgar/data/915779/000091577915000046/dakt-20150501_defx14a.htm#s4b4ce7db85924a1dba35b799a722a4cd" TargetMode="External"/><Relationship Id="rId30" Type="http://schemas.openxmlformats.org/officeDocument/2006/relationships/hyperlink" Target="http://www.sec.gov/Archives/edgar/data/915779/000091577915000068/dakt_ex102x8-kxsomx2015.htm" TargetMode="External"/><Relationship Id="rId32" Type="http://schemas.openxmlformats.org/officeDocument/2006/relationships/hyperlink" Target="http://www.sec.gov/Archives/edgar/data/915779/000091577915000068/dakt_ex103x8-kxsomx2015.htm" TargetMode="External"/><Relationship Id="rId33" Type="http://schemas.openxmlformats.org/officeDocument/2006/relationships/hyperlink" Target="http://www.sec.gov/Archives/edgar/data/915779/000091577915000068/dakt_ex104x8-kxsomx2015.htm" TargetMode="External"/><Relationship Id="rId35" Type="http://schemas.openxmlformats.org/officeDocument/2006/relationships/hyperlink" Target="http://www.sec.gov/Archives/edgar/data/915779/000091577915000068/dakt_ex105x8-kxsomx2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2019-12-28T16:05:07Z</dcterms:created>
  <dcterms:modified xsi:type="dcterms:W3CDTF">2019-12-28T16:05:07Z</dcterms:modified>
</cp:coreProperties>
</file>