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83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838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Sheila Mae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DAKTRONICS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46"/>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DAKTRONICS INC /SD/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DAKT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354"/>
        <w:spacing w:after="0"/>
        <w:rPr>
          <w:sz w:val="20"/>
          <w:szCs w:val="20"/>
          <w:color w:val="auto"/>
        </w:rPr>
      </w:pPr>
      <w:r>
        <w:rPr>
          <w:rFonts w:ascii="Times New Roman" w:cs="Times New Roman" w:eastAsia="Times New Roman" w:hAnsi="Times New Roman"/>
          <w:sz w:val="17"/>
          <w:szCs w:val="17"/>
          <w:color w:val="0000FF"/>
        </w:rPr>
        <w:t>CDAO</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BROOKINGS   SD</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57006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4,653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45,885.94</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03/05/2026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1,379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22.99</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44,506.94</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8,522</w:t>
            </w:r>
          </w:p>
        </w:tc>
        <w:tc>
          <w:tcPr>
            <w:tcW w:w="260" w:type="dxa"/>
            <w:vAlign w:val="bottom"/>
          </w:tcPr>
          <w:p>
            <w:pPr>
              <w:spacing w:after="0"/>
              <w:rPr>
                <w:sz w:val="22"/>
                <w:szCs w:val="22"/>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4,653</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03/05/2026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4,653</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20,724</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substantially equal installments on the first, second, and third anniversaries of March 5, 2025. In addition, the Restricted Stock Units shall become 100% vested upon a Change in Control Termination (as defined in the Daktronics, Inc. 2020 Stock Incentive Plan). Vested shares will be delivered to the reporting person as soon as practicable after the date of vesting.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Sheila M Anderson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03/09/2026</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8306" TargetMode="External"/><Relationship Id="rId14" Type="http://schemas.openxmlformats.org/officeDocument/2006/relationships/hyperlink" Target="http://www.sec.gov/cgi-bin/browse-edgar?action=getcompany&amp;CIK=00009157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2026-03-09T14:07:58Z</dcterms:created>
  <dcterms:modified xsi:type="dcterms:W3CDTF">2026-03-09T14:07:58Z</dcterms:modified>
</cp:coreProperties>
</file>