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January 26, 2013</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132080</wp:posOffset>
            </wp:positionV>
            <wp:extent cx="127762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25, 2013 was 42,361,280.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6"/>
          <w:szCs w:val="16"/>
          <w:color w:val="auto"/>
        </w:rPr>
        <w:t>January 26, 2013</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4"/>
          </w:tcPr>
          <w:p>
            <w:pPr>
              <w:ind w:left="90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2">
              <w:r>
                <w:rPr>
                  <w:rFonts w:ascii="Arial" w:cs="Arial" w:eastAsia="Arial" w:hAnsi="Arial"/>
                  <w:sz w:val="18"/>
                  <w:szCs w:val="18"/>
                  <w:b w:val="1"/>
                  <w:bCs w:val="1"/>
                  <w:color w:val="0000FF"/>
                  <w:w w:val="92"/>
                </w:rPr>
                <w:t>Financial Information</w:t>
              </w:r>
            </w:hyperlink>
          </w:p>
        </w:tc>
        <w:tc>
          <w:tcPr>
            <w:tcW w:w="6940" w:type="dxa"/>
            <w:vAlign w:val="bottom"/>
            <w:gridSpan w:val="12"/>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14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Consolidated Balance Sheets </w:t>
              </w:r>
            </w:hyperlink>
            <w:r>
              <w:rPr>
                <w:rFonts w:ascii="Arial" w:cs="Arial" w:eastAsia="Arial" w:hAnsi="Arial"/>
                <w:sz w:val="18"/>
                <w:szCs w:val="18"/>
                <w:color w:val="0000FF"/>
                <w:w w:val="88"/>
              </w:rPr>
              <w:t>as of January 26, 2013 and April 28, 2012</w:t>
            </w:r>
          </w:p>
        </w:tc>
        <w:tc>
          <w:tcPr>
            <w:tcW w:w="2920" w:type="dxa"/>
            <w:vAlign w:val="bottom"/>
            <w:gridSpan w:val="5"/>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Consolidated Statements of Operations </w:t>
              </w:r>
            </w:hyperlink>
            <w:r>
              <w:rPr>
                <w:rFonts w:ascii="Arial" w:cs="Arial" w:eastAsia="Arial" w:hAnsi="Arial"/>
                <w:sz w:val="18"/>
                <w:szCs w:val="18"/>
                <w:color w:val="0000FF"/>
                <w:w w:val="89"/>
              </w:rPr>
              <w:t>for the Three and Nine Months Ended January 26, 2013 and</w:t>
            </w: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6"/>
              </w:rPr>
              <w:t>January 28, 2012</w:t>
            </w:r>
          </w:p>
        </w:tc>
        <w:tc>
          <w:tcPr>
            <w:tcW w:w="65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6"/>
          </w:tcPr>
          <w:p>
            <w:pPr>
              <w:spacing w:after="0"/>
              <w:rPr>
                <w:sz w:val="20"/>
                <w:szCs w:val="20"/>
                <w:color w:val="auto"/>
              </w:rPr>
            </w:pPr>
            <w:r>
              <w:rPr>
                <w:rFonts w:ascii="Arial" w:cs="Arial" w:eastAsia="Arial" w:hAnsi="Arial"/>
                <w:sz w:val="18"/>
                <w:szCs w:val="18"/>
                <w:color w:val="0000FF"/>
              </w:rPr>
              <w:t>Consolidated Statements of Comprehensive Income for the Three and Nine Months Ended January</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87"/>
              </w:rPr>
              <w:t>26, 2013 and January 28, 2012</w:t>
            </w:r>
          </w:p>
        </w:tc>
        <w:tc>
          <w:tcPr>
            <w:tcW w:w="4580" w:type="dxa"/>
            <w:vAlign w:val="bottom"/>
            <w:tcBorders>
              <w:top w:val="single" w:sz="8" w:color="0000FF"/>
            </w:tcBorders>
            <w:gridSpan w:val="6"/>
          </w:tcPr>
          <w:p>
            <w:pPr>
              <w:spacing w:after="0"/>
              <w:rPr>
                <w:sz w:val="17"/>
                <w:szCs w:val="17"/>
                <w:color w:val="auto"/>
              </w:rPr>
            </w:pPr>
          </w:p>
        </w:tc>
        <w:tc>
          <w:tcPr>
            <w:tcW w:w="9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Statements of Cash Flows </w:t>
              </w:r>
            </w:hyperlink>
            <w:r>
              <w:rPr>
                <w:rFonts w:ascii="Arial" w:cs="Arial" w:eastAsia="Arial" w:hAnsi="Arial"/>
                <w:sz w:val="18"/>
                <w:szCs w:val="18"/>
                <w:color w:val="0000FF"/>
              </w:rPr>
              <w:t>for the Nine Months Ended January 26, 2013 and January</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860" w:type="dxa"/>
            <w:vAlign w:val="bottom"/>
            <w:tcBorders>
              <w:top w:val="single" w:sz="8" w:color="0000FF"/>
            </w:tcBorders>
            <w:gridSpan w:val="3"/>
          </w:tcPr>
          <w:p>
            <w:pPr>
              <w:ind w:left="300"/>
              <w:spacing w:after="0" w:line="196" w:lineRule="exact"/>
              <w:rPr>
                <w:sz w:val="20"/>
                <w:szCs w:val="20"/>
                <w:color w:val="auto"/>
              </w:rPr>
            </w:pPr>
            <w:r>
              <w:rPr>
                <w:rFonts w:ascii="Arial" w:cs="Arial" w:eastAsia="Arial" w:hAnsi="Arial"/>
                <w:sz w:val="18"/>
                <w:szCs w:val="18"/>
                <w:color w:val="0000FF"/>
                <w:w w:val="74"/>
              </w:rPr>
              <w:t>28, 2012</w:t>
            </w: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3"/>
          </w:tcPr>
          <w:p>
            <w:pPr>
              <w:ind w:left="9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640" w:type="dxa"/>
            <w:vAlign w:val="bottom"/>
            <w:gridSpan w:val="1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4"/>
          </w:tcPr>
          <w:p>
            <w:pPr>
              <w:ind w:left="920"/>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3.</w:t>
              </w:r>
            </w:hyperlink>
          </w:p>
        </w:tc>
        <w:tc>
          <w:tcPr>
            <w:tcW w:w="864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260" w:type="dxa"/>
            <w:vAlign w:val="bottom"/>
            <w:gridSpan w:val="4"/>
          </w:tcPr>
          <w:p>
            <w:pPr>
              <w:ind w:left="92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300" w:type="dxa"/>
            <w:vAlign w:val="bottom"/>
            <w:tcBorders>
              <w:left w:val="single" w:sz="8" w:color="0000FF"/>
            </w:tcBorders>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w:t>
              </w:r>
            </w:hyperlink>
          </w:p>
        </w:tc>
        <w:tc>
          <w:tcPr>
            <w:tcW w:w="864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Other Information</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0">
              <w:r>
                <w:rPr>
                  <w:rFonts w:ascii="Arial" w:cs="Arial" w:eastAsia="Arial" w:hAnsi="Arial"/>
                  <w:sz w:val="18"/>
                  <w:szCs w:val="18"/>
                  <w:color w:val="0000FF"/>
                  <w:w w:val="93"/>
                </w:rPr>
                <w:t>Legal Proceedings</w:t>
              </w:r>
            </w:hyperlink>
          </w:p>
        </w:tc>
        <w:tc>
          <w:tcPr>
            <w:tcW w:w="7200" w:type="dxa"/>
            <w:vAlign w:val="bottom"/>
            <w:gridSpan w:val="13"/>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Risk Factors</w:t>
              </w:r>
            </w:hyperlink>
          </w:p>
        </w:tc>
        <w:tc>
          <w:tcPr>
            <w:tcW w:w="7740" w:type="dxa"/>
            <w:vAlign w:val="bottom"/>
            <w:gridSpan w:val="15"/>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Unregistered Sales of Equity Securities and Use of Proceeds</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5.</w:t>
              </w:r>
            </w:hyperlink>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w:t>
              </w:r>
            </w:hyperlink>
          </w:p>
        </w:tc>
        <w:tc>
          <w:tcPr>
            <w:tcW w:w="864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260" w:type="dxa"/>
            <w:vAlign w:val="bottom"/>
            <w:gridSpan w:val="4"/>
          </w:tcPr>
          <w:p>
            <w:pPr>
              <w:ind w:left="9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1">
              <w:r>
                <w:rPr>
                  <w:rFonts w:ascii="Arial" w:cs="Arial" w:eastAsia="Arial" w:hAnsi="Arial"/>
                  <w:sz w:val="18"/>
                  <w:szCs w:val="18"/>
                  <w:b w:val="1"/>
                  <w:bCs w:val="1"/>
                  <w:color w:val="0000FF"/>
                  <w:w w:val="83"/>
                </w:rPr>
                <w:t>Signatures</w:t>
              </w:r>
            </w:hyperlink>
          </w:p>
        </w:tc>
        <w:tc>
          <w:tcPr>
            <w:tcW w:w="8640" w:type="dxa"/>
            <w:vAlign w:val="bottom"/>
            <w:gridSpan w:val="18"/>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Index to Exhibits</w:t>
              </w:r>
            </w:hyperlink>
          </w:p>
        </w:tc>
        <w:tc>
          <w:tcPr>
            <w:tcW w:w="8140" w:type="dxa"/>
            <w:vAlign w:val="bottom"/>
            <w:gridSpan w:val="17"/>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26,</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66,923</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54,924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23,020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5,528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5,990</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226,149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229,006</w:t>
            </w:r>
          </w:p>
        </w:tc>
      </w:tr>
      <w:tr>
        <w:trPr>
          <w:trHeight w:val="277"/>
        </w:trPr>
        <w:tc>
          <w:tcPr>
            <w:tcW w:w="8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3,347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8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18,565</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61,654</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42,172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9,806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w:t>
            </w:r>
          </w:p>
        </w:tc>
      </w:tr>
      <w:tr>
        <w:trPr>
          <w:trHeight w:val="237"/>
        </w:trPr>
        <w:tc>
          <w:tcPr>
            <w:tcW w:w="8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193,292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192,327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123,931</w:t>
            </w:r>
          </w:p>
        </w:tc>
      </w:tr>
      <w:tr>
        <w:trPr>
          <w:trHeight w:val="237"/>
        </w:trPr>
        <w:tc>
          <w:tcPr>
            <w:tcW w:w="8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68,396</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315,967</w:t>
            </w: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240" w:top="121" w:right="8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26,</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 bank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33,906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13,049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12,826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109,173</w:t>
            </w:r>
          </w:p>
        </w:tc>
      </w:tr>
      <w:tr>
        <w:trPr>
          <w:trHeight w:val="277"/>
        </w:trPr>
        <w:tc>
          <w:tcPr>
            <w:tcW w:w="8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4,361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1,453</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15,989</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120,911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125,162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42,373,947 and 41,930,116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shares issued at January 26, 2013 and April 28, 2012,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24,320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131,830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185,674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190,805</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315,967</w:t>
            </w: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820"/>
          </w:cols>
          <w:pgMar w:left="240" w:top="12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20"/>
          </w:cols>
          <w:pgMar w:left="240" w:top="122" w:right="8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28,</w:t>
            </w:r>
          </w:p>
        </w:tc>
      </w:tr>
      <w:tr>
        <w:trPr>
          <w:trHeight w:val="234"/>
        </w:trPr>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377,532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84,001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95,070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288,049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288,702</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27,049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88,830</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13,652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13,341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38,475</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20,410</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17,050</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77,153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75,935</w:t>
            </w:r>
          </w:p>
        </w:tc>
      </w:tr>
      <w:tr>
        <w:trPr>
          <w:trHeight w:val="237"/>
        </w:trPr>
        <w:tc>
          <w:tcPr>
            <w:tcW w:w="45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28,638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12,895</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4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77"/>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13,769</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4,775</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42,343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41,916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41,811</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42,076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42,175</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77"/>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0.620</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675"/>
        </w:trPr>
        <w:tc>
          <w:tcPr>
            <w:tcW w:w="45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28,</w:t>
            </w:r>
          </w:p>
        </w:tc>
      </w:t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5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w:t>
            </w:r>
          </w:p>
        </w:tc>
      </w:tr>
      <w:tr>
        <w:trPr>
          <w:trHeight w:val="284"/>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available-for-sale securities,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8,973</w:t>
            </w: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28,</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Loss on sale of property and equipment</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37"/>
        </w:trPr>
        <w:tc>
          <w:tcPr>
            <w:tcW w:w="798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33,255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13,925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Borrowings on notes payable</w:t>
            </w: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(30,859)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54,308</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24,504</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28,552</w:t>
            </w: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820"/>
          </w:cols>
          <w:pgMar w:left="240" w:top="121" w:right="839" w:bottom="597" w:gutter="0" w:footer="0" w:header="0"/>
        </w:sectPr>
      </w:pP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20"/>
          </w:cols>
          <w:pgMar w:left="240" w:top="121" w:right="839" w:bottom="597"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28, 2012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28, 2012,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2011, the Financial Accounting Standards Board ("FASB") issued Accounting Standards Update ("ASU") 2011-05, </w:t>
      </w:r>
      <w:r>
        <w:rPr>
          <w:rFonts w:ascii="Arial" w:cs="Arial" w:eastAsia="Arial" w:hAnsi="Arial"/>
          <w:sz w:val="17"/>
          <w:szCs w:val="17"/>
          <w:i w:val="1"/>
          <w:iCs w:val="1"/>
          <w:color w:val="auto"/>
        </w:rPr>
        <w:t>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 Presentation of Comprehensive Income</w:t>
      </w:r>
      <w:r>
        <w:rPr>
          <w:rFonts w:ascii="Arial" w:cs="Arial" w:eastAsia="Arial" w:hAnsi="Arial"/>
          <w:sz w:val="17"/>
          <w:szCs w:val="17"/>
          <w:color w:val="auto"/>
        </w:rPr>
        <w:t>. The ASU amends guidance for the presentation of comprehensive income. The amended guidance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present components of net income and other comprehensive income in one continuous statement, referred to as the statement of comprehensive income, or in two separate, but consecutive statements. The previous option to report other comprehensive income and its components in the statement of shareholders’ equity has been eliminated. Although the new guidance changes the presentation of comprehensive income, there are no changes to the components that are recognized in net income or other comprehensive income under existing guidance. In the first quarter of fiscal 2013, we revised our presentation of comprehensive income to conform to the guidance in this ASU.</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ASU 2011-08, </w:t>
      </w:r>
      <w:r>
        <w:rPr>
          <w:rFonts w:ascii="Arial" w:cs="Arial" w:eastAsia="Arial" w:hAnsi="Arial"/>
          <w:sz w:val="18"/>
          <w:szCs w:val="18"/>
          <w:i w:val="1"/>
          <w:iCs w:val="1"/>
          <w:color w:val="auto"/>
        </w:rPr>
        <w:t>Intangibles – Goodwill and Other (Topic 350): Testing Goodwill for Impairment</w:t>
      </w:r>
      <w:r>
        <w:rPr>
          <w:rFonts w:ascii="Arial" w:cs="Arial" w:eastAsia="Arial" w:hAnsi="Arial"/>
          <w:sz w:val="18"/>
          <w:szCs w:val="18"/>
          <w:color w:val="auto"/>
        </w:rPr>
        <w:t>. Under this new standard, entities testing goodwill for impairment now have an option of performing a qualitative assessment before having to calculate the fair value of a reporting unit. If an entity determines, on the basis of qualitative factors, that it is more-likely-than-not that the fair value of the reporting unit is less than the carrying amount, the existing quantitative impairment test is required. Otherwise, no further impairment testing is required. This ASU is effective for impairment tests after April 29, 2012. The adoption of this standard did not have a material impact on our consolidated results of operations or financial condition, as this ASU impacts only the analysis performed.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2012, the FASB issued ASU 2012-02, </w:t>
      </w:r>
      <w:r>
        <w:rPr>
          <w:rFonts w:ascii="Arial" w:cs="Arial" w:eastAsia="Arial" w:hAnsi="Arial"/>
          <w:sz w:val="17"/>
          <w:szCs w:val="17"/>
          <w:i w:val="1"/>
          <w:iCs w:val="1"/>
          <w:color w:val="auto"/>
        </w:rPr>
        <w:t>Intangibles - Goodwill and Other (Topic 350): Testing Indefinite-Lived Intangible Assets for Impairment.</w:t>
      </w:r>
      <w:r>
        <w:rPr>
          <w:rFonts w:ascii="Arial" w:cs="Arial" w:eastAsia="Arial" w:hAnsi="Arial"/>
          <w:sz w:val="17"/>
          <w:szCs w:val="17"/>
          <w:color w:val="auto"/>
        </w:rPr>
        <w:t xml:space="preserve"> The amended guidance gives entities the option to perform a qualitative impairment assessment to determine whether it is more-likely-than-not that an indefinite-lived intangible asset is impaired. An entity must identify and evaluate changes in economic, industry and entity-specific events and circumstances that could affect the significant inputs used to determine the fair value of an indefinite-lived intangible asset and whether it is more-likely-than-not that the fair value exceeds its carrying amount. ASU 2012-02 is effective for annual and interim impairment tests performed for fiscal years beginning after September 15, 2012, with early adoption permitted. The adoption of this amended guidance is not expected to have a material impact on our consolidated results of operations or financial condition, as the ASU impacts only the analysis to be performed.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nine months ended January 26, 2013 and January 28,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26, 2013:</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42,539</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28, 2012: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41,916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42,076</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26, 2013: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42,206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42,447</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28, 2012: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41,811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42,175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2,467 shares of common stock with a weighted average exercise price of $15.65 for the three months ended January 26, 2013 and 1,621 shares of common stock with a weighted average exercise price of $19.18 for the three months ended January 28, 2012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3,268 shares of common stock with a weighted average exercise price of $13.92 for the nine months ended January 26, 2013 and 1,621 shares of common stock with a weighted average exercise price of $19.18 for the nine months ended January 28, 2012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January 26, 2013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Live Events</w:t>
            </w:r>
          </w:p>
        </w:tc>
        <w:tc>
          <w:tcPr>
            <w:tcW w:w="26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Commercial</w:t>
            </w:r>
          </w:p>
        </w:tc>
        <w:tc>
          <w:tcPr>
            <w:tcW w:w="20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Transportation</w:t>
            </w:r>
          </w:p>
        </w:tc>
        <w:tc>
          <w:tcPr>
            <w:tcW w:w="40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January 26,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3,328</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perform an analysis of goodwill on an annual basis. We completed this annual analysis based on the goodwill amount as of the first business day of our third quarter, which was October 28, 2012. The result of that analysis indicated that no goodwill impairment existed as of that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 number of risks to our business which can adversely impact cash flows in each of our business units and cause a significant decline in the fair values of each business unit. This decline could lead to an impairment of goodwill in some or all of our business units. Certain events, such as a worsening trend of orders and sales without a corresponding way to preserve future cash flows or a significant decline in our stock price, could cause a further impairment in goodwill.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26,</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7,774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10,581</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19,310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19,463</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49,578</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54,924</w:t>
            </w: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Schools and Theatres, Transportation, and the International business unit. These segments are based on the type of customer and geography.</w:t>
      </w:r>
    </w:p>
    <w:p>
      <w:pPr>
        <w:spacing w:after="0" w:line="18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Commercial business unit primarily consists of sales of our video, Galaxy</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Valo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Schools and Theatres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 education facilities and sales of our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rigging systems for theatre applications. Our Transportation business unit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of our Annual Report on Form 10-K. Unabsorbed costs of domestic field sales and services infrastructure, including most field administrative staff, are allocated to the Commercial, Live Events, Transportation, and Schools and Theatres business units based on cost of sales. Shared manufacturing, building and utilities, and procurement costs are allocated based on payroll dollars, square footage and various other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28,</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30,997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115,239</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26,528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38,496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121,641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46,418</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23,546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57,713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18,201</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57,998</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111,050</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122,925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393,840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377,532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6,317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13,397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14,514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66,263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50,355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5,611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12,895</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29,428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2,710</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28,</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310,266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62,845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67,266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420"/>
          </w:cols>
          <w:pgMar w:left="240" w:top="121" w:right="239" w:bottom="1440" w:gutter="0" w:footer="0" w:header="0"/>
        </w:sectPr>
      </w:pPr>
    </w:p>
    <w:p>
      <w:pPr>
        <w:ind w:left="5840"/>
        <w:spacing w:after="0"/>
        <w:rPr>
          <w:sz w:val="20"/>
          <w:szCs w:val="20"/>
          <w:color w:val="auto"/>
        </w:rPr>
      </w:pPr>
      <w:r>
        <w:rPr>
          <w:rFonts w:ascii="Arial" w:cs="Arial" w:eastAsia="Arial" w:hAnsi="Arial"/>
          <w:sz w:val="16"/>
          <w:szCs w:val="16"/>
          <w:b w:val="1"/>
          <w:bCs w:val="1"/>
          <w:color w:val="auto"/>
        </w:rPr>
        <w:t>January 26,</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April 28,</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66,350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2,046</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68,396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We are not economically dependent on a limited number of suppliers for our inventory items because we have numerous suppliers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that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that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26, 2013, we did not believe that there was a reasonable possibility that any material loss for these various claims or legal actions, including reviews, inspections or other legal proceedings, if any, had been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$1,285 as of January 26, 2013 and April 28, 2012. We have recognized a guarantee liability in accrued expenses for the amount of $185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connection with these arrangements.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that include on-site labor, routine maintenance and event support. In addition, the terms of warranties on some installations can vary from one to ten years. The specific terms and conditions of these warranties vary primarily depending on the type of the product sold. We estimate the costs that may be incurred under the warranty obligations and record a liability in the amount of such estimated costs at the time the revenue is recognized. Factors that affect our estimate of the cost of our warranty obligations include historical experience and expectations of future conditions. We periodically assess the adequacy of our recorded warranty reserves and, to the extent that we experience any changes in warranty claim activity or costs associated with servicing those claims, our warranty obligation is adjusted accordingly.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nine months ended January 26, 2013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22,215</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9,183</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29"/>
        </w:trPr>
        <w:tc>
          <w:tcPr>
            <w:tcW w:w="7020" w:type="dxa"/>
            <w:vAlign w:val="bottom"/>
          </w:tcPr>
          <w:p>
            <w:pPr>
              <w:ind w:left="420"/>
              <w:spacing w:after="0"/>
              <w:rPr>
                <w:sz w:val="20"/>
                <w:szCs w:val="20"/>
                <w:color w:val="auto"/>
              </w:rPr>
            </w:pPr>
            <w:r>
              <w:rPr>
                <w:rFonts w:ascii="Arial" w:cs="Arial" w:eastAsia="Arial" w:hAnsi="Arial"/>
                <w:sz w:val="18"/>
                <w:szCs w:val="18"/>
                <w:color w:val="auto"/>
              </w:rPr>
              <w:t>Changes in accrued warranty costs for pre-existing warranties during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22,072</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January 26, 2013, we had outstanding letters of credit and surety bonds in the amount of $2,743 and $21,557, respectively. Performance guarantees are issued to certain customers to guarantee the operation and installation of the equipment and our ability to complete a contract. These performance guarantees have various terms, which are generally less than one year.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$2,090 and $2,452 for the nine months ended January 26, 2013 and January 28, 2012,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January 26,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and various other products and services over periods that extend</w:t>
      </w:r>
      <w:r>
        <w:rPr>
          <w:rFonts w:ascii="Arial" w:cs="Arial" w:eastAsia="Arial" w:hAnsi="Arial"/>
          <w:sz w:val="18"/>
          <w:szCs w:val="18"/>
          <w:i w:val="1"/>
          <w:iCs w:val="1"/>
          <w:color w:val="auto"/>
        </w:rPr>
        <w:t xml:space="preserve"> </w:t>
      </w:r>
      <w:r>
        <w:rPr>
          <w:rFonts w:ascii="Arial" w:cs="Arial" w:eastAsia="Arial" w:hAnsi="Arial"/>
          <w:sz w:val="18"/>
          <w:szCs w:val="18"/>
          <w:color w:val="auto"/>
        </w:rPr>
        <w:t>beyond one year. As of January 26, 2013, we were obligated under the following conditional and unconditional purchase commitments, which included $1,000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fiscal years 2010, 2011 and 2012 are the only years remaining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26, 2013, we had $247 of unrecognized tax benefits that would affect our effective tax rate if recognized. We recognize interest and penalties related to income tax matters in income tax expense.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52525"/>
        </w:rPr>
        <w:t xml:space="preserve">On January 2, 2013, the President signed into law The American Taxpayer Relief Act of 2012. Under prior law, a taxpayer was entitled to a research tax credit for qualifying amounts paid or incurred on or before December 31, 2011. The 2012 Taxpayer Relief Act extends the research credit for two years to December 31, 2013. The extension of the research credit is retroactive and includes amounts paid or incurred after December 31, 2011. </w:t>
      </w:r>
      <w:r>
        <w:rPr>
          <w:rFonts w:ascii="Arial" w:cs="Arial" w:eastAsia="Arial" w:hAnsi="Arial"/>
          <w:sz w:val="17"/>
          <w:szCs w:val="17"/>
          <w:color w:val="000000"/>
        </w:rPr>
        <w:t>As a result of the</w:t>
      </w:r>
      <w:r>
        <w:rPr>
          <w:rFonts w:ascii="Arial" w:cs="Arial" w:eastAsia="Arial" w:hAnsi="Arial"/>
          <w:sz w:val="17"/>
          <w:szCs w:val="17"/>
          <w:color w:val="252525"/>
        </w:rPr>
        <w:t xml:space="preserve"> </w:t>
      </w:r>
      <w:r>
        <w:rPr>
          <w:rFonts w:ascii="Arial" w:cs="Arial" w:eastAsia="Arial" w:hAnsi="Arial"/>
          <w:sz w:val="17"/>
          <w:szCs w:val="17"/>
          <w:color w:val="000000"/>
        </w:rPr>
        <w:t>retroactive extension, we recognized in the third quarter of fiscal 2013 approximately $1,860 in tax benefits for the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The carrying amounts reported for variable rate long-term marketing obligations approximate fair value. Fair values for fixed-rate long-term marketing obligations are estimated using a discounted cash flow calculation that applies interest rates currently being offered for debt with similar terms and underlying collateral. The total carrying value of long-term marketing obligations reported on our consolidated balance sheets approximates fair value and has been categorized as a Level 2 fair value measurement.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January 26, 2013 and April 28, 2012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26, 2013:</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7,157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50,032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29,423</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7,657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that are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 of Fannie Mae and Federal Home Loan Bank investment grade debt securities that trade with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that trade with sufficient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contractual maturities of these investments vary from two to three years. based on valuations observed in less active markets than Level 1 investments.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and volume to enable us to obtain pricing The fair value of these bonds was measured</w:t>
      </w:r>
    </w:p>
    <w:p>
      <w:pPr>
        <w:spacing w:after="0" w:line="339" w:lineRule="exact"/>
        <w:rPr>
          <w:sz w:val="20"/>
          <w:szCs w:val="20"/>
          <w:color w:val="auto"/>
        </w:rPr>
      </w:pPr>
    </w:p>
    <w:p>
      <w:pPr>
        <w:sectPr>
          <w:pgSz w:w="11900" w:h="16838" w:orient="portrait"/>
          <w:cols w:equalWidth="0" w:num="2">
            <w:col w:w="8080" w:space="40"/>
            <w:col w:w="3300"/>
          </w:cols>
          <w:pgMar w:left="240" w:top="122"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that trade with sufficient frequency and volume to enable us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information on an ongoing basis. The fair value of these securities was measured based on valuation from a third-party bank. See Note 11 for more information regarding our derivatives.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make any material business combinations or recognize significant impairment losses during the first nine months of fiscal 2013 or during fiscal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Marketable Securities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have a cash management program which provides for the investment of cash balances not used in current operations. We classify our investments in marketable securities as available-for-sale in accordance with the provisions of ASU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xml:space="preserve"> Marketable securities classified as available-for-sale are reported at fair value with unrealized gains or losses, net of tax, reported in accumulated other comprehensive (loss) income. As it relates to fixed income marketable securities, we do not intend to sell any of these investments, and it is not more-likely-than-not that we will be required to sell any of these investments before recovery of the entire amortized cost basis. In addition, as of January 26, 2013, we anticipate that we will recover the entire amortized cost basis of such fixed income securities, and we have determined that no other-than-temporary impairments associated with credit losses were required to be recognized. The cost of securities sold is based on the specific identification method. Where quoted market prices are not available, we use the market price of similar types of securities that are traded in the market to estimate fair value.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26, 2013 and April 28, 2012,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26, 2013:</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7,155</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5,998</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7,606</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25,512</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5,517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25,184</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within other expense, net. Upon the sale of a security classified as available-for-sale, the security’s specific unrealized gain (loss) is reclassified out of "accumulated other comprehensive (loss) income” into earnings based on the specific identification method. In the nine months ended January 26, 2013 and January 28, 2012, the reclassifications from accumulated other comprehensive (loss) income to net assets were immaterial. Realized gains and losses on sales and maturities of investments were immaterial in the nine months ended January 26, 2013 and January 28, 2012.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January 26,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Greater than 12</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6,018</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5,076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7,618</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that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$2,201 and $2,398 at January 26, 2013 and April 28, 2012, respectively.</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 Charge offs of receivables and our allowance for doubtful accounts related to financing receivables are not material to our financial results.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that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$17,304 and $18,452 as of January 26, 2013 and April 28, 2012, respectively. Contract and lease receivables bearing annual interest rates of 5.8 to 10.0 percent are due in varying annual installments through May 2023. The face amount of long-term receivables was $20,249 as of January 26, 2013 and $21,494 as</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April 28, 2012. Included in accounts receivable as of January 26, 2013 and April 28, 2012 was $275 and $783, respectively, of retainage on construction-type contracts, all of which is expected to be collected in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that are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January 26, 2013 and April 28, 2012, we had not designated any of our derivative instruments as accounting hedges, and thus we recorded the changes in fair value in other income (expense), net.</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January 26, 2013 and April 28, 2012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January 26, 2013</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28, 2012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Dollars/Brazilian Reais</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26, 2013 and April 28, 2012, there was a net liability of $60 and $95, respectively, representing the fair value of foreign currency exchange forward contracts, which was determined using Level 2 inputs from a third-party bank.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in our Annual Report on Form 10-K for the fiscal year ended April 28, 2012 in the section entitled “Item 1A. Risk Factors.”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Live Events, Commercial, Schools and Theatres, and Transportation, which include the geographic territories of the United States and Canada.</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sports facilities and colleges and universities, as well as the seasonality of the sports market. Net sales and gross profit percentages also have fluctuated due to other seasonal factors, including the impact of holidays, which primarily affects our third quarter. Our gross margins on large custom and standard orders tend to fluctuate more than small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which is included elsewhere in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contracts are similar across the business units over the long-term. There are, however, differences that arise in the short term among the business units, which are discussed more fully in the following analysis.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Overall, our business growth is driven by the market demand for large format electronic displays and the depth and quality of our products, including related control systems, the depth of our service offerings and our technology that serve these market demands. This growth, however, is partially offset by declines in product prices caused by increasing competition. Within each business unit, there are also key growth drivers that apply uniquely to that business unit.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that growth in the Commercial business unit will result from a number of factors, including:</w:t>
      </w:r>
    </w:p>
    <w:p>
      <w:pPr>
        <w:spacing w:after="0" w:line="237" w:lineRule="exact"/>
        <w:rPr>
          <w:sz w:val="20"/>
          <w:szCs w:val="20"/>
          <w:color w:val="auto"/>
        </w:rPr>
      </w:pPr>
    </w:p>
    <w:p>
      <w:pPr>
        <w:jc w:val="both"/>
        <w:ind w:left="660" w:hanging="328"/>
        <w:spacing w:after="0" w:line="28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growing interest in our standard display products that are used in many different retail-type establishments, among other types of applications. The demand in this area is driven by retailers' and other types of commercial establishments' desire to attract the attention of motorists and others into their storefront. It is also driven by the need to communicate messages to the public. National accounts may replace their displays that are reaching end of life, which could lead to increased sales. Furthermore, we believe that in the future there will be increased demand from national accounts, including retailers, quick serve restaurants and other types of nationwide organizations, which could lead to increasing sales.</w:t>
      </w:r>
    </w:p>
    <w:p>
      <w:pPr>
        <w:spacing w:after="0" w:line="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billboard companies continue developing new sites for digital billboards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that is concentrated in a few large billboard companies.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that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which are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Over the long-term, we believe that growth in the Schools and Theatres business unit will result from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demand for different types of displays, such as message centers at schools to communicate to students, parents and the broader community.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more athletic venues, such as aquatics in schools.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that growth in the Transportation business unit will result from increasing applications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displays to manage transportation systems, including roadway, airport, parking, transit and other applications. This growth is highly dependent on government spending, primarily by the federal government.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that growth in the International business unit will result from achieving greater penetration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geographies, building products more suited to individual markets, and the reasons listed in each of the other business units to the extent they apply outside the United States and Canada.</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products to generate the same or a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26, 2013 AND JANUARY 28,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38,833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26,528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38,496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23,546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10,261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24,639</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111,050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122,925</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36,988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30,720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38,684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10,183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12,218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134,310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107,006</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the three months ended January 26, 2013 compared to the same period one year ago was the net result of:</w:t>
      </w:r>
    </w:p>
    <w:p>
      <w:pPr>
        <w:spacing w:after="0" w:line="237"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$5.7 million in sales of large custom video contracts due to a multi-million dollar custom video project converting to sales in the third quarter of fiscal 2012. The level of large custom contract orders and sales in this niche is subject to volatility and, during the third quarter of fiscal 2013, we did not have the same level of large video projects converting to sales.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$2.8 million in our billboard niche due to lower demand from our billboard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$1.5 million in sales of on-premise advertising displays resulting from an improved economy.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for the three months ended January 26, 2013 compared to the same period one year ago was the net result of:</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orders for large custom video projects. During the third quarter of fiscal 2013, we booked two video system orders for a combined total of $7.5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orders for our on-premise advertising standard order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orders for billboard customers resulting from variability in timing of orders being booked and softening demand.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three months ended January 26, 2013 compared to the same period one year ago was the net result of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booking orders, large project timing and plant production cycles, coupled with a lower backlog at the beginning of the third quarter of fiscal 2013 compared to the third quarter of fiscal 2012.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January 26, 2013 compared to the same period one year ago as the current period included contracts for video display systems at two NFL stadiums and a university with a combined total of $19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increase in net sales for the three months ended January 26, 2013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increased demand in video projects, which converted to sales in the third quarter of fiscal 2013. Orders for the three months ended January 26, 2013 compared to the same period one year ago increased as the result of schools demonstrating more willingness to move forward with projects and the increasing demand in video systems for high schools.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three months ended January 26, 2013 compared to the same period one year ago was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on an order booked during the first quarter of fiscal 2013 for a major airport, as previously disclosed.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three months ended January 26, 2013 compared to the same period one year ago was the result of being awarded contracts with three different state transportation authorities totaling $11.1 million.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decrease in net sales in our International business unit for the three months ended January 26, 2013 compared to the same period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ago is the net result of a lower beginning backlog for the third quarter of fiscal 2013 compared to the same period of fiscal 2012, timing of orders, and progress on large projects. We believe sales during the fourth quarter of fiscal 2013 will be higher compared to the same period of the previous year.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three months ended January 26, 2013 compared to the same period one year ago was led by a $3.1 million order from a third-party advertising company and a $3.9 million order for a video display system for a horse race track.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January 26, 2013 was $149 million as compared to $121 million as of January 28, 2012 and $128 million at the end of second quarter of fiscal 2013. Historically, our backlog varies due to the seasonality of our business, the timing of large orders, and customer delivery schedules for these orders. The backlog increased from one year ago in our Commercial, Live Events, Schools and Theatres and International business units and decreased in our Transportation business unit.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methodologies used by other companies in determining their backlog amounts. Our backlog is equal to the amount of net sales expected to be recognized in future periods on standard product and contract sales that are evidenced by an arrangement, with prices that are fixed and determinable and with collectability being reasonably assured. Arrangements in our backlog may be canceled, modified or otherwise altered. Lead times for orders in our backlog can range from a week to several years. Most standard product lead time is less than eight weeks, but large contracts can range from 12 weeks to more than a year. Thus, overall backlog is not directly indicative of sales in future quarters.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26, 2013</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24.4%</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26.7%</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4,358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16.4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6,218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22.5</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17.9</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7,118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30.2</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28.2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29.5</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26.3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27,049</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24.4%</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27,855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22.7%</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three months ended January 26, 2013 compared to the same period one year ago was the net result of the following:</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three months ended January 26, 2013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market pressures on pricing in the billboard niche, costs incurred to cover a product outside of warranty obligations, which were partially offset by an improvement of reseller and national account business due to sales mix, increased manufacturing and services infrastructure utilization and cost management, and a reduction in warranty costs as a percentage of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for the three months ended January 26, 2013 compared to the same period one year ago was flat.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Schools and Theatres: </w:t>
      </w:r>
      <w:r>
        <w:rPr>
          <w:rFonts w:ascii="Arial" w:cs="Arial" w:eastAsia="Arial" w:hAnsi="Arial"/>
          <w:sz w:val="16"/>
          <w:szCs w:val="16"/>
          <w:color w:val="auto"/>
        </w:rPr>
        <w:t>The gross profit percent increase for the three months ended January 26, 2013 compared to the same period one year ago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 more favorable product sales mix, increased manufacturing utilization and cost management, and lower warranty costs as a percentage of sales.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three months ended January 26, 2013 compared to the same period one year ago was the net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an increase in margin from a more favorable product sales mix and improved profitability on the contracts produced this quarter, increased manufacturing and services infrastructure utilization and a decrease in warranty expenses as a percentage of sales.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January 26, 2013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improved margins on product sales mix.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26, 2013</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3,114</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11.7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3,574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9.3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21.8</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25.7</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13,341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were slightly higher in the three months ended January 26, 2013 compared to the same period one year ago due to the net effect of the following: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Commercial selling expenses decreased approximately seven percent in the third quarter of fiscal 2013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The decrease was the result of reductions in travel and entertainment expenses and various other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Selling expenses decreased by approximately 13 percent in the third quarter of fiscal 2013 compared to the same period in fiscal 2012. This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decrease of $0.3 million in personnel costs, including salary, taxes, and employee benefits, and a decrease of $0.1 million in convention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Selling expenses decreased approximately seven percent compared to the same period in fiscal 2012. This was mainly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bad debt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Selling expenses remained flat for the third quarter of fiscal 2013 compared to the same period one year ago.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Selling expenses increased by approximately 45 percent compared to the same period in fiscal 2012 due to increases in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bad debt expense. We use third parties in various locations around the world to expand market opportunities, and these types of expenses will recur only if the third party is successful in procuring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26, 2013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6,974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40"/>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for administrative departments, training costs, amortization of intangibles and the costs of supplies.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 the third quarter of fiscal 2013 as compared to the same period one year ago decreased primarily due to reductions in information system related expenses and professional services expenses. These reductions in expenses relate to one-time costs incurred in the third quarter of fiscal 2012 related to information technology consulting on development projects and professional services costs to support the expansion of our international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facilities cost and equipment-related costs and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development investments in the near term are focused on video technology with a range of pixel pitches for outdoor applications using LED surface mount technology, which offer improved performance at a lower cost point over our current offerings. In addition, we continue to focus on a new full-color family of Vanguard displays for the transportation market and various other products to standardize display components and control systems for both single site displays and networked displays. Our costs for product development represent engineering time charges, materials costs and an allocation of overhead based on time charges of our</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engineering departments. Approximately 70 percent of our engineering time is spent on product development, while the rest is allocated to large contract work and included in cost of goods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remained flat in the third quarter of fiscal 2013 as compared to the same period one year ago.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26, 2013</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565.5 %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Interest income, net: </w:t>
      </w:r>
      <w:r>
        <w:rPr>
          <w:rFonts w:ascii="Arial" w:cs="Arial" w:eastAsia="Arial" w:hAnsi="Arial"/>
          <w:sz w:val="16"/>
          <w:szCs w:val="16"/>
          <w:color w:val="auto"/>
        </w:rPr>
        <w:t>We generate interest income through short-term cash investments, marketable securities, and product sales on an installment basis,</w:t>
      </w:r>
      <w:r>
        <w:rPr>
          <w:rFonts w:ascii="Arial" w:cs="Arial" w:eastAsia="Arial" w:hAnsi="Arial"/>
          <w:sz w:val="16"/>
          <w:szCs w:val="16"/>
          <w:i w:val="1"/>
          <w:iCs w:val="1"/>
          <w:color w:val="auto"/>
        </w:rPr>
        <w:t xml:space="preserve"> </w:t>
      </w:r>
      <w:r>
        <w:rPr>
          <w:rFonts w:ascii="Arial" w:cs="Arial" w:eastAsia="Arial" w:hAnsi="Arial"/>
          <w:sz w:val="16"/>
          <w:szCs w:val="16"/>
          <w:color w:val="auto"/>
        </w:rPr>
        <w:t>under lease arrangements, or in exchange for the rights to sell and retain advertising revenues from displays, which generates interest income from long-term receivables. Interest expense is comprised primarily of interest costs on long-term marketing obligations and the unused portion of our line of credit.</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was relatively flat in the third quarter of fiscal 2013 compared to the same period one year ago. Interest expense decreased slightly in the third quarter of fiscal 2013 as compared to the same period in fiscal 2012 due to the full repayment of outstanding debt on our line of credit in China.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We realized an increase of $0.2 million in expenses from the net result of other income and expenses for the third quarter of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same period one year ago due to an increase in foreign currency losses for changes in the fair value of currency hedges and various other non-operating gains.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effective tax rate was 31.2 percent, excluding a one-time retroactive extension of the research tax credit, which resulted in an effective tax benefit rate of 119.6 percent for the third quarter of fiscal 2013 as compared to an effective tax rate of 23.9 percent for the third quarter of fiscal 2012. </w:t>
      </w:r>
      <w:r>
        <w:rPr>
          <w:rFonts w:ascii="Arial" w:cs="Arial" w:eastAsia="Arial" w:hAnsi="Arial"/>
          <w:sz w:val="17"/>
          <w:szCs w:val="17"/>
          <w:color w:val="252525"/>
        </w:rPr>
        <w:t>On January 2, 2013,</w:t>
      </w:r>
      <w:r>
        <w:rPr>
          <w:rFonts w:ascii="Arial" w:cs="Arial" w:eastAsia="Arial" w:hAnsi="Arial"/>
          <w:sz w:val="17"/>
          <w:szCs w:val="17"/>
          <w:color w:val="auto"/>
        </w:rPr>
        <w:t xml:space="preserve"> </w:t>
      </w:r>
      <w:r>
        <w:rPr>
          <w:rFonts w:ascii="Arial" w:cs="Arial" w:eastAsia="Arial" w:hAnsi="Arial"/>
          <w:sz w:val="17"/>
          <w:szCs w:val="17"/>
          <w:color w:val="252525"/>
        </w:rPr>
        <w:t xml:space="preserve">the President signed into law The American Taxpayer Relief Act of 2012. Under prior law, a taxpayer was entitled to a research tax credit for qualifying amounts paid or incurred on or before December 31, 2011 and extends the research credit for two years to December 31, 2013. </w:t>
      </w:r>
      <w:r>
        <w:rPr>
          <w:rFonts w:ascii="Arial" w:cs="Arial" w:eastAsia="Arial" w:hAnsi="Arial"/>
          <w:sz w:val="17"/>
          <w:szCs w:val="17"/>
          <w:color w:val="000000"/>
        </w:rPr>
        <w:t>As a result of the retroactive</w:t>
      </w:r>
      <w:r>
        <w:rPr>
          <w:rFonts w:ascii="Arial" w:cs="Arial" w:eastAsia="Arial" w:hAnsi="Arial"/>
          <w:sz w:val="17"/>
          <w:szCs w:val="17"/>
          <w:color w:val="252525"/>
        </w:rPr>
        <w:t xml:space="preserve"> </w:t>
      </w:r>
      <w:r>
        <w:rPr>
          <w:rFonts w:ascii="Arial" w:cs="Arial" w:eastAsia="Arial" w:hAnsi="Arial"/>
          <w:sz w:val="17"/>
          <w:szCs w:val="17"/>
          <w:color w:val="000000"/>
        </w:rPr>
        <w:t>extension, we recognized in the third quarter of fiscal 2013 approximately $1.9 million in tax benefits from the credit. In addition, we received a tax benefit for the dividend payment to employees in the Daktronics 401k ESOP plan of $0.6 million.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w w:val="98"/>
              </w:rPr>
              <w:t>COMPARISON OF THE NINE MONTHS ENDED JANUARY 26, 2013 AND JANUARY 28, 2012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ind w:left="180"/>
              <w:spacing w:after="0"/>
              <w:rPr>
                <w:sz w:val="20"/>
                <w:szCs w:val="20"/>
                <w:color w:val="auto"/>
              </w:rPr>
            </w:pPr>
            <w:r>
              <w:rPr>
                <w:rFonts w:ascii="Arial" w:cs="Arial" w:eastAsia="Arial" w:hAnsi="Arial"/>
                <w:sz w:val="18"/>
                <w:szCs w:val="18"/>
                <w:b w:val="1"/>
                <w:bCs w:val="1"/>
                <w:color w:val="auto"/>
                <w:w w:val="91"/>
              </w:rPr>
              <w:t>Nine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109,127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115,239</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121,641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123,676</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46,418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57,713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34,201</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57,998</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393,840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377,532</w:t>
            </w:r>
          </w:p>
        </w:tc>
        <w:tc>
          <w:tcPr>
            <w:tcW w:w="2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113,622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111,319</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132,285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122,507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48,106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41,589</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43,459</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64,667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46,117</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418,184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364,991</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the nine months ended January 26, 2013 compared to the same period one year ago was the net result of:</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$8.0 million in sales for large video display projects due to delayed orders for custom video projects.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$2.2 million in sales to outdoor advertising companies due to lower demand from our billboard customers.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$2.9 million in sales of on-premise advertising displays, which was primarily due to an increase in orders for a national account customer replacement program, as previously disclosed, and an improved economy.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nine months ended January 26, 2013 compared to the same period one year ago was the result of an increase of $2.3 million in service maintenance agreements.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slight decrease in net sales for the nine months ended January 26, 2013 compared to the same period one year ago was the net result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sales recognition due to customers' schedules and related production plans. Orders for the nine months ended January 26, 2013 compared to the same period one year ago increased $9.8 million, which was attributed to increases in orders for NFL stadiums, universities, and arena systems.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increase in net sales for the nine months ended January 26, 2013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demonstrating more willingness this year than in fiscal 2012 to move forward with projects and the increasing demand in video projects for high schools. Increase in orders for the nine months ended January 26, 2013 compared to the same period one year ago was the result of factors in net sales as noted already.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nine months ended January 26, 2013 compared to the same period one year ago was led by sales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 large procurement contract compared to the previous year and an order for $21 million in video displays at the LAX Bradley International Terminal in Los Angeles. Increase in orders for the nine months ended January 26, 2013 compared to the same period one year ago was the result of factors in net sales as noted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decrease in net sales for the nine months ended January 26, 2013 compared to the same period one year ago was the result of timing</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in the production and installation of orders booked. The increase in orders was led by orders from a number of outdoor advertising companies located around the world, a $6 million large architectural lighting project, orders for two international sports stadiums totaling in excess of $3 million, and large orders for third-party advertising.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26, 2013</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27.0%</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25.4%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26,016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21.4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21,908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17.7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26.8</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25.8</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20,730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35.9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10,720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29.3</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25.7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105,791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26.9%</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88,830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23.5%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our gross profit percentage for the nine months ended January 26, 2013 compared to the same period one year ago was the net result of the changes described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in the Commercial business unit for the nine months ended January 26, 2013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the result of sales mix.</w:t>
      </w:r>
    </w:p>
    <w:p>
      <w:pPr>
        <w:spacing w:after="0" w:line="17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the nine months ended January 26, 2013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the result of lowered manufacturing infrastructure costs and improved sales mix.</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increase in the Schools and Theatres business unit for the nine months ended January 26,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one year ago primarily was the result of increased manufacturing utilization from the overall higher sales volumes and cost reduction initiatives.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the nine months ended January 26, 2013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net result of:</w:t>
      </w:r>
    </w:p>
    <w:p>
      <w:pPr>
        <w:spacing w:after="0" w:line="17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manufacturing utilization from the overall higher sales volumes, which increased gross profit percentages by approximately three percentage 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approximately one percentage point due to lower warranty costs as a percentage of net sales.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in the International business unit for the nine months ended January 26, 2013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net result of:</w:t>
      </w:r>
    </w:p>
    <w:p>
      <w:pPr>
        <w:spacing w:after="0" w:line="170" w:lineRule="exact"/>
        <w:rPr>
          <w:sz w:val="20"/>
          <w:szCs w:val="20"/>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gross margin on product sales, which increased the overall gross profit by approximately six percentage points. This increase was the result of a number of factors, including increased demand for higher quality products in large video displays and architectural lighting applications that provide higher margins.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approximately two percentage points due to increased costs from services.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approximately one percentage point as a result of higher warranty expenses that occurred during the first quarter of fiscal 2013 due to one significant claim.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26, 2013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9,624</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9,835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7,767</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8,005</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2,408</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2,501</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9,324</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17.4</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selling expenses in the first nine months of fiscal 2013 compared to the same period one year ago was the net result of the following:</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Selling expenses remained flat for the first nine months of fiscal 2013 compared to the same period in fiscal 2012 due to a $0.4 million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personnel costs, including taxes and benefits, which were partially offset by a $0.2 million decrease in travel and entertainment expenses and a $0.3 million decrease in various other expenses.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selling expenses for the first nine months of fiscal 2013 compared to the same period in fiscal 2012 was the result of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 $0.2 million decrease in travel and entertainment and convention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Schools &amp; Theatres: </w:t>
      </w:r>
      <w:r>
        <w:rPr>
          <w:rFonts w:ascii="Arial" w:cs="Arial" w:eastAsia="Arial" w:hAnsi="Arial"/>
          <w:sz w:val="18"/>
          <w:szCs w:val="18"/>
          <w:color w:val="auto"/>
        </w:rPr>
        <w:t>The decrease in selling expenses for the first nine months of fiscal 2013 compared to the same period in fiscal 2012 was a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decrease in bad debts and various other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Selling expenses for the first nine months of fiscal 2013 compared to the same period one year ago decreased as a result of cost containment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offsetting increases in other variable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increase in selling expenses for the first nine months of fiscal 2013 compared to the same period one year ago was the net result of:</w:t>
      </w:r>
    </w:p>
    <w:p>
      <w:pPr>
        <w:spacing w:after="0" w:line="237"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million increase in third-party commissions on significant contracts. Third-party sales agents are contracted from time-to-time to penetrate geographic locations where we have limited presence.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$0.4 million increase in personnel costs, including taxes and benefits, due to increases in headcount from the previous year to support our growth in international orders for fiscal 2013.</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increase of $0.2 million in various other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26, 2013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17,477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17,050</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General and administrative expenses in the first nine months of fiscal 2013 have declined as compared to the same period one year ago. The reduction in expenses was due to our continued focus on reducing spending during the current year as a part of our strategic goals to improve operating income.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product development expense in the first nine months of fiscal 2013 as compared to the same period one year ago was the net result of the following:</w:t>
      </w:r>
    </w:p>
    <w:p>
      <w:pPr>
        <w:spacing w:after="0" w:line="170" w:lineRule="exact"/>
        <w:rPr>
          <w:sz w:val="20"/>
          <w:szCs w:val="20"/>
          <w:color w:val="auto"/>
        </w:rPr>
      </w:pPr>
    </w:p>
    <w:p>
      <w:pPr>
        <w:ind w:left="660" w:right="20" w:hanging="328"/>
        <w:spacing w:after="0" w:line="27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personnel costs, including taxes and benefits, of $0.8 million as a result of slight increases in headcount, salary and benefit costs due to normal variations within the business and our continued focus to support the growth of our display and control system platforms.</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material costs related to product development of $0.2 million as a result of the timing of projects for prototyping new products and the stage of product development.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$0.2 million in various other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26, 2013</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7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Interest income declined slightly for the nine months ended January 26, 2013 as compared to the same period in fiscal 2012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levels of long-term receivables. Interest expense decreased for the nine months ended January 26, 2013 compared to the nine months ended January 28, 2012 as a result of repayments in full on borrowings in China during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expenses, net remained flat for the nine months ended January 26, 2013 as compared to the same period one year ago.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was approximately 28.9 percent for the first nine months of fiscal 2013 as compared to 34.7 percent for the first nine months of fiscal 2012. In comparing the first nine months of fiscal 2013 to the same period in fiscal 2012, changes in the effective tax rate were primarily due to the net impact of the following items:</w:t>
      </w:r>
    </w:p>
    <w:p>
      <w:pPr>
        <w:spacing w:after="0" w:line="181" w:lineRule="exact"/>
        <w:rPr>
          <w:sz w:val="20"/>
          <w:szCs w:val="20"/>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annual estimated effective tax rate of approximately 2.7 percentage points as a result of the impact of non- deductible meals and entertainment costs and stock compensation expense on a higher projected income compared to similar level expenses on a lower projected income in fiscal 2012.</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1.2 percentage points due to an international tax change.</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combined decrease in the annual estimated effective tax rate and current effective tax rate of approximately 1.4 percentage points due to the reinstated research and development tax credit, which was not in effect for three months near the end of fiscal 2012.</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within multiple taxing jurisdictions, both domestic and international, and we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because different taxing jurisdictions have different statutes of limitations. During the third quarter of fiscal 2013, the United States Internal Revenue Service (IRS) completed and approved the examination of our U.S. federal tax returns for fiscal years 2009 and 2010. The Chinese tax authorities recently completed an audit of our tax returns for calendar years prior to 2012 in connection with a transfer of location of our business address in China.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ind w:left="180"/>
              <w:spacing w:after="0"/>
              <w:rPr>
                <w:sz w:val="20"/>
                <w:szCs w:val="20"/>
                <w:color w:val="auto"/>
              </w:rPr>
            </w:pPr>
            <w:r>
              <w:rPr>
                <w:rFonts w:ascii="Arial" w:cs="Arial" w:eastAsia="Arial" w:hAnsi="Arial"/>
                <w:sz w:val="18"/>
                <w:szCs w:val="18"/>
                <w:b w:val="1"/>
                <w:bCs w:val="1"/>
                <w:color w:val="auto"/>
                <w:w w:val="91"/>
              </w:rPr>
              <w:t>Nine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33,255</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8,393</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(9,508)</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(25,756)</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increase in cash from operating activities for the first nine months of fiscal 2013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2012 was the net result of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net income of $11.9 million plus $14.6 million from a reduction of changes in net operating assets and liabilities, adjusted by depreciation and amortization of $1.6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most significant drivers of the change in net operating assets and liabilities were the net result of the following:</w:t>
      </w:r>
    </w:p>
    <w:p>
      <w:pPr>
        <w:spacing w:after="0" w:line="210"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decrease in cash resulting from an increase in costs and earnings in excess of billings of $18.1 million. Variability in costs and earnings in excess of billings relates to the timing of billings on construction-type contracts and revenue recognition, which can vary significantly depending on contractual payment terms and build and installation schedules. As of January 26, 2013, $17.7 million of the increase related to three different transportation projects.</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reduction in accounts receivable that improved cash from operations by $7.5 million primarily due to receiving two significant progress payments totaling $4.2 million that were outstanding at the end of fiscal 2012. The remaining decline relates to a decrease in sales volume that we realized during the third quarter and the timing of billings related to projects in progress.</w:t>
      </w:r>
    </w:p>
    <w:p>
      <w:pPr>
        <w:spacing w:after="0" w:line="1"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decline in inventories, which increased cash from operations by $6.0 million. Changes in inventory are primarily the result of using inventory in production specified for a significant transportation project and inventory management initiatives. Inventory levels can be impacted by timing of large orders.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change in various other operating assets and liabilities, which decreased cash from operations by $3.1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decrease in cash used in investing activities for the first nine months of fiscal 2013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2012 was the result of the net effect of the 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net cash invested in marketable securities, net of maturities. Our investment approach has remained consistent year over year as we try to maintain a consistent level of marketable securities and, therefore, the change was the result of the timing of investment decisions and investments of excess cash in marketable securities.</w:t>
      </w:r>
    </w:p>
    <w:p>
      <w:pPr>
        <w:jc w:val="both"/>
        <w:ind w:left="660" w:right="20" w:hanging="328"/>
        <w:spacing w:after="0" w:line="277"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decrease in purchases of property and equipment of $5.8 million. During the first nine months of fiscal 2013, we invested $2.6 million in manufacturing equipment, $1.6 million in product demonstration equipment, $1.7 million in information systems infrastructure, including software, and $0.8 million in other assets. Capital expenditures are expected to be less than $11 million for the 2013 fiscal year as a whole.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increase in cash used in financing activities for the first nine months of fiscal 2013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2012 was the result of a $4.9 million increase in dividends paid to shareholders as explained elsewhere in this Report and net repayments of our short-term debt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January 26, 2013 was approximately $2.4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retainage on long-term contracts, all of which is expected to be collected within one year.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Working capital was $122.7 million at January 26, 2013 and $119.8 million at April 28, 2012. The increase in working capital was primarily the result of higher sales and the net changes between accounts receivable, inventories and cost and estimated earnings in excess of billings. We have historically financed working capital needs through a combination of cash flow from operations and borrowings under bank credit agreements.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used and expect to continue to use cash reserves and, to a lesser extent ,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credit agreement with a U.S. bank that provides for a $35.0 million line of credit and includes up to $15.0 million for standby letters of credit. The line of credit is due on November 15, 2013. The interest rate ranges from LIBOR plus 125 basis points to LIBOR plus 175 basis points depending on the ratio of our interest-bearing debt to EBITDA. EBITDA is defined as net income before income taxes, interest expense, depreciation and amortization. The effective interest rate was 1.5 percent at January 26, 2013. We are assessed a loan fee equal to 0.125 percent per annum of any non-used portion of the loan. As of January 26, 2013, there were no advances under the line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additional credit agreement with another U.S. bank that expires on November 15, 2013 that is intended to support our credit needs outside of the United States. The facility provides for a $35.0 million line of credit and includes facilities for letters of credit and bank guarantees and to secure foreign loans for our international subsidiaries. The U.S. credit agreement is unsecured and is cross collateralized with the $35.0 million line of credit described above. It contains the same covenants as the credit agreement for that line of credit. As of January 26, 2013, there were no advances under the line of credit.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January 26, 2013 and April 28, 2012. The minimum fixed charge coverage ratio as of January 26, 2013 was 91-to-1, and the ratio of interest-bearing debt to EBITDA as of January 26, 2013 was 0.02-to-1.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24, 2012, our Board of Directors declared a semi-annual dividend of $0.115 per share on our common stock for the fiscal year ended April 28, 2012, which was paid on June 25, 2012.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29, 2012, our Board of Directors declared a semi-annual dividend payment of $0.115 and a special dividend of $0.50 per share on our common stock. The dividend was paid on December 20, 2012. Although we expect to continue to pay dividends for the foreseeable future, any and all subsequent dividends will be reviewed regularly and declared by the Board at its discretion.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$100.0 million in bonded work outstanding. At January 26, 2013, we had $21.6 million of bonded work outstanding against this line.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facilities or seek other means of financing. We anticipate that we will be able to obtain any needed funds under commercially reasonable terms from our current lenders or other sources. We believe that our working capital available from all sources will be adequate to meet the cash requirements of our operations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 January 26, 2013, most of our net sales were denominated in United States dollars, and our exposure to foreign currency exchange rate changes on net sales has not been significant. For the third quarter and year to date of fiscal 2013, net sales originating outside the United States were 19.6 percent and 16.0 percent of total net sales, respectively, of which a portion was denominated in Canadian dollars, Euros, Chinese renminbi, British pounds, Australian dollars, Brazilian reais or other currencies. If we believed that currency risk in any foreign location was significant, we would utilize foreign exchange hedging contracts to manage our exposure to the currency fluctuations. 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United States dollar. To the extent that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January 26, 2013, our outstanding marketing obligations were $0.7 million, substantially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January 26, 2013, our outstanding long-term receivables were $17.3 million. Each 25 basis point increase in interest rates would have an associated annual opportunity cost of $0.1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maturities and weighted average interest rates on our financial instruments that are sensitive to changes in interest rates.</w:t>
      </w:r>
    </w:p>
    <w:p>
      <w:pPr>
        <w:spacing w:after="0" w:line="17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cash balances at January 26, 2013, $16.8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26, 2013, which is the end of the period covered by this Report. Based upon that evaluation, the Chief Executive Officer and Chief Financial Officer concluded that as of January 26, 2013,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26, 2013, there was no change in our internal control over financial reporting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28, 2012.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10.1</w:t>
            </w:r>
          </w:p>
        </w:tc>
        <w:tc>
          <w:tcPr>
            <w:tcW w:w="107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6"/>
              </w:rPr>
              <w:t>Eleventh Amendment to Loan Agreement dated November 9, 2012 by and between the Company and U.S. Bank National Association. (1)</w:t>
            </w:r>
          </w:p>
        </w:tc>
        <w:tc>
          <w:tcPr>
            <w:tcW w:w="0" w:type="dxa"/>
            <w:vAlign w:val="bottom"/>
          </w:tcPr>
          <w:p>
            <w:pPr>
              <w:spacing w:after="0"/>
              <w:rPr>
                <w:sz w:val="1"/>
                <w:szCs w:val="1"/>
                <w:color w:val="auto"/>
              </w:rPr>
            </w:pPr>
          </w:p>
        </w:tc>
      </w:tr>
      <w:tr>
        <w:trPr>
          <w:trHeight w:val="74"/>
        </w:trPr>
        <w:tc>
          <w:tcPr>
            <w:tcW w:w="480" w:type="dxa"/>
            <w:vAlign w:val="bottom"/>
            <w:shd w:val="clear" w:color="auto" w:fill="CCEEFF"/>
          </w:tcPr>
          <w:p>
            <w:pPr>
              <w:spacing w:after="0"/>
              <w:rPr>
                <w:sz w:val="6"/>
                <w:szCs w:val="6"/>
                <w:color w:val="auto"/>
              </w:rPr>
            </w:pPr>
          </w:p>
        </w:tc>
        <w:tc>
          <w:tcPr>
            <w:tcW w:w="10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CCEEFF"/>
          </w:tcPr>
          <w:p>
            <w:pPr>
              <w:spacing w:after="0"/>
              <w:rPr>
                <w:sz w:val="9"/>
                <w:szCs w:val="9"/>
                <w:color w:val="auto"/>
              </w:rPr>
            </w:pPr>
          </w:p>
        </w:tc>
        <w:tc>
          <w:tcPr>
            <w:tcW w:w="10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10.2</w:t>
            </w:r>
          </w:p>
        </w:tc>
        <w:tc>
          <w:tcPr>
            <w:tcW w:w="10760" w:type="dxa"/>
            <w:vAlign w:val="bottom"/>
            <w:vMerge w:val="restart"/>
          </w:tcPr>
          <w:p>
            <w:pPr>
              <w:ind w:left="120"/>
              <w:spacing w:after="0"/>
              <w:rPr>
                <w:sz w:val="20"/>
                <w:szCs w:val="20"/>
                <w:color w:val="auto"/>
              </w:rPr>
            </w:pPr>
            <w:r>
              <w:rPr>
                <w:rFonts w:ascii="Arial" w:cs="Arial" w:eastAsia="Arial" w:hAnsi="Arial"/>
                <w:sz w:val="18"/>
                <w:szCs w:val="18"/>
                <w:color w:val="auto"/>
              </w:rPr>
              <w:t>Renewal Revolving Note Dated November 9, 2012 between the Company and U.S. Bank National Association. (1)</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0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0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10.3</w:t>
            </w:r>
          </w:p>
        </w:tc>
        <w:tc>
          <w:tcPr>
            <w:tcW w:w="10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Fourth Amendment to Loan Agreement dated November 9, 2012 by and between the Company and Bank of America, N.A. (1)</w:t>
            </w:r>
          </w:p>
        </w:tc>
        <w:tc>
          <w:tcPr>
            <w:tcW w:w="0" w:type="dxa"/>
            <w:vAlign w:val="bottom"/>
          </w:tcPr>
          <w:p>
            <w:pPr>
              <w:spacing w:after="0"/>
              <w:rPr>
                <w:sz w:val="1"/>
                <w:szCs w:val="1"/>
                <w:color w:val="auto"/>
              </w:rPr>
            </w:pPr>
          </w:p>
        </w:tc>
      </w:tr>
      <w:tr>
        <w:trPr>
          <w:trHeight w:val="229"/>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10.4</w:t>
            </w:r>
          </w:p>
        </w:tc>
        <w:tc>
          <w:tcPr>
            <w:tcW w:w="10760" w:type="dxa"/>
            <w:vAlign w:val="bottom"/>
          </w:tcPr>
          <w:p>
            <w:pPr>
              <w:ind w:left="120"/>
              <w:spacing w:after="0"/>
              <w:rPr>
                <w:sz w:val="20"/>
                <w:szCs w:val="20"/>
                <w:color w:val="auto"/>
              </w:rPr>
            </w:pPr>
            <w:r>
              <w:rPr>
                <w:rFonts w:ascii="Arial" w:cs="Arial" w:eastAsia="Arial" w:hAnsi="Arial"/>
                <w:sz w:val="18"/>
                <w:szCs w:val="18"/>
                <w:color w:val="auto"/>
                <w:w w:val="93"/>
              </w:rPr>
              <w:t>Reaffirmation and Second Amendment to Unlimited Guaranty Agreement dated November 9, 2012 by and between the Company and Bank of</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America, N.A. (1)</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10.5</w:t>
            </w:r>
          </w:p>
        </w:tc>
        <w:tc>
          <w:tcPr>
            <w:tcW w:w="107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Amended and Restated Revolving Note Dated November 9, 2012 between the Company and Bank of America, N.A. (1)</w:t>
            </w:r>
          </w:p>
        </w:tc>
        <w:tc>
          <w:tcPr>
            <w:tcW w:w="0" w:type="dxa"/>
            <w:vAlign w:val="bottom"/>
          </w:tcPr>
          <w:p>
            <w:pPr>
              <w:spacing w:after="0"/>
              <w:rPr>
                <w:sz w:val="1"/>
                <w:szCs w:val="1"/>
                <w:color w:val="auto"/>
              </w:rPr>
            </w:pPr>
          </w:p>
        </w:tc>
      </w:tr>
      <w:tr>
        <w:trPr>
          <w:trHeight w:val="81"/>
        </w:trPr>
        <w:tc>
          <w:tcPr>
            <w:tcW w:w="480" w:type="dxa"/>
            <w:vAlign w:val="bottom"/>
            <w:shd w:val="clear" w:color="auto" w:fill="CCEEFF"/>
          </w:tcPr>
          <w:p>
            <w:pPr>
              <w:spacing w:after="0"/>
              <w:rPr>
                <w:sz w:val="7"/>
                <w:szCs w:val="7"/>
                <w:color w:val="auto"/>
              </w:rPr>
            </w:pPr>
          </w:p>
        </w:tc>
        <w:tc>
          <w:tcPr>
            <w:tcW w:w="10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CCEEFF"/>
          </w:tcPr>
          <w:p>
            <w:pPr>
              <w:spacing w:after="0"/>
              <w:rPr>
                <w:sz w:val="9"/>
                <w:szCs w:val="9"/>
                <w:color w:val="auto"/>
              </w:rPr>
            </w:pPr>
          </w:p>
        </w:tc>
        <w:tc>
          <w:tcPr>
            <w:tcW w:w="10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10.6</w:t>
            </w:r>
          </w:p>
        </w:tc>
        <w:tc>
          <w:tcPr>
            <w:tcW w:w="10760" w:type="dxa"/>
            <w:vAlign w:val="bottom"/>
          </w:tcPr>
          <w:p>
            <w:pPr>
              <w:ind w:left="120"/>
              <w:spacing w:after="0"/>
              <w:rPr>
                <w:sz w:val="20"/>
                <w:szCs w:val="20"/>
                <w:color w:val="auto"/>
              </w:rPr>
            </w:pPr>
            <w:r>
              <w:rPr>
                <w:rFonts w:ascii="Arial" w:cs="Arial" w:eastAsia="Arial" w:hAnsi="Arial"/>
                <w:sz w:val="18"/>
                <w:szCs w:val="18"/>
                <w:color w:val="auto"/>
              </w:rPr>
              <w:t>Separation Agreement dated October 7, 2012 by and between the Company and William R. Retterath. (2)</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0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31.1</w:t>
            </w:r>
          </w:p>
        </w:tc>
        <w:tc>
          <w:tcPr>
            <w:tcW w:w="10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Certification of the Chief Executive Officer required by Rule 13a-14(a) or Rule 15d-14(a) under the Securities Exchange Act of 1934, as adopted</w:t>
            </w:r>
          </w:p>
        </w:tc>
        <w:tc>
          <w:tcPr>
            <w:tcW w:w="0" w:type="dxa"/>
            <w:vAlign w:val="bottom"/>
          </w:tcPr>
          <w:p>
            <w:pPr>
              <w:spacing w:after="0"/>
              <w:rPr>
                <w:sz w:val="1"/>
                <w:szCs w:val="1"/>
                <w:color w:val="auto"/>
              </w:rPr>
            </w:pP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10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pursuant to Section 302 of the Sarbanes-Oxley Act of 2002. *</w:t>
            </w:r>
          </w:p>
        </w:tc>
        <w:tc>
          <w:tcPr>
            <w:tcW w:w="0" w:type="dxa"/>
            <w:vAlign w:val="bottom"/>
          </w:tcPr>
          <w:p>
            <w:pPr>
              <w:spacing w:after="0"/>
              <w:rPr>
                <w:sz w:val="1"/>
                <w:szCs w:val="1"/>
                <w:color w:val="auto"/>
              </w:rPr>
            </w:pPr>
          </w:p>
        </w:tc>
      </w:tr>
      <w:tr>
        <w:trPr>
          <w:trHeight w:val="229"/>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31.2</w:t>
            </w:r>
          </w:p>
        </w:tc>
        <w:tc>
          <w:tcPr>
            <w:tcW w:w="10760" w:type="dxa"/>
            <w:vAlign w:val="bottom"/>
          </w:tcPr>
          <w:p>
            <w:pPr>
              <w:ind w:left="120"/>
              <w:spacing w:after="0"/>
              <w:rPr>
                <w:sz w:val="20"/>
                <w:szCs w:val="20"/>
                <w:color w:val="auto"/>
              </w:rPr>
            </w:pPr>
            <w:r>
              <w:rPr>
                <w:rFonts w:ascii="Arial" w:cs="Arial" w:eastAsia="Arial" w:hAnsi="Arial"/>
                <w:sz w:val="18"/>
                <w:szCs w:val="18"/>
                <w:color w:val="auto"/>
                <w:w w:val="93"/>
              </w:rPr>
              <w:t>Certification of the Chief Financial Officer required by Rule 13a-14(a) or Rule 15d-14(a) under the Securities Exchange Act of 1934, as adopted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0760" w:type="dxa"/>
            <w:vAlign w:val="bottom"/>
          </w:tcPr>
          <w:p>
            <w:pPr>
              <w:ind w:left="120"/>
              <w:spacing w:after="0"/>
              <w:rPr>
                <w:sz w:val="20"/>
                <w:szCs w:val="20"/>
                <w:color w:val="auto"/>
              </w:rPr>
            </w:pPr>
            <w:r>
              <w:rPr>
                <w:rFonts w:ascii="Arial" w:cs="Arial" w:eastAsia="Arial" w:hAnsi="Arial"/>
                <w:sz w:val="18"/>
                <w:szCs w:val="18"/>
                <w:color w:val="auto"/>
              </w:rPr>
              <w:t>pursuant to Section 302 of the Sarbanes-Oxley Act of 2002. *</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32.1</w:t>
            </w:r>
          </w:p>
        </w:tc>
        <w:tc>
          <w:tcPr>
            <w:tcW w:w="10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Certification of the Chief Executive Officer pursuant to Section 906 of the Sarbanes-Oxley Act of 2002 (18 U.S.C. Section 1350). *</w:t>
            </w:r>
          </w:p>
        </w:tc>
        <w:tc>
          <w:tcPr>
            <w:tcW w:w="0" w:type="dxa"/>
            <w:vAlign w:val="bottom"/>
          </w:tcPr>
          <w:p>
            <w:pPr>
              <w:spacing w:after="0"/>
              <w:rPr>
                <w:sz w:val="1"/>
                <w:szCs w:val="1"/>
                <w:color w:val="auto"/>
              </w:rPr>
            </w:pPr>
          </w:p>
        </w:tc>
      </w:tr>
      <w:tr>
        <w:trPr>
          <w:trHeight w:val="24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32.2</w:t>
            </w:r>
          </w:p>
        </w:tc>
        <w:tc>
          <w:tcPr>
            <w:tcW w:w="10760" w:type="dxa"/>
            <w:vAlign w:val="bottom"/>
          </w:tcPr>
          <w:p>
            <w:pPr>
              <w:ind w:left="120"/>
              <w:spacing w:after="0"/>
              <w:rPr>
                <w:sz w:val="20"/>
                <w:szCs w:val="20"/>
                <w:color w:val="auto"/>
              </w:rPr>
            </w:pPr>
            <w:r>
              <w:rPr>
                <w:rFonts w:ascii="Arial" w:cs="Arial" w:eastAsia="Arial" w:hAnsi="Arial"/>
                <w:sz w:val="18"/>
                <w:szCs w:val="18"/>
                <w:color w:val="auto"/>
              </w:rPr>
              <w:t>Certification of the Chief Financial Officer pursuant to Section 906 of the Sarbanes-Oxley Act of 2002 (18 U.S.C. Section 1350).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486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445770"/>
                    </a:xfrm>
                    <a:prstGeom prst="rect">
                      <a:avLst/>
                    </a:prstGeom>
                    <a:noFill/>
                  </pic:spPr>
                </pic:pic>
              </a:graphicData>
            </a:graphic>
          </wp:anchor>
        </w:drawing>
      </w:r>
    </w:p>
    <w:p>
      <w:pPr>
        <w:spacing w:after="0" w:line="20" w:lineRule="exact"/>
        <w:rPr>
          <w:sz w:val="20"/>
          <w:szCs w:val="20"/>
          <w:color w:val="auto"/>
        </w:rPr>
      </w:pPr>
    </w:p>
    <w:p>
      <w:pPr>
        <w:jc w:val="both"/>
        <w:ind w:left="580" w:right="180" w:hanging="572"/>
        <w:spacing w:after="0" w:line="286"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period ended January 26, 2013, formatted in Extensible Business Reporting Language (XBRL): (i) Consolidated Balance Sheets, (ii) Consolidated Statements of Operations, (iii) Consolidated Statements of Comprehensive Income, (iv) Consolidated Statements of Cash Flows, and (v) Notes to Consolidated Financial Statements.* (3)</w:t>
      </w:r>
    </w:p>
    <w:p>
      <w:pPr>
        <w:spacing w:after="0" w:line="3" w:lineRule="exact"/>
        <w:rPr>
          <w:rFonts w:ascii="Arial" w:cs="Arial" w:eastAsia="Arial" w:hAnsi="Arial"/>
          <w:sz w:val="17"/>
          <w:szCs w:val="17"/>
          <w:color w:val="auto"/>
        </w:rPr>
      </w:pPr>
    </w:p>
    <w:p>
      <w:pPr>
        <w:ind w:left="940" w:right="200" w:hanging="301"/>
        <w:spacing w:after="0" w:line="277"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filed on November 14, 2012.</w:t>
      </w:r>
    </w:p>
    <w:p>
      <w:pPr>
        <w:spacing w:after="0" w:line="8" w:lineRule="exact"/>
        <w:rPr>
          <w:rFonts w:ascii="Arial" w:cs="Arial" w:eastAsia="Arial" w:hAnsi="Arial"/>
          <w:sz w:val="18"/>
          <w:szCs w:val="18"/>
          <w:color w:val="auto"/>
        </w:rPr>
      </w:pPr>
    </w:p>
    <w:p>
      <w:pPr>
        <w:ind w:left="940" w:right="200" w:hanging="301"/>
        <w:spacing w:after="0" w:line="277"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Current Report on Form 8-K filed on October 12, 2012. Consists of a management contract or compensatory plan or arrangement.</w:t>
      </w:r>
    </w:p>
    <w:p>
      <w:pPr>
        <w:spacing w:after="0" w:line="8" w:lineRule="exact"/>
        <w:rPr>
          <w:rFonts w:ascii="Arial" w:cs="Arial" w:eastAsia="Arial" w:hAnsi="Arial"/>
          <w:sz w:val="18"/>
          <w:szCs w:val="18"/>
          <w:color w:val="auto"/>
        </w:rPr>
      </w:pPr>
    </w:p>
    <w:p>
      <w:pPr>
        <w:jc w:val="both"/>
        <w:ind w:left="940" w:right="200" w:hanging="301"/>
        <w:spacing w:after="0" w:line="279"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-893445</wp:posOffset>
            </wp:positionV>
            <wp:extent cx="71348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48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-1202055</wp:posOffset>
            </wp:positionV>
            <wp:extent cx="7134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ind w:left="700"/>
        <w:spacing w:after="0"/>
        <w:tabs>
          <w:tab w:leader="none" w:pos="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10.1</w:t>
            </w:r>
          </w:p>
        </w:tc>
        <w:tc>
          <w:tcPr>
            <w:tcW w:w="10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Eleventh Amendment to Loan Agreement dated November 9, 2012 by and between the Company and U.S. Bank National Association. (1)</w:t>
            </w:r>
          </w:p>
        </w:tc>
        <w:tc>
          <w:tcPr>
            <w:tcW w:w="0" w:type="dxa"/>
            <w:vAlign w:val="bottom"/>
          </w:tcPr>
          <w:p>
            <w:pPr>
              <w:spacing w:after="0"/>
              <w:rPr>
                <w:sz w:val="1"/>
                <w:szCs w:val="1"/>
                <w:color w:val="auto"/>
              </w:rPr>
            </w:pPr>
          </w:p>
        </w:tc>
      </w:tr>
      <w:tr>
        <w:trPr>
          <w:trHeight w:val="24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10.2</w:t>
            </w:r>
          </w:p>
        </w:tc>
        <w:tc>
          <w:tcPr>
            <w:tcW w:w="10940" w:type="dxa"/>
            <w:vAlign w:val="bottom"/>
            <w:vMerge w:val="restart"/>
          </w:tcPr>
          <w:p>
            <w:pPr>
              <w:ind w:left="140"/>
              <w:spacing w:after="0"/>
              <w:rPr>
                <w:sz w:val="20"/>
                <w:szCs w:val="20"/>
                <w:color w:val="auto"/>
              </w:rPr>
            </w:pPr>
            <w:r>
              <w:rPr>
                <w:rFonts w:ascii="Arial" w:cs="Arial" w:eastAsia="Arial" w:hAnsi="Arial"/>
                <w:sz w:val="18"/>
                <w:szCs w:val="18"/>
                <w:color w:val="auto"/>
              </w:rPr>
              <w:t>Renewal Revolving Note Dated November 9, 2012 between the Company and U.S. Bank National Association. (1)</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0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0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10.3</w:t>
            </w:r>
          </w:p>
        </w:tc>
        <w:tc>
          <w:tcPr>
            <w:tcW w:w="10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Fourth Amendment to Loan Agreement dated November 9, 2012 by and between the Company and Bank of America, N.A. (1)</w:t>
            </w:r>
          </w:p>
        </w:tc>
        <w:tc>
          <w:tcPr>
            <w:tcW w:w="0" w:type="dxa"/>
            <w:vAlign w:val="bottom"/>
          </w:tcPr>
          <w:p>
            <w:pPr>
              <w:spacing w:after="0"/>
              <w:rPr>
                <w:sz w:val="1"/>
                <w:szCs w:val="1"/>
                <w:color w:val="auto"/>
              </w:rPr>
            </w:pPr>
          </w:p>
        </w:tc>
      </w:tr>
      <w:tr>
        <w:trPr>
          <w:trHeight w:val="229"/>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10.4</w:t>
            </w:r>
          </w:p>
        </w:tc>
        <w:tc>
          <w:tcPr>
            <w:tcW w:w="10940" w:type="dxa"/>
            <w:vAlign w:val="bottom"/>
          </w:tcPr>
          <w:p>
            <w:pPr>
              <w:ind w:left="140"/>
              <w:spacing w:after="0"/>
              <w:rPr>
                <w:sz w:val="20"/>
                <w:szCs w:val="20"/>
                <w:color w:val="auto"/>
              </w:rPr>
            </w:pPr>
            <w:r>
              <w:rPr>
                <w:rFonts w:ascii="Arial" w:cs="Arial" w:eastAsia="Arial" w:hAnsi="Arial"/>
                <w:sz w:val="18"/>
                <w:szCs w:val="18"/>
                <w:color w:val="auto"/>
                <w:w w:val="95"/>
              </w:rPr>
              <w:t>Reaffirmation and Second Amendment to Unlimited Guaranty Agreement dated November 9, 2012 by and between the Company and Bank of</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0940" w:type="dxa"/>
            <w:vAlign w:val="bottom"/>
          </w:tcPr>
          <w:p>
            <w:pPr>
              <w:ind w:left="140"/>
              <w:spacing w:after="0"/>
              <w:rPr>
                <w:sz w:val="20"/>
                <w:szCs w:val="20"/>
                <w:color w:val="auto"/>
              </w:rPr>
            </w:pPr>
            <w:r>
              <w:rPr>
                <w:rFonts w:ascii="Arial" w:cs="Arial" w:eastAsia="Arial" w:hAnsi="Arial"/>
                <w:sz w:val="18"/>
                <w:szCs w:val="18"/>
                <w:color w:val="auto"/>
              </w:rPr>
              <w:t>America, N.A. (1)</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10.5</w:t>
            </w:r>
          </w:p>
        </w:tc>
        <w:tc>
          <w:tcPr>
            <w:tcW w:w="109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Amended and Restated Revolving Note Dated November 9, 2012 between the Company and Bank of America, N.A. (1)</w:t>
            </w:r>
          </w:p>
        </w:tc>
        <w:tc>
          <w:tcPr>
            <w:tcW w:w="0" w:type="dxa"/>
            <w:vAlign w:val="bottom"/>
          </w:tcPr>
          <w:p>
            <w:pPr>
              <w:spacing w:after="0"/>
              <w:rPr>
                <w:sz w:val="1"/>
                <w:szCs w:val="1"/>
                <w:color w:val="auto"/>
              </w:rPr>
            </w:pPr>
          </w:p>
        </w:tc>
      </w:tr>
      <w:tr>
        <w:trPr>
          <w:trHeight w:val="81"/>
        </w:trPr>
        <w:tc>
          <w:tcPr>
            <w:tcW w:w="480" w:type="dxa"/>
            <w:vAlign w:val="bottom"/>
            <w:shd w:val="clear" w:color="auto" w:fill="CCEEFF"/>
          </w:tcPr>
          <w:p>
            <w:pPr>
              <w:spacing w:after="0"/>
              <w:rPr>
                <w:sz w:val="7"/>
                <w:szCs w:val="7"/>
                <w:color w:val="auto"/>
              </w:rPr>
            </w:pPr>
          </w:p>
        </w:tc>
        <w:tc>
          <w:tcPr>
            <w:tcW w:w="10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CCEEFF"/>
          </w:tcPr>
          <w:p>
            <w:pPr>
              <w:spacing w:after="0"/>
              <w:rPr>
                <w:sz w:val="9"/>
                <w:szCs w:val="9"/>
                <w:color w:val="auto"/>
              </w:rPr>
            </w:pPr>
          </w:p>
        </w:tc>
        <w:tc>
          <w:tcPr>
            <w:tcW w:w="10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10.6</w:t>
            </w:r>
          </w:p>
        </w:tc>
        <w:tc>
          <w:tcPr>
            <w:tcW w:w="10940" w:type="dxa"/>
            <w:vAlign w:val="bottom"/>
          </w:tcPr>
          <w:p>
            <w:pPr>
              <w:ind w:left="140"/>
              <w:spacing w:after="0"/>
              <w:rPr>
                <w:sz w:val="20"/>
                <w:szCs w:val="20"/>
                <w:color w:val="auto"/>
              </w:rPr>
            </w:pPr>
            <w:r>
              <w:rPr>
                <w:rFonts w:ascii="Arial" w:cs="Arial" w:eastAsia="Arial" w:hAnsi="Arial"/>
                <w:sz w:val="18"/>
                <w:szCs w:val="18"/>
                <w:color w:val="auto"/>
              </w:rPr>
              <w:t>Separation Agreement dated October 7, 2012 by and between the Company and William R. Retterath. (2)</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0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31.1</w:t>
            </w:r>
          </w:p>
        </w:tc>
        <w:tc>
          <w:tcPr>
            <w:tcW w:w="10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Certification of the Chief Executive Officer required by Rule 13a-14(a) or Rule 15d-14(a) under the Securities Exchange Act of 1934, as adopted</w:t>
            </w:r>
          </w:p>
        </w:tc>
        <w:tc>
          <w:tcPr>
            <w:tcW w:w="0" w:type="dxa"/>
            <w:vAlign w:val="bottom"/>
          </w:tcPr>
          <w:p>
            <w:pPr>
              <w:spacing w:after="0"/>
              <w:rPr>
                <w:sz w:val="1"/>
                <w:szCs w:val="1"/>
                <w:color w:val="auto"/>
              </w:rPr>
            </w:pP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pursuant to Section 302 of the Sarbanes-Oxley Act of 2002. *</w:t>
            </w:r>
          </w:p>
        </w:tc>
        <w:tc>
          <w:tcPr>
            <w:tcW w:w="0" w:type="dxa"/>
            <w:vAlign w:val="bottom"/>
          </w:tcPr>
          <w:p>
            <w:pPr>
              <w:spacing w:after="0"/>
              <w:rPr>
                <w:sz w:val="1"/>
                <w:szCs w:val="1"/>
                <w:color w:val="auto"/>
              </w:rPr>
            </w:pPr>
          </w:p>
        </w:tc>
      </w:tr>
      <w:tr>
        <w:trPr>
          <w:trHeight w:val="229"/>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31.2</w:t>
            </w:r>
          </w:p>
        </w:tc>
        <w:tc>
          <w:tcPr>
            <w:tcW w:w="10940" w:type="dxa"/>
            <w:vAlign w:val="bottom"/>
          </w:tcPr>
          <w:p>
            <w:pPr>
              <w:ind w:left="140"/>
              <w:spacing w:after="0"/>
              <w:rPr>
                <w:sz w:val="20"/>
                <w:szCs w:val="20"/>
                <w:color w:val="auto"/>
              </w:rPr>
            </w:pPr>
            <w:r>
              <w:rPr>
                <w:rFonts w:ascii="Arial" w:cs="Arial" w:eastAsia="Arial" w:hAnsi="Arial"/>
                <w:sz w:val="18"/>
                <w:szCs w:val="18"/>
                <w:color w:val="auto"/>
                <w:w w:val="94"/>
              </w:rPr>
              <w:t>Certification of the Chief Financial Officer required by Rule 13a-14(a) or Rule 15d-14(a) under the Securities Exchange Act of 1934, as adopted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0940" w:type="dxa"/>
            <w:vAlign w:val="bottom"/>
          </w:tcPr>
          <w:p>
            <w:pPr>
              <w:ind w:left="140"/>
              <w:spacing w:after="0"/>
              <w:rPr>
                <w:sz w:val="20"/>
                <w:szCs w:val="20"/>
                <w:color w:val="auto"/>
              </w:rPr>
            </w:pPr>
            <w:r>
              <w:rPr>
                <w:rFonts w:ascii="Arial" w:cs="Arial" w:eastAsia="Arial" w:hAnsi="Arial"/>
                <w:sz w:val="18"/>
                <w:szCs w:val="18"/>
                <w:color w:val="auto"/>
              </w:rPr>
              <w:t>pursuant to Section 302 of the Sarbanes-Oxley Act of 2002. *</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32.1</w:t>
            </w:r>
          </w:p>
        </w:tc>
        <w:tc>
          <w:tcPr>
            <w:tcW w:w="10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Certification of the Chief Executive Officer pursuant to Section 906 of the Sarbanes-Oxley Act of 2002 (18 U.S.C. Section 1350). *</w:t>
            </w:r>
          </w:p>
        </w:tc>
        <w:tc>
          <w:tcPr>
            <w:tcW w:w="0" w:type="dxa"/>
            <w:vAlign w:val="bottom"/>
          </w:tcPr>
          <w:p>
            <w:pPr>
              <w:spacing w:after="0"/>
              <w:rPr>
                <w:sz w:val="1"/>
                <w:szCs w:val="1"/>
                <w:color w:val="auto"/>
              </w:rPr>
            </w:pPr>
          </w:p>
        </w:tc>
      </w:tr>
      <w:tr>
        <w:trPr>
          <w:trHeight w:val="24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32.2</w:t>
            </w:r>
          </w:p>
        </w:tc>
        <w:tc>
          <w:tcPr>
            <w:tcW w:w="1094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Section 906 of the Sarbanes-Oxley Act of 2002 (18 U.S.C. Section 1350).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p>
    <w:p>
      <w:pPr>
        <w:jc w:val="both"/>
        <w:ind w:left="620" w:right="40" w:hanging="585"/>
        <w:spacing w:after="0" w:line="286"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period ended January 26, 2013, formatted in Extensible Business Reporting Language (XBRL): (i) Consolidated Balance Sheets, (ii) Consolidated Statements of Operations, (iii) Consolidated Statements of Comprehensive Income, (iv) Consolidated Statements of Cash Flows, and (v) Notes to Consolidated Financial Statements.* (3)</w:t>
      </w:r>
    </w:p>
    <w:p>
      <w:pPr>
        <w:spacing w:after="0" w:line="3" w:lineRule="exact"/>
        <w:rPr>
          <w:rFonts w:ascii="Arial" w:cs="Arial" w:eastAsia="Arial" w:hAnsi="Arial"/>
          <w:sz w:val="17"/>
          <w:szCs w:val="17"/>
          <w:color w:val="auto"/>
        </w:rPr>
      </w:pPr>
    </w:p>
    <w:p>
      <w:pPr>
        <w:ind w:left="960" w:hanging="307"/>
        <w:spacing w:after="0"/>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Current Report on Form 8-K filed on November 14, 2012.</w:t>
      </w:r>
    </w:p>
    <w:p>
      <w:pPr>
        <w:spacing w:after="0" w:line="99" w:lineRule="exact"/>
        <w:rPr>
          <w:rFonts w:ascii="Arial" w:cs="Arial" w:eastAsia="Arial" w:hAnsi="Arial"/>
          <w:sz w:val="16"/>
          <w:szCs w:val="16"/>
          <w:color w:val="auto"/>
        </w:rPr>
      </w:pPr>
    </w:p>
    <w:p>
      <w:pPr>
        <w:ind w:left="960" w:right="40" w:hanging="307"/>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Current Report on Form 8-K filed on October 12, 2012. Consists of a management contract or compensatory plan or arrangement.</w:t>
      </w:r>
    </w:p>
    <w:p>
      <w:pPr>
        <w:spacing w:after="0" w:line="8" w:lineRule="exact"/>
        <w:rPr>
          <w:rFonts w:ascii="Arial" w:cs="Arial" w:eastAsia="Arial" w:hAnsi="Arial"/>
          <w:sz w:val="18"/>
          <w:szCs w:val="18"/>
          <w:color w:val="auto"/>
        </w:rPr>
      </w:pPr>
    </w:p>
    <w:p>
      <w:pPr>
        <w:ind w:left="960" w:right="200" w:hanging="307"/>
        <w:spacing w:after="0" w:line="279"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-893445</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 REQUIRED BY RULE 13a-14(e)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 RULE 15d-14(a) OF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26, 2013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3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March 1, 2013</w:t>
      </w:r>
    </w:p>
    <w:p>
      <w:pPr>
        <w:sectPr>
          <w:pgSz w:w="11900" w:h="16838" w:orient="portrait"/>
          <w:cols w:equalWidth="0" w:num="1">
            <w:col w:w="11420"/>
          </w:cols>
          <w:pgMar w:left="240" w:top="58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FINANCIAL OFFICER REQUIRED BY RULE 13a-14(e)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 RULE 15d-14(a) OF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26, 2013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274"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March 1, 2013</w:t>
      </w:r>
    </w:p>
    <w:p>
      <w:pPr>
        <w:sectPr>
          <w:pgSz w:w="11900" w:h="16838" w:orient="portrait"/>
          <w:cols w:equalWidth="0" w:num="1">
            <w:col w:w="11420"/>
          </w:cols>
          <w:pgMar w:left="240" w:top="58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26, 2013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March 1, 2013</w:t>
      </w:r>
    </w:p>
    <w:p>
      <w:pPr>
        <w:sectPr>
          <w:pgSz w:w="11900" w:h="16838" w:orient="portrait"/>
          <w:cols w:equalWidth="0" w:num="1">
            <w:col w:w="11420"/>
          </w:cols>
          <w:pgMar w:left="240" w:top="58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color w:val="auto"/>
        </w:rPr>
        <w:t>EXHIBIT 32.2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26, 2013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March 1, 2013</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1"/>
    </w:lvl>
    <w:lvl w:ilvl="1">
      <w:lvlJc w:val="left"/>
      <w:lvlText w:val="(%2)"/>
      <w:numFmt w:val="decimal"/>
      <w:start w:val="1"/>
    </w:lvl>
  </w:abstractNum>
  <w:abstractNum w:abstractNumId="17">
    <w:nsid w:val="62BBD95A"/>
    <w:multiLevelType w:val="hybridMultilevel"/>
    <w:lvl w:ilvl="0">
      <w:lvlJc w:val="left"/>
      <w:lvlText w:val="%1"/>
      <w:numFmt w:val="decimal"/>
      <w:start w:val="101"/>
    </w:lvl>
    <w:lvl w:ilvl="1">
      <w:lvlJc w:val="left"/>
      <w:lvlText w:val="(%2)"/>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2019-12-06T11:37:05Z</dcterms:created>
  <dcterms:modified xsi:type="dcterms:W3CDTF">2019-12-06T11:37:05Z</dcterms:modified>
</cp:coreProperties>
</file>