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5" w:lineRule="exact"/>
        <w:rPr>
          <w:sz w:val="24"/>
          <w:szCs w:val="24"/>
          <w:color w:val="auto"/>
        </w:rPr>
      </w:pPr>
    </w:p>
    <w:p>
      <w:pPr>
        <w:ind w:left="4020" w:right="1980" w:hanging="4011"/>
        <w:spacing w:after="0" w:line="284" w:lineRule="auto"/>
        <w:rPr>
          <w:sz w:val="20"/>
          <w:szCs w:val="20"/>
          <w:color w:val="auto"/>
        </w:rPr>
      </w:pPr>
      <w:r>
        <w:rPr>
          <w:rFonts w:ascii="Arial" w:cs="Arial" w:eastAsia="Arial" w:hAnsi="Arial"/>
          <w:sz w:val="18"/>
          <w:szCs w:val="18"/>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For the quarterly period ended July 30, 2022</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940"/>
        <w:spacing w:after="0"/>
        <w:rPr>
          <w:sz w:val="20"/>
          <w:szCs w:val="20"/>
          <w:color w:val="auto"/>
        </w:rPr>
      </w:pPr>
      <w:r>
        <w:rPr>
          <w:rFonts w:ascii="Arial" w:cs="Arial" w:eastAsia="Arial" w:hAnsi="Arial"/>
          <w:sz w:val="17"/>
          <w:szCs w:val="17"/>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526"/>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SD</w:t>
            </w:r>
          </w:p>
        </w:tc>
        <w:tc>
          <w:tcPr>
            <w:tcW w:w="41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7"/>
        </w:trPr>
        <w:tc>
          <w:tcPr>
            <w:tcW w:w="3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1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20" w:type="dxa"/>
            <w:vAlign w:val="bottom"/>
          </w:tcPr>
          <w:p>
            <w:pPr>
              <w:spacing w:after="0"/>
              <w:rPr>
                <w:sz w:val="22"/>
                <w:szCs w:val="22"/>
                <w:color w:val="auto"/>
              </w:rPr>
            </w:pPr>
          </w:p>
        </w:tc>
      </w:tr>
      <w:tr>
        <w:trPr>
          <w:trHeight w:val="522"/>
        </w:trPr>
        <w:tc>
          <w:tcPr>
            <w:tcW w:w="3440" w:type="dxa"/>
            <w:vAlign w:val="bottom"/>
          </w:tcPr>
          <w:p>
            <w:pPr>
              <w:spacing w:after="0"/>
              <w:rPr>
                <w:sz w:val="24"/>
                <w:szCs w:val="24"/>
                <w:color w:val="auto"/>
              </w:rPr>
            </w:pPr>
          </w:p>
        </w:tc>
        <w:tc>
          <w:tcPr>
            <w:tcW w:w="306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20" w:type="dxa"/>
            <w:vAlign w:val="bottom"/>
            <w:gridSpan w:val="6"/>
          </w:tcPr>
          <w:p>
            <w:pPr>
              <w:jc w:val="center"/>
              <w:ind w:right="3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3440" w:type="dxa"/>
            <w:vAlign w:val="bottom"/>
          </w:tcPr>
          <w:p>
            <w:pPr>
              <w:spacing w:after="0"/>
              <w:rPr>
                <w:sz w:val="24"/>
                <w:szCs w:val="24"/>
                <w:color w:val="auto"/>
              </w:rPr>
            </w:pPr>
          </w:p>
        </w:tc>
        <w:tc>
          <w:tcPr>
            <w:tcW w:w="7820" w:type="dxa"/>
            <w:vAlign w:val="bottom"/>
            <w:gridSpan w:val="6"/>
          </w:tcPr>
          <w:p>
            <w:pPr>
              <w:jc w:val="center"/>
              <w:ind w:right="33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3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120" w:type="dxa"/>
            <w:vAlign w:val="bottom"/>
            <w:tcBorders>
              <w:bottom w:val="single" w:sz="8" w:color="auto"/>
            </w:tcBorders>
          </w:tcPr>
          <w:p>
            <w:pPr>
              <w:spacing w:after="0"/>
              <w:rPr>
                <w:sz w:val="21"/>
                <w:szCs w:val="21"/>
                <w:color w:val="auto"/>
              </w:rPr>
            </w:pPr>
          </w:p>
        </w:tc>
      </w:tr>
      <w:tr>
        <w:trPr>
          <w:trHeight w:val="244"/>
        </w:trPr>
        <w:tc>
          <w:tcPr>
            <w:tcW w:w="3440" w:type="dxa"/>
            <w:vAlign w:val="bottom"/>
            <w:tcBorders>
              <w:left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12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9"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600"/>
              <w:spacing w:after="0"/>
              <w:rPr>
                <w:sz w:val="20"/>
                <w:szCs w:val="20"/>
                <w:color w:val="auto"/>
              </w:rPr>
            </w:pPr>
            <w:r>
              <w:rPr>
                <w:rFonts w:ascii="Arial" w:cs="Arial" w:eastAsia="Arial" w:hAnsi="Arial"/>
                <w:sz w:val="18"/>
                <w:szCs w:val="18"/>
                <w:color w:val="auto"/>
              </w:rPr>
              <w:t>o</w:t>
            </w:r>
          </w:p>
        </w:tc>
        <w:tc>
          <w:tcPr>
            <w:tcW w:w="4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Accelerated filer</w:t>
            </w:r>
          </w:p>
        </w:tc>
        <w:tc>
          <w:tcPr>
            <w:tcW w:w="1400" w:type="dxa"/>
            <w:vAlign w:val="bottom"/>
          </w:tcPr>
          <w:p>
            <w:pPr>
              <w:ind w:left="1300"/>
              <w:spacing w:after="0"/>
              <w:rPr>
                <w:sz w:val="20"/>
                <w:szCs w:val="20"/>
                <w:color w:val="auto"/>
              </w:rPr>
            </w:pPr>
            <w:r>
              <w:rPr>
                <w:rFonts w:ascii="Arial" w:cs="Arial" w:eastAsia="Arial" w:hAnsi="Arial"/>
                <w:sz w:val="18"/>
                <w:szCs w:val="18"/>
                <w:color w:val="auto"/>
                <w:w w:val="88"/>
              </w:rPr>
              <w:t>x</w:t>
            </w:r>
          </w:p>
        </w:tc>
      </w:tr>
      <w:tr>
        <w:trPr>
          <w:trHeight w:val="25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600"/>
              <w:spacing w:after="0"/>
              <w:rPr>
                <w:sz w:val="20"/>
                <w:szCs w:val="20"/>
                <w:color w:val="auto"/>
              </w:rPr>
            </w:pPr>
            <w:r>
              <w:rPr>
                <w:rFonts w:ascii="Arial" w:cs="Arial" w:eastAsia="Arial" w:hAnsi="Arial"/>
                <w:sz w:val="18"/>
                <w:szCs w:val="18"/>
                <w:color w:val="auto"/>
              </w:rPr>
              <w:t>o</w:t>
            </w:r>
          </w:p>
        </w:tc>
        <w:tc>
          <w:tcPr>
            <w:tcW w:w="4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00" w:type="dxa"/>
            <w:vAlign w:val="bottom"/>
          </w:tcPr>
          <w:p>
            <w:pPr>
              <w:ind w:left="1300"/>
              <w:spacing w:after="0"/>
              <w:rPr>
                <w:sz w:val="20"/>
                <w:szCs w:val="20"/>
                <w:color w:val="auto"/>
              </w:rPr>
            </w:pPr>
            <w:r>
              <w:rPr>
                <w:rFonts w:ascii="Arial" w:cs="Arial" w:eastAsia="Arial" w:hAnsi="Arial"/>
                <w:sz w:val="18"/>
                <w:szCs w:val="18"/>
                <w:color w:val="auto"/>
                <w:w w:val="79"/>
              </w:rPr>
              <w:t>o</w:t>
            </w:r>
          </w:p>
        </w:tc>
      </w:tr>
      <w:tr>
        <w:trPr>
          <w:trHeight w:val="256"/>
        </w:trPr>
        <w:tc>
          <w:tcPr>
            <w:tcW w:w="22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00" w:type="dxa"/>
            <w:vAlign w:val="bottom"/>
          </w:tcPr>
          <w:p>
            <w:pPr>
              <w:ind w:left="1300"/>
              <w:spacing w:after="0"/>
              <w:rPr>
                <w:sz w:val="20"/>
                <w:szCs w:val="20"/>
                <w:color w:val="auto"/>
              </w:rPr>
            </w:pPr>
            <w:r>
              <w:rPr>
                <w:rFonts w:ascii="Arial" w:cs="Arial" w:eastAsia="Arial" w:hAnsi="Arial"/>
                <w:sz w:val="18"/>
                <w:szCs w:val="18"/>
                <w:color w:val="auto"/>
                <w:w w:val="79"/>
              </w:rPr>
              <w:t>o</w:t>
            </w:r>
          </w:p>
        </w:tc>
      </w:tr>
    </w:tbl>
    <w:p>
      <w:pPr>
        <w:spacing w:after="0" w:line="288" w:lineRule="exact"/>
        <w:rPr>
          <w:sz w:val="24"/>
          <w:szCs w:val="24"/>
          <w:color w:val="auto"/>
        </w:rPr>
      </w:pPr>
    </w:p>
    <w:p>
      <w:pPr>
        <w:ind w:right="2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August 24, 2022 was 45,033,839.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4" w:right="319" w:bottom="667"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July 30,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98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7"/>
            <w:vMerge w:val="continue"/>
          </w:tcPr>
          <w:p>
            <w:pPr>
              <w:spacing w:after="0"/>
              <w:rPr>
                <w:sz w:val="16"/>
                <w:szCs w:val="16"/>
                <w:color w:val="auto"/>
              </w:rPr>
            </w:pPr>
          </w:p>
        </w:tc>
        <w:tc>
          <w:tcPr>
            <w:tcW w:w="8980" w:type="dxa"/>
            <w:vAlign w:val="bottom"/>
            <w:gridSpan w:val="20"/>
            <w:vMerge w:val="continue"/>
          </w:tcPr>
          <w:p>
            <w:pPr>
              <w:spacing w:after="0"/>
              <w:rPr>
                <w:sz w:val="16"/>
                <w:szCs w:val="16"/>
                <w:color w:val="auto"/>
              </w:rPr>
            </w:pPr>
          </w:p>
        </w:tc>
        <w:tc>
          <w:tcPr>
            <w:tcW w:w="560" w:type="dxa"/>
            <w:vAlign w:val="bottom"/>
            <w:gridSpan w:val="4"/>
          </w:tcPr>
          <w:p>
            <w:pPr>
              <w:jc w:val="center"/>
              <w:ind w:left="31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840" w:type="dxa"/>
            <w:vAlign w:val="bottom"/>
            <w:gridSpan w:val="5"/>
          </w:tcPr>
          <w:p>
            <w:pPr>
              <w:spacing w:after="0"/>
              <w:rPr>
                <w:sz w:val="18"/>
                <w:szCs w:val="18"/>
                <w:color w:val="auto"/>
              </w:rPr>
            </w:pPr>
          </w:p>
        </w:tc>
        <w:tc>
          <w:tcPr>
            <w:tcW w:w="2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60" w:type="dxa"/>
            <w:vAlign w:val="bottom"/>
            <w:gridSpan w:val="9"/>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July 30, 2022 and April 30, 2022</w:t>
            </w: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July 30, 2022 and July 31, 2021</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80" w:type="dxa"/>
            <w:vAlign w:val="bottom"/>
            <w:tcBorders>
              <w:bottom w:val="single" w:sz="8" w:color="0000FF"/>
            </w:tcBorders>
            <w:gridSpan w:val="16"/>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Income for the Three Months Ended July 30, 2022 and</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00" w:type="dxa"/>
            <w:vAlign w:val="bottom"/>
            <w:tcBorders>
              <w:bottom w:val="single" w:sz="8" w:color="0000FF"/>
            </w:tcBorders>
            <w:gridSpan w:val="19"/>
            <w:vMerge w:val="continue"/>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8"/>
              </w:rPr>
              <w:t>July 31, 2021</w:t>
            </w:r>
          </w:p>
        </w:tc>
        <w:tc>
          <w:tcPr>
            <w:tcW w:w="30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2"/>
          </w:tcPr>
          <w:p>
            <w:pPr>
              <w:spacing w:after="0"/>
              <w:rPr>
                <w:sz w:val="17"/>
                <w:szCs w:val="17"/>
                <w:color w:val="auto"/>
              </w:rPr>
            </w:pPr>
          </w:p>
        </w:tc>
        <w:tc>
          <w:tcPr>
            <w:tcW w:w="21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Months Ended July 30, 2022 and July 31,</w:t>
            </w: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00" w:type="dxa"/>
            <w:vAlign w:val="bottom"/>
            <w:gridSpan w:val="19"/>
            <w:vMerge w:val="continue"/>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2021</w:t>
            </w:r>
          </w:p>
        </w:tc>
        <w:tc>
          <w:tcPr>
            <w:tcW w:w="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left="31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1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July 30, 2022 and July 31, 2021</w:t>
            </w: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40" w:type="dxa"/>
            <w:vAlign w:val="bottom"/>
            <w:tcBorders>
              <w:bottom w:val="single" w:sz="8" w:color="0000FF"/>
            </w:tcBorders>
            <w:gridSpan w:val="17"/>
            <w:vMerge w:val="continue"/>
          </w:tcPr>
          <w:p>
            <w:pPr>
              <w:spacing w:after="0"/>
              <w:rPr>
                <w:sz w:val="18"/>
                <w:szCs w:val="18"/>
                <w:color w:val="auto"/>
              </w:rPr>
            </w:pPr>
          </w:p>
        </w:tc>
        <w:tc>
          <w:tcPr>
            <w:tcW w:w="360" w:type="dxa"/>
            <w:vAlign w:val="bottom"/>
            <w:gridSpan w:val="2"/>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3"/>
            <w:vMerge w:val="continue"/>
          </w:tcPr>
          <w:p>
            <w:pPr>
              <w:spacing w:after="0"/>
              <w:rPr>
                <w:sz w:val="18"/>
                <w:szCs w:val="18"/>
                <w:color w:val="auto"/>
              </w:rPr>
            </w:pPr>
          </w:p>
        </w:tc>
        <w:tc>
          <w:tcPr>
            <w:tcW w:w="1720" w:type="dxa"/>
            <w:vAlign w:val="bottom"/>
            <w:gridSpan w:val="2"/>
          </w:tcPr>
          <w:p>
            <w:pPr>
              <w:spacing w:after="0"/>
              <w:rPr>
                <w:sz w:val="18"/>
                <w:szCs w:val="18"/>
                <w:color w:val="auto"/>
              </w:rPr>
            </w:pPr>
          </w:p>
        </w:tc>
        <w:tc>
          <w:tcPr>
            <w:tcW w:w="2520" w:type="dxa"/>
            <w:vAlign w:val="bottom"/>
            <w:gridSpan w:val="4"/>
          </w:tcPr>
          <w:p>
            <w:pPr>
              <w:spacing w:after="0"/>
              <w:rPr>
                <w:sz w:val="18"/>
                <w:szCs w:val="18"/>
                <w:color w:val="auto"/>
              </w:rPr>
            </w:pPr>
          </w:p>
        </w:tc>
        <w:tc>
          <w:tcPr>
            <w:tcW w:w="56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780" w:type="dxa"/>
            <w:vAlign w:val="bottom"/>
            <w:gridSpan w:val="4"/>
          </w:tcPr>
          <w:p>
            <w:pPr>
              <w:spacing w:after="0"/>
              <w:rPr>
                <w:sz w:val="17"/>
                <w:szCs w:val="17"/>
                <w:color w:val="auto"/>
              </w:rPr>
            </w:pPr>
          </w:p>
        </w:tc>
        <w:tc>
          <w:tcPr>
            <w:tcW w:w="64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2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15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4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18"/>
                <w:szCs w:val="18"/>
                <w:color w:val="auto"/>
              </w:rPr>
            </w:pP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18"/>
                <w:szCs w:val="18"/>
                <w:color w:val="auto"/>
              </w:rPr>
            </w:pPr>
          </w:p>
        </w:tc>
        <w:tc>
          <w:tcPr>
            <w:tcW w:w="464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540" w:type="dxa"/>
            <w:vAlign w:val="bottom"/>
            <w:gridSpan w:val="2"/>
          </w:tcPr>
          <w:p>
            <w:pPr>
              <w:spacing w:after="0"/>
              <w:rPr>
                <w:sz w:val="18"/>
                <w:szCs w:val="18"/>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300" w:type="dxa"/>
            <w:vAlign w:val="bottom"/>
            <w:tcBorders>
              <w:top w:val="single" w:sz="8" w:color="0000FF"/>
            </w:tcBorders>
            <w:gridSpan w:val="3"/>
          </w:tcPr>
          <w:p>
            <w:pPr>
              <w:spacing w:after="0"/>
              <w:rPr>
                <w:sz w:val="18"/>
                <w:szCs w:val="18"/>
                <w:color w:val="auto"/>
              </w:rPr>
            </w:pPr>
          </w:p>
        </w:tc>
        <w:tc>
          <w:tcPr>
            <w:tcW w:w="540" w:type="dxa"/>
            <w:vAlign w:val="bottom"/>
            <w:gridSpan w:val="2"/>
          </w:tcPr>
          <w:p>
            <w:pPr>
              <w:spacing w:after="0"/>
              <w:rPr>
                <w:sz w:val="18"/>
                <w:szCs w:val="18"/>
                <w:color w:val="auto"/>
              </w:rPr>
            </w:pP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20" w:type="dxa"/>
            <w:vAlign w:val="bottom"/>
            <w:gridSpan w:val="11"/>
          </w:tcPr>
          <w:p>
            <w:pPr>
              <w:spacing w:after="0"/>
              <w:rPr>
                <w:sz w:val="18"/>
                <w:szCs w:val="18"/>
                <w:color w:val="auto"/>
              </w:rPr>
            </w:pP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4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18"/>
                <w:szCs w:val="18"/>
                <w:color w:val="auto"/>
              </w:rPr>
            </w:pPr>
          </w:p>
        </w:tc>
        <w:tc>
          <w:tcPr>
            <w:tcW w:w="7660" w:type="dxa"/>
            <w:vAlign w:val="bottom"/>
            <w:gridSpan w:val="15"/>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0000FF"/>
                <w:w w:val="99"/>
              </w:rPr>
              <w:t>24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July 30,</w:t>
            </w:r>
          </w:p>
        </w:tc>
        <w:tc>
          <w:tcPr>
            <w:tcW w:w="2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April 30,</w:t>
            </w:r>
          </w:p>
        </w:tc>
      </w:tr>
      <w:tr>
        <w:trPr>
          <w:trHeight w:val="214"/>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17,143</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101,099</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157,170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41,687</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receivables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14,963</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2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317,570</w:t>
            </w:r>
          </w:p>
        </w:tc>
      </w:tr>
      <w:tr>
        <w:trPr>
          <w:trHeight w:val="78"/>
        </w:trPr>
        <w:tc>
          <w:tcPr>
            <w:tcW w:w="81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receivables, less current maturities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7,927</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Intangibles, net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affiliates and other assets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32,321</w:t>
            </w: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440,876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2"/>
        </w:trPr>
        <w:tc>
          <w:tcPr>
            <w:tcW w:w="81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82,470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76,313</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90,393</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34,959</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Warranty obligations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11,621</w:t>
            </w:r>
          </w:p>
        </w:tc>
      </w:tr>
      <w:tr>
        <w:trPr>
          <w:trHeight w:val="24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213,694</w:t>
            </w:r>
          </w:p>
        </w:tc>
      </w:tr>
      <w:tr>
        <w:trPr>
          <w:trHeight w:val="78"/>
        </w:trPr>
        <w:tc>
          <w:tcPr>
            <w:tcW w:w="8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warranty obligations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17,257</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10,998</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Line of Credit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2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35,618</w:t>
            </w:r>
          </w:p>
        </w:tc>
      </w:tr>
      <w:tr>
        <w:trPr>
          <w:trHeight w:val="78"/>
        </w:trPr>
        <w:tc>
          <w:tcPr>
            <w:tcW w:w="81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Shares, no par value, authorized 50,000 shares; no shares issued and outstanding</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no par value, authorized 115,000,000 shares; 46,942,070 and 46,733,544 shares issued at July 30, 2022</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April 30, 2022, respectively</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61,794</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96,608</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cost, 1,907,445 shares at July 30, 2022 and April 30, 2022, respectively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w:t>
            </w:r>
          </w:p>
        </w:tc>
      </w:tr>
      <w:tr>
        <w:trPr>
          <w:trHeight w:val="24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191,564</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473,308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440,876</w:t>
            </w: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1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July 30,</w:t>
            </w:r>
          </w:p>
        </w:tc>
        <w:tc>
          <w:tcPr>
            <w:tcW w:w="360" w:type="dxa"/>
            <w:vAlign w:val="bottom"/>
          </w:tcPr>
          <w:p>
            <w:pPr>
              <w:spacing w:after="0"/>
              <w:rPr>
                <w:sz w:val="14"/>
                <w:szCs w:val="14"/>
                <w:color w:val="auto"/>
              </w:rPr>
            </w:pPr>
          </w:p>
        </w:tc>
        <w:tc>
          <w:tcPr>
            <w:tcW w:w="148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7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144,732</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112,544</w:t>
            </w:r>
          </w:p>
        </w:tc>
      </w:tr>
      <w:tr>
        <w:trPr>
          <w:trHeight w:val="25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w:t>
            </w:r>
          </w:p>
        </w:tc>
      </w:tr>
      <w:tr>
        <w:trPr>
          <w:trHeight w:val="270"/>
        </w:trPr>
        <w:tc>
          <w:tcPr>
            <w:tcW w:w="7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r>
      <w:tr>
        <w:trPr>
          <w:trHeight w:val="27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23"/>
        </w:trPr>
        <w:tc>
          <w:tcPr>
            <w:tcW w:w="7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26,528</w:t>
            </w:r>
          </w:p>
        </w:tc>
      </w:tr>
      <w:tr>
        <w:trPr>
          <w:trHeight w:val="25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r>
      <w:tr>
        <w:trPr>
          <w:trHeight w:val="250"/>
        </w:trPr>
        <w:tc>
          <w:tcPr>
            <w:tcW w:w="7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0"/>
        </w:trPr>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50"/>
        </w:trPr>
        <w:tc>
          <w:tcPr>
            <w:tcW w:w="7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2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45,139</w:t>
            </w:r>
          </w:p>
        </w:tc>
      </w:tr>
      <w:tr>
        <w:trPr>
          <w:trHeight w:val="27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45,419</w:t>
            </w:r>
          </w:p>
        </w:tc>
      </w:tr>
      <w:tr>
        <w:trPr>
          <w:trHeight w:val="270"/>
        </w:trPr>
        <w:tc>
          <w:tcPr>
            <w:tcW w:w="74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5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r>
      <w:tr>
        <w:trPr>
          <w:trHeight w:val="169"/>
        </w:trPr>
        <w:tc>
          <w:tcPr>
            <w:tcW w:w="746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July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560" w:type="dxa"/>
            <w:vAlign w:val="bottom"/>
          </w:tcPr>
          <w:p>
            <w:pPr>
              <w:spacing w:after="0"/>
              <w:rPr>
                <w:sz w:val="14"/>
                <w:szCs w:val="14"/>
                <w:color w:val="auto"/>
              </w:rPr>
            </w:pPr>
          </w:p>
        </w:tc>
      </w:tr>
      <w:tr>
        <w:trPr>
          <w:trHeight w:val="241"/>
        </w:trPr>
        <w:tc>
          <w:tcPr>
            <w:tcW w:w="7460" w:type="dxa"/>
            <w:vAlign w:val="bottom"/>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r>
      <w:tr>
        <w:trPr>
          <w:trHeight w:val="252"/>
        </w:trPr>
        <w:tc>
          <w:tcPr>
            <w:tcW w:w="7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(5,326)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r>
      <w:tr>
        <w:trPr>
          <w:trHeight w:val="270"/>
        </w:trPr>
        <w:tc>
          <w:tcPr>
            <w:tcW w:w="7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7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7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12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(5,967)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175"/>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4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30, 2022</w:t>
            </w: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1, 2021</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reissued</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31, 2021</w:t>
            </w: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198,181</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2"/>
        </w:trPr>
        <w:tc>
          <w:tcPr>
            <w:tcW w:w="8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line="172" w:lineRule="exact"/>
              <w:rPr>
                <w:sz w:val="20"/>
                <w:szCs w:val="20"/>
                <w:color w:val="auto"/>
              </w:rPr>
            </w:pPr>
            <w:r>
              <w:rPr>
                <w:rFonts w:ascii="Times New Roman" w:cs="Times New Roman" w:eastAsia="Times New Roman" w:hAnsi="Times New Roman"/>
                <w:sz w:val="18"/>
                <w:szCs w:val="18"/>
                <w:b w:val="1"/>
                <w:bCs w:val="1"/>
                <w:color w:val="auto"/>
              </w:rPr>
              <w:t>July 30,</w:t>
            </w:r>
          </w:p>
        </w:tc>
        <w:tc>
          <w:tcPr>
            <w:tcW w:w="280" w:type="dxa"/>
            <w:vAlign w:val="bottom"/>
          </w:tcPr>
          <w:p>
            <w:pPr>
              <w:spacing w:after="0"/>
              <w:rPr>
                <w:sz w:val="14"/>
                <w:szCs w:val="14"/>
                <w:color w:val="auto"/>
              </w:rPr>
            </w:pPr>
          </w:p>
        </w:tc>
        <w:tc>
          <w:tcPr>
            <w:tcW w:w="1200" w:type="dxa"/>
            <w:vAlign w:val="bottom"/>
          </w:tcPr>
          <w:p>
            <w:pPr>
              <w:jc w:val="right"/>
              <w:ind w:right="350"/>
              <w:spacing w:after="0" w:line="172" w:lineRule="exact"/>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property, equipment and other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loss of affiliates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doubtful accounts, net of recovery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w:t>
            </w:r>
          </w:p>
        </w:tc>
      </w:tr>
      <w:tr>
        <w:trPr>
          <w:trHeight w:val="223"/>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23"/>
        </w:trPr>
        <w:tc>
          <w:tcPr>
            <w:tcW w:w="8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sales of property, equipment and other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sales or maturities of marketable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equity and loans to equity investees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3"/>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23"/>
        </w:trPr>
        <w:tc>
          <w:tcPr>
            <w:tcW w:w="8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long-term obligations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r>
      <w:tr>
        <w:trPr>
          <w:trHeight w:val="223"/>
        </w:trPr>
        <w:tc>
          <w:tcPr>
            <w:tcW w:w="8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80,402</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8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Demonstration equipment transferred to inventory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Contributions of common stock under the ESPP</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an industry leader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therein. Due to the inherent uncertainty involved in making estimates, actual results in future periods may differ from those estimates.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at April 30, 2022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fiscal year ended April 30, 2022,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three months ended July 30, 2022 and July 31, 2021, contained operating results for 13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continue to experience volatility in our business driven by global economic conditions and supply chain disruptions. We anticipate needing to utilize a portion of our line of credit which expires in April 2025, and requires us to comply with certain covenants. As described in "Note 7. Financing Agreements", we did not comply with our debt covenants this quarter and obtained a waiver from the bank. Based on our projections we expect to be in compliance with these covenants through the next year; however, with the uncertainty and volatility in the supply chain and sensitivity of the covenants, we cannot be certain. If we violate a covenant and cannot obtain a waiver from the bank, we may need to seek additional debt or equity financing.</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issuances of foreign bank guarantees.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28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8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74,658</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 flows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April 30,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2021, the Financial Accounting Standards Board ("FASB") issued Accounting Standards Update ("ASU") 2021-10, </w:t>
      </w:r>
      <w:r>
        <w:rPr>
          <w:rFonts w:ascii="Times New Roman" w:cs="Times New Roman" w:eastAsia="Times New Roman" w:hAnsi="Times New Roman"/>
          <w:sz w:val="18"/>
          <w:szCs w:val="18"/>
          <w:i w:val="1"/>
          <w:iCs w:val="1"/>
          <w:color w:val="auto"/>
        </w:rPr>
        <w:t>Government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832): Disclosures by Business Entities About Government Assistance </w:t>
      </w:r>
      <w:r>
        <w:rPr>
          <w:rFonts w:ascii="Times New Roman" w:cs="Times New Roman" w:eastAsia="Times New Roman" w:hAnsi="Times New Roman"/>
          <w:sz w:val="18"/>
          <w:szCs w:val="18"/>
          <w:color w:val="auto"/>
        </w:rPr>
        <w:t>("ASU 2021-10"), which requires business entities to disclose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transactions with a government that are accounted for by applying a grant or contribution model by analogy. For transactions covered by ASU 2021-10, the new standard requires the disclosure of information about the nature of the transaction, including significant terms and conditions, as well as the amounts and specific financial statement line items affected by the transaction. ASU 2021-10 is effective for annual periods beginning after December 15, 2021. The Company has adopted ASU 2021-10 effective May 1, 2022 and notes there is no impact of ASU 2021-10 on its accounting or disclosures for governmental assistance.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ASUs issued that the Company has not yet adopted as of July 30,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amount of our investments accounted for under the equity method was $16,026 and $16,916 as of July 30, 2022 and April 30, 2022, respectively. Our proportional share of the respective affiliates' earnings or losses is included in the "Other expense, net" line item in our condensed consolidated statements of operations. For the three months ended July 30, 2022, our share of the losses of our affiliates was $890 as compared to $746 for the three months ended July 31, 2021. We purchased services for research and development activities from our equity method investees. The total of these related party transactions for the three months ended July 30, 2022 and July 31, 2021 was $0 and $470, respectively, which is included in the "Product design and development" line item in our condensed consolidated statements of operations, and for the three months ended July 30, 2022, $52 remains unpaid and is included in the "Accounts payable " line item in our condensed consolidated balance sheets. During the three months ended July 30, 2022, we invested $1,081 of convertible notes ("Notes") which are included in the "Investment in affiliates and other assets" line item in our condensed consolidated balance sheets.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(loss) income and common share amounts used in the calculation of basic and diluted EPS for the three months ended July 30, 2022 and July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Per share (loss)</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580" w:type="dxa"/>
            <w:vAlign w:val="bottom"/>
            <w:gridSpan w:val="3"/>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July 30, 2022</w:t>
            </w: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For the three months ended July 31, 2021</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2,102 shares of common stock with a weighted average exercise price of $8.12 for the three months ended July 30, 2022 and 1,810 shares of common stock with a weighted average exercise price of $9.52 for the three months ended July 31, 2021 were not included in the computation of diluted earnings per share because the effects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July 30, 2022</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6"/>
                <w:szCs w:val="16"/>
                <w:b w:val="1"/>
                <w:bCs w:val="1"/>
                <w:color w:val="auto"/>
              </w:rPr>
              <w:t>High School</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72,434</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87,127</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84,793</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56,383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July 31, 2021</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6"/>
                <w:szCs w:val="16"/>
                <w:b w:val="1"/>
                <w:bCs w:val="1"/>
                <w:color w:val="auto"/>
              </w:rPr>
              <w:t>High School</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0"/>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61,685</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71,603</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11,444</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144,732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72,739</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71,993</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144,732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1"/>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9"/>
              </w:rPr>
              <w:t>8.4 %</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Pr>
          <w:p>
            <w:pPr>
              <w:spacing w:after="0"/>
              <w:rPr>
                <w:sz w:val="19"/>
                <w:szCs w:val="19"/>
                <w:color w:val="auto"/>
              </w:rPr>
            </w:pPr>
          </w:p>
        </w:tc>
        <w:tc>
          <w:tcPr>
            <w:tcW w:w="16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7.0</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30, 2022 to July 30, 2022 were due to the timing of billing schedules and revenue recognition, which can vary significantly depending on the contractual payment terms and the seasonality of the sports markets. We had no impairments of contract assets for the three months ended July 30,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30,</w:t>
            </w:r>
          </w:p>
        </w:tc>
      </w:tr>
      <w:tr>
        <w:trPr>
          <w:trHeight w:val="241"/>
        </w:trPr>
        <w:tc>
          <w:tcPr>
            <w:tcW w:w="9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w:t>
            </w:r>
          </w:p>
        </w:tc>
      </w:tr>
      <w:tr>
        <w:trPr>
          <w:trHeight w:val="229"/>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r>
      <w:tr>
        <w:trPr>
          <w:trHeight w:val="230"/>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July 30, 2022 were $839 and as of April 30, 2022 were immaterial. Loss provisions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July 30, 2022, we recognized revenue of $46,041 related to our contract liabilities as of April 30,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July 30, 2022, the aggregate amount of the transaction price allocated to the remaining performance obligations was $530,457. We expect approximately $462,516 of our remaining performance obligations to be recognized over the next 12 months, with the remainder recognized thereafter. Remaining performance obligations related to product and service agreements at July 30, 2022 were $469,126 and $61,331,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tc>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July 30,</w:t>
            </w:r>
          </w:p>
        </w:tc>
        <w:tc>
          <w:tcPr>
            <w:tcW w:w="360" w:type="dxa"/>
            <w:vAlign w:val="bottom"/>
          </w:tcPr>
          <w:p>
            <w:pPr>
              <w:spacing w:after="0"/>
              <w:rPr>
                <w:sz w:val="14"/>
                <w:szCs w:val="14"/>
                <w:color w:val="auto"/>
              </w:rPr>
            </w:pPr>
          </w:p>
        </w:tc>
        <w:tc>
          <w:tcPr>
            <w:tcW w:w="148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32,781</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gridSpan w:val="2"/>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3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2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gridSpan w:val="2"/>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32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8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69"/>
        </w:trPr>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July 30,</w:t>
            </w:r>
          </w:p>
        </w:tc>
        <w:tc>
          <w:tcPr>
            <w:tcW w:w="360" w:type="dxa"/>
            <w:vAlign w:val="bottom"/>
          </w:tcPr>
          <w:p>
            <w:pPr>
              <w:spacing w:after="0"/>
              <w:rPr>
                <w:sz w:val="14"/>
                <w:szCs w:val="14"/>
                <w:color w:val="auto"/>
              </w:rPr>
            </w:pPr>
          </w:p>
        </w:tc>
        <w:tc>
          <w:tcPr>
            <w:tcW w:w="1480" w:type="dxa"/>
            <w:vAlign w:val="bottom"/>
          </w:tcPr>
          <w:p>
            <w:pPr>
              <w:jc w:val="right"/>
              <w:ind w:right="530"/>
              <w:spacing w:after="0" w:line="169" w:lineRule="exact"/>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7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123,482</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23"/>
        </w:trPr>
        <w:tc>
          <w:tcPr>
            <w:tcW w:w="74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144,732</w:t>
            </w:r>
          </w:p>
        </w:tc>
      </w:tr>
      <w:tr>
        <w:trPr>
          <w:trHeight w:val="20"/>
        </w:trPr>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41"/>
        </w:trPr>
        <w:tc>
          <w:tcPr>
            <w:tcW w:w="74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58,643</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r>
      <w:tr>
        <w:trPr>
          <w:trHeight w:val="223"/>
        </w:trPr>
        <w:tc>
          <w:tcPr>
            <w:tcW w:w="746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w:t>
            </w:r>
          </w:p>
        </w:tc>
      </w:tr>
      <w:tr>
        <w:trPr>
          <w:trHeight w:val="20"/>
        </w:trPr>
        <w:tc>
          <w:tcPr>
            <w:tcW w:w="7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for the three months ended July 30, 2022 and July 31, 2021; therefore, we are not economically dependent on a limited number of customers for the sale of our products and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and a number of single-source suppliers that could limit our supply or cause delays in obtaining raw materials and components needed in manufacturing.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three months ended July 30,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r>
      <w:tr>
        <w:trPr>
          <w:trHeight w:val="229"/>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perform an analysis of goodwill on an annual basis and test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October 31, 2021 and concluded no goodwill impairment existed. Our market capitalization has decreased since the completion of the October 31, 2021 evaluation which caused a trigger analysis to test goodwill impairment due to supply chain and labor supply uncertainty. After evaluating our results, events and circumstances, we determined no goodwill impairment was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Financing Agreements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July 30, 2022, $24,128 had been advanced under the loan portion of our line of credit, and the balance of letters of credit outstanding was approximately $6,342. As of July 30, 2022, $4,530 of the credit facility was available for borrowing. On August 16, 2022, we entered into an agreement to temporarily expand the line of credit by $10,000 through October 31, 2022. In addition, certain financial covenants were modified to temporarily relax them through the second and third quarter of fiscal 2023. As of July 30, 2022, we were not in compliance with our financial covenants and our bank provided a waiver for these covenants.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30, 2022, we had $616 of bank guarantees or other financial instruments for display installations issued by another bank and secured by a restricted cash deposit. If we are unable to meet the terms of the arrangement, the bank would subrogate its loss by drawing on the secured cash deposit.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reviews and inspections, and other legal matters on an ongoing basis and follow appropriate accounting guidance when making accrual and disclosure decisions. For unresolved legal proceedings or claims, 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jc w:val="right"/>
              <w:ind w:right="1250"/>
              <w:spacing w:after="0"/>
              <w:rPr>
                <w:sz w:val="20"/>
                <w:szCs w:val="20"/>
                <w:color w:val="auto"/>
              </w:rPr>
            </w:pPr>
            <w:r>
              <w:rPr>
                <w:rFonts w:ascii="Times New Roman" w:cs="Times New Roman" w:eastAsia="Times New Roman" w:hAnsi="Times New Roman"/>
                <w:sz w:val="18"/>
                <w:szCs w:val="18"/>
                <w:i w:val="1"/>
                <w:iCs w:val="1"/>
                <w:color w:val="auto"/>
                <w:w w:val="99"/>
              </w:rPr>
              <w:t xml:space="preserve">Warranties: </w:t>
            </w:r>
            <w:r>
              <w:rPr>
                <w:rFonts w:ascii="Times New Roman" w:cs="Times New Roman" w:eastAsia="Times New Roman" w:hAnsi="Times New Roman"/>
                <w:sz w:val="18"/>
                <w:szCs w:val="18"/>
                <w:color w:val="auto"/>
                <w:w w:val="99"/>
              </w:rPr>
              <w:t>Changes in our warranty obligation for the three months ended July 30, 2022 consisted of the following:</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9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30,</w:t>
            </w:r>
          </w:p>
        </w:tc>
      </w:tr>
      <w:tr>
        <w:trPr>
          <w:trHeight w:val="241"/>
        </w:trPr>
        <w:tc>
          <w:tcPr>
            <w:tcW w:w="9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760" w:type="dxa"/>
            <w:vAlign w:val="bottom"/>
            <w:shd w:val="clear" w:color="auto" w:fill="CCEEFF"/>
          </w:tcPr>
          <w:p>
            <w:pPr>
              <w:jc w:val="right"/>
              <w:ind w:right="6770"/>
              <w:spacing w:after="0"/>
              <w:rPr>
                <w:sz w:val="20"/>
                <w:szCs w:val="20"/>
                <w:color w:val="auto"/>
              </w:rPr>
            </w:pPr>
            <w:r>
              <w:rPr>
                <w:rFonts w:ascii="Times New Roman" w:cs="Times New Roman" w:eastAsia="Times New Roman" w:hAnsi="Times New Roman"/>
                <w:sz w:val="18"/>
                <w:szCs w:val="18"/>
                <w:color w:val="auto"/>
                <w:w w:val="99"/>
              </w:rPr>
              <w:t>Beginning accrued warranty obligations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r>
      <w:tr>
        <w:trPr>
          <w:trHeight w:val="229"/>
        </w:trPr>
        <w:tc>
          <w:tcPr>
            <w:tcW w:w="9760" w:type="dxa"/>
            <w:vAlign w:val="bottom"/>
          </w:tcPr>
          <w:p>
            <w:pPr>
              <w:jc w:val="right"/>
              <w:ind w:right="677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29"/>
        </w:trPr>
        <w:tc>
          <w:tcPr>
            <w:tcW w:w="9760" w:type="dxa"/>
            <w:vAlign w:val="bottom"/>
            <w:shd w:val="clear" w:color="auto" w:fill="CCEEFF"/>
          </w:tcPr>
          <w:p>
            <w:pPr>
              <w:jc w:val="right"/>
              <w:ind w:right="677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30"/>
        </w:trPr>
        <w:tc>
          <w:tcPr>
            <w:tcW w:w="9760" w:type="dxa"/>
            <w:vAlign w:val="bottom"/>
            <w:tcBorders>
              <w:bottom w:val="single" w:sz="8" w:color="CCEEFF"/>
            </w:tcBorders>
          </w:tcPr>
          <w:p>
            <w:pPr>
              <w:jc w:val="right"/>
              <w:ind w:right="1530"/>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48"/>
        </w:trPr>
        <w:tc>
          <w:tcPr>
            <w:tcW w:w="9760" w:type="dxa"/>
            <w:vAlign w:val="bottom"/>
            <w:tcBorders>
              <w:bottom w:val="single" w:sz="8" w:color="CCEEFF"/>
            </w:tcBorders>
            <w:shd w:val="clear" w:color="auto" w:fill="CCEEFF"/>
          </w:tcPr>
          <w:p>
            <w:pPr>
              <w:jc w:val="right"/>
              <w:ind w:right="699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July 30, 2022, we had outstanding letters of credit, bank guarantees and surety bonds in the amount of $6,342, $616 and $82,528,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July 30, 2022, we were not aware of any indemnification claim from a customer.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July 30, 2022 was 15.8 percent, as compared to an effective tax rate of 25.2 percent tax for the three months ended July 31, 2021. The decrease in tax rate is primarily driven by an increase in estimated tax credits and other permanent items less valuation allowances as a percentage of estimated pre-tax earnings for fiscal 2023 compared to the estimated value of tax credits and other permanent items less valuation allowances as a percentage to the estimated pre-tax earnings at the first quarter of fiscal 2022.</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operate both domestically and internationally and, as of July 30, 2022, undistributed earnings of our foreign subsidiaries were considered to be reinvested indefinitely. Additionally, as of July 30, 2022, we had $610 of unrecognized tax benefits which would reduce our effective tax rate if recognized.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July 30, 2022 and April 30, 2022 according to the valuation techniques we used to determine their fair values. There have been no transfers of assets or liabilities among the fair value hierarchies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30, 2022</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valuation techniques used by us to value our financial instruments since the end of fiscal 2022. For additional information, see our Annual Report on Form 10-K for the fiscal year ended April 30, 2022 for the methods and assumptions used to estimate the fair value of each class of financial instrument.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2020, the Board had suspended the program. On December 2, 2021, the Board of Directors of Daktronics voted to reauthorize the stock repurchase program.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30, 2022, we repurchased no shares of common stock. As of July 30, 2022, we had $29,355 of remaining capacity under our current share repurchase program.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April 30, 2022, to and including July 30, 2022 and (ii) results of operations during the current fiscal period(s) as compared to the corresponding period(s) of the preceding fiscal year.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and similar expressions are intended to identify forward-looking statements within the meaning of the Private Securities Litigation Reform Act of 1995. Any and all forecasts and projections in this document are “forward 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of our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it is not possible for management to predict all of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MD&amp;A should be read in conjunction with the Consolidated Financial Statements and related Notes included in Item 1 of Part 1 of this Quarterly Report on Form 10-Q and our Annual Report on Form 10-K for the fiscal year ended April 30, 2022 (including the information presented therein under Risk Factors), as well other publicly available information about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engaged principally in the design, marketing,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our Annual Report on Form 10-K for the fiscal year ended April 30, 2022 and the consolidated financial statements set forth in that Annual Report on Form 10-K, including the notes to consolidated financial statements included therein.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CONDITIONS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Supply chain disruptions continue as a result of several factors, including the pandemic lockdowns, shipping container shortages, labor shortages, war and other conflicts, and changes in global demand. We are specifically impacted by the global shortage of semiconductors and related electronic components.</w:t>
      </w:r>
    </w:p>
    <w:p>
      <w:pPr>
        <w:jc w:val="both"/>
        <w:spacing w:after="0" w:line="250" w:lineRule="auto"/>
        <w:rPr>
          <w:sz w:val="20"/>
          <w:szCs w:val="20"/>
          <w:color w:val="auto"/>
        </w:rPr>
      </w:pPr>
      <w:r>
        <w:rPr>
          <w:rFonts w:ascii="Times New Roman" w:cs="Times New Roman" w:eastAsia="Times New Roman" w:hAnsi="Times New Roman"/>
          <w:sz w:val="18"/>
          <w:szCs w:val="18"/>
          <w:color w:val="auto"/>
        </w:rPr>
        <w:t>Over the past months, our capacity was constrained due to significant and unusual part shortages, a challenging labor environment, and operating disruptions from COVID-19 related absences, and shutdown of our facilities in Shanghai, China due to a government mandated COVID-19 zero tolerance policy. Through this time, we also have experienced increased input costs for materials, commodities, personnel,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freight, and tariffs. In addition, recent disputes by railroad workers regarding the terms of labor agreements have increased the likelihood of a potential strike or work stoppage by certain railroad workers. In response to these increased tensions, President Biden recently took an executive action to temporarily prevent approximately 115,000 U.S. railroad workers from going on strike for sixty days. It is uncertain at this time whether negotiations will be successful in preventing a strike or work stoppage by railroad workers. The International Longshore and Warehouse Union (ILWU) contract with the Pacific Maritime Association expired July 1st. While negotiations are in process, a strike or work slow-down mandate is possible. This would have a negative impact on the movement of material through west coast ports. We are monitoring these situations but it is difficult and uncertain to predict the level of impact this may have on our organization or our supply chain.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responded to input cost increases by increasing pricing through the last half of fiscal 2022 and implemented additional increases at the beginning of fiscal 2023. We also use pricing policies and opportunity evaluations across markets to manage price levels. We will continue to monitor our supply chains and our marketplaces and adapt our pricing methodologies as we see appropriate. We have also allocated resources to redesigns of certain products to provide the ability to source available components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Macroeconomic events including the possibility of sustained high inflation and tightening financials conditions, including the potential for higher interest rates, could increase the likelihood of deteriorating global economic conditions. We also expect impacts to the global economic conditions in reaction to the evolving war and geopolitical environment. Although we cannot predict the length or severity of these conditions, we expect continued disruptions in obtaining materials, commodities, labor, and freight availability and an increase in inflation. Due to longer planning horizons and volatility in supply chains, we plan to carry higher quantities of inventory and anticipate changes in the timing of payments from our customers as we work through different disruptions and fulfill our backlog, likely creating an increased consumption of cash. We are also planning additional cash use for capital spending to grow our manufacturing capacity.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these conditions have and will continue to cause volatility in our cash flow, pricing, order volumes, lead-times, competitiveness, revenue cycles, and production costs, and it is likely these conditions will continue to have negative impact in fiscal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refer to the COVID-19 and raw material and component related risk factors disclosed in Item 1A of Part I in our Annual Report on Form 10-K for the fiscal year ended April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JULY 30, 2022 AND JULY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and future revenues.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order backlog as of July 30, 2022 was $469.1 million as compared to $285.3 million as of July 31, 2021 and $471.6 million at April 30, 2022, which was the end of our fiscal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July 30, 2022 within the next 24 months. The timing of backlog may be impacted by project delays resulting from parts availability and other constraints stemming from the supply chain disruptions.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three months ended July 30, 2022 and July 31, 2021: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tcPr>
          <w:p>
            <w:pPr>
              <w:spacing w:after="0"/>
              <w:rPr>
                <w:sz w:val="22"/>
                <w:szCs w:val="22"/>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170,223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2023 first quarter, net sales were $171.9 million, an increase of $27.2 million from the prior year's first quarter. The year-over-year growth was driven by fulfilling orders in the backlog and continued strong orders. Material supply shortages and labor challenges are creating an increase in lead times and extending the timing of converting some orders to sales in the near-term. We expect supply chain conditions to persist through the fiscal year.</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Order volume decreased in the first quarter of fiscal 2023 from the prior year's first quarter. Fiscal 2022 saw a record number of orders from pent up demand during the COVID-19 pandemic and orders for fiscal 2023 continue to be strong. Order bookings in the first quarter of fiscal 2023 were strong for shopping centers, casinos, and out of home advertising display systems in the Commercial business unit and in multiple sports venues in the Live Events unit. International markets have seen some softening in demand through the first quarter of fiscal 2023 due to the inflationary environment and geopolitical events.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260" w:type="dxa"/>
            <w:vAlign w:val="bottom"/>
          </w:tcPr>
          <w:p>
            <w:pPr>
              <w:spacing w:after="0"/>
              <w:rPr>
                <w:sz w:val="19"/>
                <w:szCs w:val="19"/>
                <w:color w:val="auto"/>
              </w:rPr>
            </w:pPr>
          </w:p>
        </w:tc>
        <w:tc>
          <w:tcPr>
            <w:tcW w:w="288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0" w:type="dxa"/>
            <w:vAlign w:val="bottom"/>
          </w:tcPr>
          <w:p>
            <w:pPr>
              <w:spacing w:after="0"/>
              <w:rPr>
                <w:sz w:val="1"/>
                <w:szCs w:val="1"/>
                <w:color w:val="auto"/>
              </w:rPr>
            </w:pPr>
          </w:p>
        </w:tc>
      </w:tr>
      <w:tr>
        <w:trPr>
          <w:trHeight w:val="17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38"/>
        </w:trPr>
        <w:tc>
          <w:tcPr>
            <w:tcW w:w="4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decline in gross profit percentage was primarily impacted by inflationary challenges in materials, freight, and personnel related costs. In addition, extraordinary supply chain disruptions, including the Shanghai factory closure, created intermittent work stoppages and factory inefficiencies, adding additional costs to meet customer commitments, especially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Live Events business unit. We also recorded a $0.8 million provision for estimated losses on contracts in progress during the three months ended July 30,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costs as a percent of sales for the three months ended July 30, 2022 compared to the same period one year ago increased to 1.6 percent from 1.2 percent.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margin was impacted by the previously discussed sales levels and impacts on gross profit, as well as a 22.3 percent increase in selling expenses in the first three months of fiscal 2023 compared to the prior year three-month period. We have adjusted our sales and marketing activities and staffing levels to achieve current and expected future sales levels. Our order volume is directly associated with our marketing and sales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non-GAAP contribution margin to GAAP operating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2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80" w:type="dxa"/>
            <w:vAlign w:val="bottom"/>
          </w:tcPr>
          <w:p>
            <w:pPr>
              <w:spacing w:after="0"/>
              <w:rPr>
                <w:sz w:val="19"/>
                <w:szCs w:val="19"/>
                <w:color w:val="auto"/>
              </w:rPr>
            </w:pPr>
          </w:p>
        </w:tc>
        <w:tc>
          <w:tcPr>
            <w:tcW w:w="1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first quarter of fiscal 2023 increased as compared to the same period one year ago primarily due to increases in personnel expense and approximately $1.0 million in professional fees related to shareholder engagement.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design and development expenses in the first quarter of fiscal 2023 increased slightly as compared to the same period one year ago primarily due to an increase in personnel related expenses partially offset by a decrease in consulting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Decreased contribution margin and increased spend in general and administrative and product development led to an operating loss for the first quarter of fiscal 2023 compared to the prior year first quarter.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1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July 31, 2021</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59"/>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34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change in interest income and expense, net for the first quarter of fiscal 2023 compared to the same period one year ago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utilizing our line of credit during the 2023 first quarter for our strategic investments in inventory.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the first quarter of fiscal 2023 as compared to the same period one year ago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losses recorded for equity method affiliates and foreign currency volatility.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recorded an effective tax rate of 15.8 percent for the first quarter of fiscal 2023 as compared to 25.2 percent for the first quarter of fiscal 2022. The decrease in tax rate is primarily driven by an increase in estimated tax credits and other permanent tax items less valuation allowances as a percentage of estimated pre-tax earnings for fiscal 2023 compared to the estimated value of tax credits and other permanent items less valuation allowances as a percentage of the estimated pre-tax earnings in the first quarter of fiscal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34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(22,815)</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(21,796)</w:t>
            </w:r>
          </w:p>
        </w:tc>
      </w:tr>
      <w:tr>
        <w:trPr>
          <w:trHeight w:val="27"/>
        </w:trPr>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24,328</w:t>
            </w:r>
          </w:p>
        </w:tc>
      </w:tr>
      <w:tr>
        <w:trPr>
          <w:trHeight w:val="27"/>
        </w:trPr>
        <w:tc>
          <w:tcPr>
            <w:tcW w:w="5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decreased by $9.0 million for the first three months of fiscal 2023 compared to a decrease of $3.2 million in the first three months of fiscal 2022. The decrease in the first quarter of fiscal 2023 is primarily due to the use of cash for investments in inventory required to support the conversion of increased backlog and strong orders into sales and as a strategy during this time of supply chain disruptions. The decrease in cash was also due to investing in capital assets for increased capacity and automation and loans to affiliates. We utilized our line of credit to support these uses of cash.</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Net cash used in operating activities was $22.8 million for the first three months of fiscal 2023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operating activities of $1.0 million in the first three months of fiscal 2022. The $21.8 million difference between net cash used in operating activities in the first quarter of fiscal 2023 compared to net cash used in operating activities in the first quarter of fiscal 2022 was primarily the result of changes in net operating assets and liabilities and the result of having a net loss in the first quarter of 2023 compared to net income in the first quarter of 2022.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consisted of the following:</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86"/>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July 30,</w:t>
            </w:r>
          </w:p>
        </w:tc>
        <w:tc>
          <w:tcPr>
            <w:tcW w:w="280" w:type="dxa"/>
            <w:vAlign w:val="bottom"/>
          </w:tcPr>
          <w:p>
            <w:pPr>
              <w:spacing w:after="0"/>
              <w:rPr>
                <w:sz w:val="18"/>
                <w:szCs w:val="18"/>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38"/>
        </w:trPr>
        <w:tc>
          <w:tcPr>
            <w:tcW w:w="8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totaled $10.4 million in the first three months of fiscal 2023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investing activities of $1.9 million in the first three months of fiscal 2022. Purchases of property and equipment totaled $10.7 million in the first three months of fiscal 2023 compared to $1.3 million in the first three months of fiscal 2022. Purchases of and loans to affiliates accounted for by the equity investment method totaled $1.1 million in the first three months of fiscal 2023 as compared to $0.7 million in the first three months of fiscal 2022.</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w:t>
      </w:r>
      <w:r>
        <w:rPr>
          <w:rFonts w:ascii="Times New Roman" w:cs="Times New Roman" w:eastAsia="Times New Roman" w:hAnsi="Times New Roman"/>
          <w:sz w:val="18"/>
          <w:szCs w:val="18"/>
          <w:color w:val="auto"/>
        </w:rPr>
        <w:t>Net cash provided by financing activities was $24.1 million for the three months ended July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draws on our line of credit compared to a payment of $0.2 million in the same period one year ago primarily due to payments for shares repurchased.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Resources Discussion: </w:t>
      </w:r>
      <w:r>
        <w:rPr>
          <w:rFonts w:ascii="Times New Roman" w:cs="Times New Roman" w:eastAsia="Times New Roman" w:hAnsi="Times New Roman"/>
          <w:sz w:val="18"/>
          <w:szCs w:val="18"/>
          <w:color w:val="auto"/>
        </w:rPr>
        <w:t>The timing and amounts of working capital changes, dividend payments, stock repurchases,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profitability, and investments in affiliates impact our liquidity. Our cash needs are funded through a combination of cash flow from operations and borrowings under bank credit agreements.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audiovisual industry fundamentals will drive long-term growth for our business; however, for the near-term outlook, we expect our customers may continue to have disruptions and may continue to reduce or increase their spend on audiovisual systems and related services as they work through the economic and business implications of COVID-19, supply chain challenges, and emerging war and geopolitical situations. Ongoing supply chain disruptions and inflationary challenges in materials, freight and personnel related costs also impact our profitability and cash flows. We have increased pricing when we are able in an effort to offset the increase in input costs. In addition, we are planning additional capital spending to grow our manufacturing capacity. We anticipate needing to utilize a portion of our line of credit through fiscal 2023 for these conditions and 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Working capital was $118.5 million and $103.9 million as of July 30, 2022 and April 30, 2022, respectively. The changes in working capital, particularly changes in inventory, accounts payable, accounts receivable, contract assets and liabilities, and the sports market and construction seasonality, can have a significant impact on the amount of net cash provided by operating activities largely due to the timing of payments and receipts. On multimillion-dollar orders, the time between order acceptance and project completion may extend up to or exceed 12 months depending on the amount of custom work and a customer’s delivery needs. We often receive down payments or progress payments on these orders. We expect to use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in operations as our business returns and exceeds pre-pandemic levels and due to longer planning horizons and volatility in supply chains. While these conditions continue, we plan to carry higher quantities of inventory and anticipate changes in the timing of payments from our customers as we work through different disruptions and fulfill our backlog.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$24.1 million advanced on our line of credit as of July 30, 2022. On August 16, 2022, we entered into an agreement to temporarily expand the line of credit by $10 million through October 31, 2022. In addition, certain financial covenants were modified. Our line of credit expires in April 2025.</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and amendments require us to be in compliance with certain financial ratios, including a covenant to maintain the ratio of interest-bearing debt to earnings before income taxes, depreciation, and amortization of less than 6.0 for the quarter ending October 29, 2022 and beginning with the fiscal quarter ending January 28, 2023 to be less than 2.5. A minimum fixed charge coverage ratio must be met of at least 2 to 1 at the end of any quarter during fiscal year 2023 and a ratio of at least 1.25 to 1 for the year end of fiscal 2023. As of July 30, 2022, we were not in compliance with these covenants, and our bank provided waivers for the first quarter of fiscal 2023 for such covenants. Based on future projections, we expect to be in compliance with these covenants through the next year; however, with the uncertainty and volatility in the supply chain and the sensitivity of the covenants, we cannot be certain. If we violate a covenant and cannot obtain a waiver from the bank, we may need to seek additional debt or equity financing.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$7.8 million of retainage on long-term contracts included in receivables and contract assets as of July 30, 2022, which has an impact on our liquidity. We expect to collect these amounts within one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 loss to Daktronics' restricted cash accounts. As of July 30, 2022, we had $0.6 million of such instruments outstanding.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installation work, and our customer would call upon the bond for payment, the surety company would subrogate its loss to Daktronics. As of July 30, 2022, we had $82.5 million of bonded work outstanding against this 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total capital expenditures to be approximately $30 million for fiscal 2023. Projected capital expenditures include purchasing manufacturing equipment for new or enhanced product production and expanded capacity, increasing automation of processes, investments in quality and reliability equipment, demonstration and showroom assets, and continued information infrastructure investments. </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evaluate and may make strategic investments in new technologies or in our affiliates or acquire companies aligned with our business strategy. We committed to invest an additional $2.0 million over the next year in our current affiliates.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repurchase shares of our common stock from time to time in open market purchases, private transactions or other transactions. The timing, volume and nature of share repurchases will be at the sole discretion of management, will be dependent on market conditions, applicable securities laws and other factors, and may be suspended or discontinued at any time. The Board of Directors suspended share repurchases during fiscal 2020 as part of our cash conservation measures through the pandemic. The share repurchase program was reinstated on December 2, 2021. During the three months ended July 30, 2022, we repurchased no shares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30, 2022. We discuss our critical accounting estimates in "Part II, Item 7. Management’s Discussion and Analysis of Financial Condition and Results of Operations" in our Annual Report on Form 10-K for the fiscal year ended April 30, 2022. There have been no material changes in our significant accounting policies or critical accounting estimates since the end of fiscal 2022.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April 30, 2022. There have been no material changes in our exposure to these risks during the first three months of fiscal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July 30, 2022, which is the end of the period covered by this Report. Based upon that evaluation, the Chief Executive Officer and Chief Financial Officer concluded that as of July 30, 2022, our disclosure controls and procedures were effective.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evaluation described in the foregoing paragraph, our Chief Executive Officer and Chief Financial Officer concluded that during the quarter ended July 30, 2022, there was no change in our internal control over financial reporting which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our Annual Report on Form 10-K for the fiscal year ended April 30, 2022.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July 30, 2022 and July 31, 2021, we did not repurchase any shares of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list of exhibits required to be filed as part of this report is set forth in the Index of Exhibits, which immediately precedes such exhibits, and is incorporated herein by reference.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40" w:type="dxa"/>
            <w:vAlign w:val="bottom"/>
            <w:gridSpan w:val="3"/>
            <w:shd w:val="clear" w:color="auto" w:fill="C6F4F9"/>
          </w:tcPr>
          <w:p>
            <w:pPr>
              <w:ind w:left="2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80" w:type="dxa"/>
            <w:vAlign w:val="bottom"/>
            <w:shd w:val="clear" w:color="auto" w:fill="C6F4F9"/>
          </w:tcPr>
          <w:p>
            <w:pPr>
              <w:spacing w:after="0"/>
              <w:rPr>
                <w:sz w:val="21"/>
                <w:szCs w:val="21"/>
                <w:color w:val="auto"/>
              </w:rPr>
            </w:pPr>
          </w:p>
        </w:tc>
        <w:tc>
          <w:tcPr>
            <w:tcW w:w="20" w:type="dxa"/>
            <w:vAlign w:val="bottom"/>
            <w:shd w:val="clear" w:color="auto" w:fill="C6F4F9"/>
          </w:tcPr>
          <w:p>
            <w:pPr>
              <w:spacing w:after="0"/>
              <w:rPr>
                <w:sz w:val="21"/>
                <w:szCs w:val="21"/>
                <w:color w:val="auto"/>
              </w:rPr>
            </w:pPr>
          </w:p>
        </w:tc>
        <w:tc>
          <w:tcPr>
            <w:tcW w:w="600" w:type="dxa"/>
            <w:vAlign w:val="bottom"/>
            <w:shd w:val="clear" w:color="auto" w:fill="C6F4F9"/>
          </w:tcPr>
          <w:p>
            <w:pPr>
              <w:spacing w:after="0"/>
              <w:rPr>
                <w:sz w:val="21"/>
                <w:szCs w:val="21"/>
                <w:color w:val="auto"/>
              </w:rPr>
            </w:pPr>
          </w:p>
        </w:tc>
        <w:tc>
          <w:tcPr>
            <w:tcW w:w="10420" w:type="dxa"/>
            <w:vAlign w:val="bottom"/>
            <w:gridSpan w:val="36"/>
            <w:shd w:val="clear" w:color="auto" w:fill="C6F4F9"/>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Amended and Restated Articles of Incorporation of the Company. (Incorporated by reference to Exhibit 3.1 of the Current Report on Form</w:t>
              </w:r>
            </w:hyperlink>
          </w:p>
        </w:tc>
      </w:tr>
      <w:tr>
        <w:trPr>
          <w:trHeight w:val="135"/>
        </w:trPr>
        <w:tc>
          <w:tcPr>
            <w:tcW w:w="20" w:type="dxa"/>
            <w:vAlign w:val="bottom"/>
            <w:tcBorders>
              <w:top w:val="single" w:sz="8" w:color="C6F4F9"/>
            </w:tcBorders>
            <w:shd w:val="clear" w:color="auto" w:fill="C6F4F9"/>
          </w:tcPr>
          <w:p>
            <w:pPr>
              <w:spacing w:after="0"/>
              <w:rPr>
                <w:sz w:val="11"/>
                <w:szCs w:val="11"/>
                <w:color w:val="auto"/>
              </w:rPr>
            </w:pPr>
          </w:p>
        </w:tc>
        <w:tc>
          <w:tcPr>
            <w:tcW w:w="240" w:type="dxa"/>
            <w:vAlign w:val="bottom"/>
            <w:tcBorders>
              <w:top w:val="single" w:sz="8" w:color="0000EE"/>
            </w:tcBorders>
            <w:shd w:val="clear" w:color="auto" w:fill="C6F4F9"/>
          </w:tcPr>
          <w:p>
            <w:pPr>
              <w:spacing w:after="0"/>
              <w:rPr>
                <w:sz w:val="11"/>
                <w:szCs w:val="11"/>
                <w:color w:val="auto"/>
              </w:rPr>
            </w:pPr>
          </w:p>
        </w:tc>
        <w:tc>
          <w:tcPr>
            <w:tcW w:w="80" w:type="dxa"/>
            <w:vAlign w:val="bottom"/>
            <w:tcBorders>
              <w:top w:val="single" w:sz="8" w:color="C6F4F9"/>
            </w:tcBorders>
            <w:shd w:val="clear" w:color="auto" w:fill="C6F4F9"/>
          </w:tcPr>
          <w:p>
            <w:pPr>
              <w:spacing w:after="0"/>
              <w:rPr>
                <w:sz w:val="11"/>
                <w:szCs w:val="11"/>
                <w:color w:val="auto"/>
              </w:rPr>
            </w:pPr>
          </w:p>
        </w:tc>
        <w:tc>
          <w:tcPr>
            <w:tcW w:w="8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600" w:type="dxa"/>
            <w:vAlign w:val="bottom"/>
            <w:tcBorders>
              <w:top w:val="single" w:sz="8" w:color="C6F4F9"/>
            </w:tcBorders>
            <w:shd w:val="clear" w:color="auto" w:fill="C6F4F9"/>
          </w:tcPr>
          <w:p>
            <w:pPr>
              <w:spacing w:after="0"/>
              <w:rPr>
                <w:sz w:val="11"/>
                <w:szCs w:val="11"/>
                <w:color w:val="auto"/>
              </w:rPr>
            </w:pPr>
          </w:p>
        </w:tc>
        <w:tc>
          <w:tcPr>
            <w:tcW w:w="9980" w:type="dxa"/>
            <w:vAlign w:val="bottom"/>
            <w:tcBorders>
              <w:top w:val="single" w:sz="8" w:color="0000FF"/>
            </w:tcBorders>
            <w:gridSpan w:val="23"/>
            <w:shd w:val="clear" w:color="auto" w:fill="C6F4F9"/>
          </w:tcPr>
          <w:p>
            <w:pPr>
              <w:spacing w:after="0" w:line="136" w:lineRule="exact"/>
              <w:rPr>
                <w:rFonts w:ascii="Times New Roman" w:cs="Times New Roman" w:eastAsia="Times New Roman" w:hAnsi="Times New Roman"/>
                <w:sz w:val="15"/>
                <w:szCs w:val="15"/>
                <w:color w:val="0000FF"/>
              </w:rPr>
            </w:pPr>
            <w:hyperlink r:id="rId35">
              <w:r>
                <w:rPr>
                  <w:rFonts w:ascii="Times New Roman" w:cs="Times New Roman" w:eastAsia="Times New Roman" w:hAnsi="Times New Roman"/>
                  <w:sz w:val="15"/>
                  <w:szCs w:val="15"/>
                  <w:color w:val="0000FF"/>
                </w:rPr>
                <w:t>10-Q/A (Amendment No. 1) of Daktronics, Inc. filed on December 21, 2018).</w:t>
              </w:r>
            </w:hyperlink>
          </w:p>
        </w:tc>
        <w:tc>
          <w:tcPr>
            <w:tcW w:w="20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r>
      <w:tr>
        <w:trPr>
          <w:trHeight w:val="34"/>
        </w:trPr>
        <w:tc>
          <w:tcPr>
            <w:tcW w:w="20" w:type="dxa"/>
            <w:vAlign w:val="bottom"/>
            <w:tcBorders>
              <w:top w:val="single" w:sz="8" w:color="C6F4F9"/>
            </w:tcBorders>
            <w:shd w:val="clear" w:color="auto" w:fill="C6F4F9"/>
          </w:tcPr>
          <w:p>
            <w:pPr>
              <w:spacing w:after="0"/>
              <w:rPr>
                <w:sz w:val="2"/>
                <w:szCs w:val="2"/>
                <w:color w:val="auto"/>
              </w:rPr>
            </w:pPr>
          </w:p>
        </w:tc>
        <w:tc>
          <w:tcPr>
            <w:tcW w:w="240" w:type="dxa"/>
            <w:vAlign w:val="bottom"/>
            <w:tcBorders>
              <w:top w:val="single" w:sz="8" w:color="C6F4F9"/>
            </w:tcBorders>
            <w:shd w:val="clear" w:color="auto" w:fill="C6F4F9"/>
          </w:tcPr>
          <w:p>
            <w:pPr>
              <w:spacing w:after="0"/>
              <w:rPr>
                <w:sz w:val="2"/>
                <w:szCs w:val="2"/>
                <w:color w:val="auto"/>
              </w:rPr>
            </w:pPr>
          </w:p>
        </w:tc>
        <w:tc>
          <w:tcPr>
            <w:tcW w:w="80" w:type="dxa"/>
            <w:vAlign w:val="bottom"/>
            <w:tcBorders>
              <w:top w:val="single" w:sz="8" w:color="C6F4F9"/>
            </w:tcBorders>
            <w:shd w:val="clear" w:color="auto" w:fill="C6F4F9"/>
          </w:tcPr>
          <w:p>
            <w:pPr>
              <w:spacing w:after="0"/>
              <w:rPr>
                <w:sz w:val="2"/>
                <w:szCs w:val="2"/>
                <w:color w:val="auto"/>
              </w:rPr>
            </w:pPr>
          </w:p>
        </w:tc>
        <w:tc>
          <w:tcPr>
            <w:tcW w:w="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60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080" w:type="dxa"/>
            <w:vAlign w:val="bottom"/>
            <w:tcBorders>
              <w:top w:val="single" w:sz="8" w:color="0000FF"/>
            </w:tcBorders>
            <w:shd w:val="clear" w:color="auto" w:fill="C6F4F9"/>
          </w:tcPr>
          <w:p>
            <w:pPr>
              <w:spacing w:after="0"/>
              <w:rPr>
                <w:sz w:val="2"/>
                <w:szCs w:val="2"/>
                <w:color w:val="auto"/>
              </w:rPr>
            </w:pPr>
          </w:p>
        </w:tc>
        <w:tc>
          <w:tcPr>
            <w:tcW w:w="1340" w:type="dxa"/>
            <w:vAlign w:val="bottom"/>
            <w:tcBorders>
              <w:top w:val="single" w:sz="8" w:color="0000FF"/>
            </w:tcBorders>
            <w:shd w:val="clear" w:color="auto" w:fill="C6F4F9"/>
          </w:tcPr>
          <w:p>
            <w:pPr>
              <w:spacing w:after="0"/>
              <w:rPr>
                <w:sz w:val="2"/>
                <w:szCs w:val="2"/>
                <w:color w:val="auto"/>
              </w:rPr>
            </w:pPr>
          </w:p>
        </w:tc>
        <w:tc>
          <w:tcPr>
            <w:tcW w:w="760" w:type="dxa"/>
            <w:vAlign w:val="bottom"/>
            <w:tcBorders>
              <w:top w:val="single" w:sz="8" w:color="0000FF"/>
            </w:tcBorders>
            <w:shd w:val="clear" w:color="auto" w:fill="C6F4F9"/>
          </w:tcPr>
          <w:p>
            <w:pPr>
              <w:spacing w:after="0"/>
              <w:rPr>
                <w:sz w:val="2"/>
                <w:szCs w:val="2"/>
                <w:color w:val="auto"/>
              </w:rPr>
            </w:pPr>
          </w:p>
        </w:tc>
        <w:tc>
          <w:tcPr>
            <w:tcW w:w="520" w:type="dxa"/>
            <w:vAlign w:val="bottom"/>
            <w:tcBorders>
              <w:top w:val="single" w:sz="8" w:color="0000FF"/>
            </w:tcBorders>
            <w:shd w:val="clear" w:color="auto" w:fill="C6F4F9"/>
          </w:tcPr>
          <w:p>
            <w:pPr>
              <w:spacing w:after="0"/>
              <w:rPr>
                <w:sz w:val="2"/>
                <w:szCs w:val="2"/>
                <w:color w:val="auto"/>
              </w:rPr>
            </w:pPr>
          </w:p>
        </w:tc>
        <w:tc>
          <w:tcPr>
            <w:tcW w:w="720" w:type="dxa"/>
            <w:vAlign w:val="bottom"/>
            <w:tcBorders>
              <w:top w:val="single" w:sz="8" w:color="0000FF"/>
            </w:tcBorders>
            <w:shd w:val="clear" w:color="auto" w:fill="C6F4F9"/>
          </w:tcPr>
          <w:p>
            <w:pPr>
              <w:spacing w:after="0"/>
              <w:rPr>
                <w:sz w:val="2"/>
                <w:szCs w:val="2"/>
                <w:color w:val="auto"/>
              </w:rPr>
            </w:pPr>
          </w:p>
        </w:tc>
        <w:tc>
          <w:tcPr>
            <w:tcW w:w="360" w:type="dxa"/>
            <w:vAlign w:val="bottom"/>
            <w:tcBorders>
              <w:top w:val="single" w:sz="8" w:color="0000FF"/>
            </w:tcBorders>
            <w:shd w:val="clear" w:color="auto" w:fill="C6F4F9"/>
          </w:tcPr>
          <w:p>
            <w:pPr>
              <w:spacing w:after="0"/>
              <w:rPr>
                <w:sz w:val="2"/>
                <w:szCs w:val="2"/>
                <w:color w:val="auto"/>
              </w:rPr>
            </w:pPr>
          </w:p>
        </w:tc>
        <w:tc>
          <w:tcPr>
            <w:tcW w:w="380" w:type="dxa"/>
            <w:vAlign w:val="bottom"/>
            <w:tcBorders>
              <w:top w:val="single" w:sz="8" w:color="0000FF"/>
            </w:tcBorders>
            <w:shd w:val="clear" w:color="auto" w:fill="C6F4F9"/>
          </w:tcPr>
          <w:p>
            <w:pPr>
              <w:spacing w:after="0"/>
              <w:rPr>
                <w:sz w:val="2"/>
                <w:szCs w:val="2"/>
                <w:color w:val="auto"/>
              </w:rPr>
            </w:pPr>
          </w:p>
        </w:tc>
        <w:tc>
          <w:tcPr>
            <w:tcW w:w="420" w:type="dxa"/>
            <w:vAlign w:val="bottom"/>
            <w:tcBorders>
              <w:top w:val="single" w:sz="8" w:color="0000FF"/>
            </w:tcBorders>
            <w:shd w:val="clear" w:color="auto" w:fill="C6F4F9"/>
          </w:tcPr>
          <w:p>
            <w:pPr>
              <w:spacing w:after="0"/>
              <w:rPr>
                <w:sz w:val="2"/>
                <w:szCs w:val="2"/>
                <w:color w:val="auto"/>
              </w:rPr>
            </w:pPr>
          </w:p>
        </w:tc>
        <w:tc>
          <w:tcPr>
            <w:tcW w:w="40" w:type="dxa"/>
            <w:vAlign w:val="bottom"/>
            <w:tcBorders>
              <w:top w:val="single" w:sz="8" w:color="C6F4F9"/>
            </w:tcBorders>
            <w:shd w:val="clear" w:color="auto" w:fill="C6F4F9"/>
          </w:tcPr>
          <w:p>
            <w:pPr>
              <w:spacing w:after="0"/>
              <w:rPr>
                <w:sz w:val="2"/>
                <w:szCs w:val="2"/>
                <w:color w:val="auto"/>
              </w:rPr>
            </w:pPr>
          </w:p>
        </w:tc>
        <w:tc>
          <w:tcPr>
            <w:tcW w:w="760" w:type="dxa"/>
            <w:vAlign w:val="bottom"/>
            <w:tcBorders>
              <w:top w:val="single" w:sz="8" w:color="C6F4F9"/>
            </w:tcBorders>
            <w:shd w:val="clear" w:color="auto" w:fill="C6F4F9"/>
          </w:tcPr>
          <w:p>
            <w:pPr>
              <w:spacing w:after="0"/>
              <w:rPr>
                <w:sz w:val="2"/>
                <w:szCs w:val="2"/>
                <w:color w:val="auto"/>
              </w:rPr>
            </w:pPr>
          </w:p>
        </w:tc>
        <w:tc>
          <w:tcPr>
            <w:tcW w:w="1220" w:type="dxa"/>
            <w:vAlign w:val="bottom"/>
            <w:tcBorders>
              <w:top w:val="single" w:sz="8" w:color="C6F4F9"/>
            </w:tcBorders>
            <w:shd w:val="clear" w:color="auto" w:fill="C6F4F9"/>
          </w:tcPr>
          <w:p>
            <w:pPr>
              <w:spacing w:after="0"/>
              <w:rPr>
                <w:sz w:val="2"/>
                <w:szCs w:val="2"/>
                <w:color w:val="auto"/>
              </w:rPr>
            </w:pPr>
          </w:p>
        </w:tc>
        <w:tc>
          <w:tcPr>
            <w:tcW w:w="220" w:type="dxa"/>
            <w:vAlign w:val="bottom"/>
            <w:tcBorders>
              <w:top w:val="single" w:sz="8" w:color="C6F4F9"/>
            </w:tcBorders>
            <w:shd w:val="clear" w:color="auto" w:fill="C6F4F9"/>
          </w:tcPr>
          <w:p>
            <w:pPr>
              <w:spacing w:after="0"/>
              <w:rPr>
                <w:sz w:val="2"/>
                <w:szCs w:val="2"/>
                <w:color w:val="auto"/>
              </w:rPr>
            </w:pPr>
          </w:p>
        </w:tc>
        <w:tc>
          <w:tcPr>
            <w:tcW w:w="140" w:type="dxa"/>
            <w:vAlign w:val="bottom"/>
            <w:tcBorders>
              <w:top w:val="single" w:sz="8" w:color="C6F4F9"/>
            </w:tcBorders>
            <w:shd w:val="clear" w:color="auto" w:fill="C6F4F9"/>
          </w:tcPr>
          <w:p>
            <w:pPr>
              <w:spacing w:after="0"/>
              <w:rPr>
                <w:sz w:val="2"/>
                <w:szCs w:val="2"/>
                <w:color w:val="auto"/>
              </w:rPr>
            </w:pPr>
          </w:p>
        </w:tc>
        <w:tc>
          <w:tcPr>
            <w:tcW w:w="140" w:type="dxa"/>
            <w:vAlign w:val="bottom"/>
            <w:tcBorders>
              <w:top w:val="single" w:sz="8" w:color="C6F4F9"/>
            </w:tcBorders>
            <w:shd w:val="clear" w:color="auto" w:fill="C6F4F9"/>
          </w:tcPr>
          <w:p>
            <w:pPr>
              <w:spacing w:after="0"/>
              <w:rPr>
                <w:sz w:val="2"/>
                <w:szCs w:val="2"/>
                <w:color w:val="auto"/>
              </w:rPr>
            </w:pPr>
          </w:p>
        </w:tc>
        <w:tc>
          <w:tcPr>
            <w:tcW w:w="240" w:type="dxa"/>
            <w:vAlign w:val="bottom"/>
            <w:tcBorders>
              <w:top w:val="single" w:sz="8" w:color="C6F4F9"/>
            </w:tcBorders>
            <w:shd w:val="clear" w:color="auto" w:fill="C6F4F9"/>
          </w:tcPr>
          <w:p>
            <w:pPr>
              <w:spacing w:after="0"/>
              <w:rPr>
                <w:sz w:val="2"/>
                <w:szCs w:val="2"/>
                <w:color w:val="auto"/>
              </w:rPr>
            </w:pPr>
          </w:p>
        </w:tc>
        <w:tc>
          <w:tcPr>
            <w:tcW w:w="960" w:type="dxa"/>
            <w:vAlign w:val="bottom"/>
            <w:tcBorders>
              <w:top w:val="single" w:sz="8" w:color="C6F4F9"/>
            </w:tcBorders>
            <w:shd w:val="clear" w:color="auto" w:fill="C6F4F9"/>
          </w:tcPr>
          <w:p>
            <w:pPr>
              <w:spacing w:after="0"/>
              <w:rPr>
                <w:sz w:val="2"/>
                <w:szCs w:val="2"/>
                <w:color w:val="auto"/>
              </w:rPr>
            </w:pPr>
          </w:p>
        </w:tc>
        <w:tc>
          <w:tcPr>
            <w:tcW w:w="24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r>
      <w:tr>
        <w:trPr>
          <w:trHeight w:val="203"/>
        </w:trPr>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Amended and Restated Bylaws of the Company (Incorporated by reference to Exhibit 3.4 filed with our Annual Report on Form 10-K 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June 12, 2013).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40" w:type="dxa"/>
            <w:vAlign w:val="bottom"/>
            <w:gridSpan w:val="3"/>
            <w:shd w:val="clear" w:color="auto" w:fill="C6F4F9"/>
          </w:tcPr>
          <w:p>
            <w:pPr>
              <w:ind w:left="20"/>
              <w:spacing w:after="0" w:line="202"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202"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Rights Agreement dated as of November 16, 2018 between Daktronics, Inc. and Equiniti Trust Company, as Rights Agent (Incorporated by</w:t>
              </w:r>
            </w:hyperlink>
          </w:p>
        </w:tc>
      </w:tr>
      <w:tr>
        <w:trPr>
          <w:trHeight w:val="183"/>
        </w:trPr>
        <w:tc>
          <w:tcPr>
            <w:tcW w:w="20" w:type="dxa"/>
            <w:vAlign w:val="bottom"/>
            <w:tcBorders>
              <w:top w:val="single" w:sz="8" w:color="C6F4F9"/>
            </w:tcBorders>
            <w:shd w:val="clear" w:color="auto" w:fill="C6F4F9"/>
          </w:tcPr>
          <w:p>
            <w:pPr>
              <w:spacing w:after="0"/>
              <w:rPr>
                <w:sz w:val="15"/>
                <w:szCs w:val="15"/>
                <w:color w:val="auto"/>
              </w:rPr>
            </w:pPr>
          </w:p>
        </w:tc>
        <w:tc>
          <w:tcPr>
            <w:tcW w:w="240" w:type="dxa"/>
            <w:vAlign w:val="bottom"/>
            <w:tcBorders>
              <w:top w:val="single" w:sz="8" w:color="0000EE"/>
            </w:tcBorders>
            <w:shd w:val="clear" w:color="auto" w:fill="C6F4F9"/>
          </w:tcPr>
          <w:p>
            <w:pPr>
              <w:spacing w:after="0"/>
              <w:rPr>
                <w:sz w:val="15"/>
                <w:szCs w:val="15"/>
                <w:color w:val="auto"/>
              </w:rPr>
            </w:pPr>
          </w:p>
        </w:tc>
        <w:tc>
          <w:tcPr>
            <w:tcW w:w="80" w:type="dxa"/>
            <w:vAlign w:val="bottom"/>
            <w:tcBorders>
              <w:top w:val="single" w:sz="8" w:color="C6F4F9"/>
            </w:tcBorders>
            <w:shd w:val="clear" w:color="auto" w:fill="C6F4F9"/>
          </w:tcPr>
          <w:p>
            <w:pPr>
              <w:spacing w:after="0"/>
              <w:rPr>
                <w:sz w:val="15"/>
                <w:szCs w:val="15"/>
                <w:color w:val="auto"/>
              </w:rPr>
            </w:pPr>
          </w:p>
        </w:tc>
        <w:tc>
          <w:tcPr>
            <w:tcW w:w="8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60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10280" w:type="dxa"/>
            <w:vAlign w:val="bottom"/>
            <w:tcBorders>
              <w:top w:val="single" w:sz="8" w:color="0000EE"/>
            </w:tcBorders>
            <w:gridSpan w:val="29"/>
            <w:shd w:val="clear" w:color="auto" w:fill="C6F4F9"/>
          </w:tcPr>
          <w:p>
            <w:pPr>
              <w:spacing w:after="0" w:line="182"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reference to Exhibit 4.1 of the Current Report on Form 8-K of Daktronics, Inc. filed on November 16, 2018).</w:t>
              </w:r>
            </w:hyperlink>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r>
      <w:tr>
        <w:trPr>
          <w:trHeight w:val="48"/>
        </w:trPr>
        <w:tc>
          <w:tcPr>
            <w:tcW w:w="2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6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080" w:type="dxa"/>
            <w:vAlign w:val="bottom"/>
            <w:tcBorders>
              <w:top w:val="single" w:sz="8" w:color="0000EE"/>
            </w:tcBorders>
            <w:shd w:val="clear" w:color="auto" w:fill="C6F4F9"/>
          </w:tcPr>
          <w:p>
            <w:pPr>
              <w:spacing w:after="0"/>
              <w:rPr>
                <w:sz w:val="4"/>
                <w:szCs w:val="4"/>
                <w:color w:val="auto"/>
              </w:rPr>
            </w:pPr>
          </w:p>
        </w:tc>
        <w:tc>
          <w:tcPr>
            <w:tcW w:w="13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520" w:type="dxa"/>
            <w:vAlign w:val="bottom"/>
            <w:tcBorders>
              <w:top w:val="single" w:sz="8" w:color="0000EE"/>
            </w:tcBorders>
            <w:shd w:val="clear" w:color="auto" w:fill="C6F4F9"/>
          </w:tcPr>
          <w:p>
            <w:pPr>
              <w:spacing w:after="0"/>
              <w:rPr>
                <w:sz w:val="4"/>
                <w:szCs w:val="4"/>
                <w:color w:val="auto"/>
              </w:rPr>
            </w:pPr>
          </w:p>
        </w:tc>
        <w:tc>
          <w:tcPr>
            <w:tcW w:w="720" w:type="dxa"/>
            <w:vAlign w:val="bottom"/>
            <w:tcBorders>
              <w:top w:val="single" w:sz="8" w:color="0000EE"/>
            </w:tcBorders>
            <w:shd w:val="clear" w:color="auto" w:fill="C6F4F9"/>
          </w:tcPr>
          <w:p>
            <w:pPr>
              <w:spacing w:after="0"/>
              <w:rPr>
                <w:sz w:val="4"/>
                <w:szCs w:val="4"/>
                <w:color w:val="auto"/>
              </w:rPr>
            </w:pPr>
          </w:p>
        </w:tc>
        <w:tc>
          <w:tcPr>
            <w:tcW w:w="360" w:type="dxa"/>
            <w:vAlign w:val="bottom"/>
            <w:tcBorders>
              <w:top w:val="single" w:sz="8" w:color="0000EE"/>
            </w:tcBorders>
            <w:shd w:val="clear" w:color="auto" w:fill="C6F4F9"/>
          </w:tcPr>
          <w:p>
            <w:pPr>
              <w:spacing w:after="0"/>
              <w:rPr>
                <w:sz w:val="4"/>
                <w:szCs w:val="4"/>
                <w:color w:val="auto"/>
              </w:rPr>
            </w:pPr>
          </w:p>
        </w:tc>
        <w:tc>
          <w:tcPr>
            <w:tcW w:w="380" w:type="dxa"/>
            <w:vAlign w:val="bottom"/>
            <w:tcBorders>
              <w:top w:val="single" w:sz="8" w:color="0000EE"/>
            </w:tcBorders>
            <w:shd w:val="clear" w:color="auto" w:fill="C6F4F9"/>
          </w:tcPr>
          <w:p>
            <w:pPr>
              <w:spacing w:after="0"/>
              <w:rPr>
                <w:sz w:val="4"/>
                <w:szCs w:val="4"/>
                <w:color w:val="auto"/>
              </w:rPr>
            </w:pPr>
          </w:p>
        </w:tc>
        <w:tc>
          <w:tcPr>
            <w:tcW w:w="420" w:type="dxa"/>
            <w:vAlign w:val="bottom"/>
            <w:tcBorders>
              <w:top w:val="single" w:sz="8" w:color="0000EE"/>
            </w:tcBorders>
            <w:shd w:val="clear" w:color="auto" w:fill="C6F4F9"/>
          </w:tcPr>
          <w:p>
            <w:pPr>
              <w:spacing w:after="0"/>
              <w:rPr>
                <w:sz w:val="4"/>
                <w:szCs w:val="4"/>
                <w:color w:val="auto"/>
              </w:rPr>
            </w:pPr>
          </w:p>
        </w:tc>
        <w:tc>
          <w:tcPr>
            <w:tcW w:w="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1220" w:type="dxa"/>
            <w:vAlign w:val="bottom"/>
            <w:tcBorders>
              <w:top w:val="single" w:sz="8" w:color="0000EE"/>
            </w:tcBorders>
            <w:shd w:val="clear" w:color="auto" w:fill="C6F4F9"/>
          </w:tcPr>
          <w:p>
            <w:pPr>
              <w:spacing w:after="0"/>
              <w:rPr>
                <w:sz w:val="4"/>
                <w:szCs w:val="4"/>
                <w:color w:val="auto"/>
              </w:rPr>
            </w:pPr>
          </w:p>
        </w:tc>
        <w:tc>
          <w:tcPr>
            <w:tcW w:w="220" w:type="dxa"/>
            <w:vAlign w:val="bottom"/>
            <w:tcBorders>
              <w:top w:val="single" w:sz="8" w:color="0000EE"/>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96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r>
      <w:tr>
        <w:trPr>
          <w:trHeight w:val="203"/>
        </w:trPr>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First Amendment to Rights Agreement dated as of November 19, 2021 between Daktronics, Inc. and Equiniti Trust Company, as Rights</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tcBorders>
            <w:gridSpan w:val="21"/>
          </w:tcPr>
          <w:p>
            <w:pPr>
              <w:spacing w:after="0" w:line="182"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Agent (Incorporated by reference to Exhibit 4.2 of the Current Report on Form 8-K of Daktronics, Inc. filed on November 19, 2021).</w:t>
              </w:r>
            </w:hyperlink>
          </w:p>
        </w:tc>
        <w:tc>
          <w:tcPr>
            <w:tcW w:w="3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40" w:type="dxa"/>
            <w:vAlign w:val="bottom"/>
            <w:gridSpan w:val="3"/>
            <w:shd w:val="clear" w:color="auto" w:fill="C6F4F9"/>
          </w:tcPr>
          <w:p>
            <w:pPr>
              <w:ind w:left="20"/>
              <w:spacing w:after="0" w:line="202"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202"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Credit Agreement dated November 15, 2016 by and between the Company and U.S. Bank National Association (Incorporated by reference</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EE"/>
              <w:bottom w:val="single" w:sz="8" w:color="C6F4F9"/>
            </w:tcBorders>
            <w:shd w:val="clear" w:color="auto" w:fill="C6F4F9"/>
          </w:tcPr>
          <w:p>
            <w:pPr>
              <w:spacing w:after="0"/>
              <w:rPr>
                <w:sz w:val="20"/>
                <w:szCs w:val="20"/>
                <w:color w:val="auto"/>
              </w:rPr>
            </w:pPr>
          </w:p>
        </w:tc>
        <w:tc>
          <w:tcPr>
            <w:tcW w:w="80" w:type="dxa"/>
            <w:vAlign w:val="bottom"/>
            <w:tcBorders>
              <w:top w:val="single" w:sz="8" w:color="0000EE"/>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380" w:type="dxa"/>
            <w:vAlign w:val="bottom"/>
            <w:tcBorders>
              <w:top w:val="single" w:sz="8" w:color="0000EE"/>
              <w:bottom w:val="single" w:sz="8" w:color="0000EE"/>
            </w:tcBorders>
            <w:gridSpan w:val="10"/>
            <w:shd w:val="clear" w:color="auto" w:fill="C6F4F9"/>
          </w:tcPr>
          <w:p>
            <w:pPr>
              <w:spacing w:after="0" w:line="182"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to Exhibit 10.1 filed with our Current Report on Form 8-K filed on November 16, 2016).</w:t>
              </w:r>
            </w:hyperlink>
          </w:p>
        </w:tc>
        <w:tc>
          <w:tcPr>
            <w:tcW w:w="4000" w:type="dxa"/>
            <w:vAlign w:val="bottom"/>
            <w:tcBorders>
              <w:top w:val="single" w:sz="8" w:color="0000EE"/>
              <w:bottom w:val="single" w:sz="8" w:color="C6F4F9"/>
            </w:tcBorders>
            <w:gridSpan w:val="24"/>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r>
      <w:tr>
        <w:trPr>
          <w:trHeight w:val="203"/>
        </w:trPr>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Revolving Note dated November 15, 2016 issued by the Company to U.S. Bank National Association (Incorporated by reference to Exhibit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EE"/>
            </w:tcBorders>
            <w:gridSpan w:val="28"/>
          </w:tcPr>
          <w:p>
            <w:pPr>
              <w:spacing w:after="0" w:line="182"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filed with our Current Report on Form 8-K filed on November 16, 2016).</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40" w:type="dxa"/>
            <w:vAlign w:val="bottom"/>
            <w:gridSpan w:val="3"/>
            <w:shd w:val="clear" w:color="auto" w:fill="C6F4F9"/>
          </w:tcPr>
          <w:p>
            <w:pPr>
              <w:ind w:left="20"/>
              <w:spacing w:after="0" w:line="202"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202"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Second Amendment to Credit Agreement dated as of November 15, 2019 by and between the Company and U.S. Bank National Association</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EE"/>
              <w:bottom w:val="single" w:sz="8" w:color="C6F4F9"/>
            </w:tcBorders>
            <w:shd w:val="clear" w:color="auto" w:fill="C6F4F9"/>
          </w:tcPr>
          <w:p>
            <w:pPr>
              <w:spacing w:after="0"/>
              <w:rPr>
                <w:sz w:val="20"/>
                <w:szCs w:val="20"/>
                <w:color w:val="auto"/>
              </w:rPr>
            </w:pPr>
          </w:p>
        </w:tc>
        <w:tc>
          <w:tcPr>
            <w:tcW w:w="80" w:type="dxa"/>
            <w:vAlign w:val="bottom"/>
            <w:tcBorders>
              <w:top w:val="single" w:sz="8" w:color="0000EE"/>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340" w:type="dxa"/>
            <w:vAlign w:val="bottom"/>
            <w:tcBorders>
              <w:top w:val="single" w:sz="8" w:color="0000EE"/>
              <w:bottom w:val="single" w:sz="8" w:color="0000EE"/>
            </w:tcBorders>
            <w:gridSpan w:val="15"/>
            <w:shd w:val="clear" w:color="auto" w:fill="C6F4F9"/>
          </w:tcPr>
          <w:p>
            <w:pPr>
              <w:spacing w:after="0" w:line="182"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(Incorporated by reference to Exhibit 10.1 filed with our Current Report on Form 8-K filed on November 15, 2019).</w:t>
              </w:r>
            </w:hyperlink>
          </w:p>
        </w:tc>
        <w:tc>
          <w:tcPr>
            <w:tcW w:w="2020" w:type="dxa"/>
            <w:vAlign w:val="bottom"/>
            <w:tcBorders>
              <w:top w:val="single" w:sz="8" w:color="0000EE"/>
              <w:bottom w:val="single" w:sz="8" w:color="C6F4F9"/>
            </w:tcBorders>
            <w:gridSpan w:val="18"/>
            <w:shd w:val="clear" w:color="auto" w:fill="C6F4F9"/>
          </w:tcPr>
          <w:p>
            <w:pPr>
              <w:spacing w:after="0"/>
              <w:rPr>
                <w:sz w:val="20"/>
                <w:szCs w:val="20"/>
                <w:color w:val="auto"/>
              </w:rPr>
            </w:pPr>
          </w:p>
        </w:tc>
        <w:tc>
          <w:tcPr>
            <w:tcW w:w="40" w:type="dxa"/>
            <w:vAlign w:val="bottom"/>
            <w:tcBorders>
              <w:top w:val="single" w:sz="8" w:color="C6F4F9"/>
              <w:bottom w:val="single" w:sz="8" w:color="C6F4F9"/>
            </w:tcBorders>
            <w:gridSpan w:val="2"/>
            <w:shd w:val="clear" w:color="auto" w:fill="C6F4F9"/>
          </w:tcPr>
          <w:p>
            <w:pPr>
              <w:spacing w:after="0"/>
              <w:rPr>
                <w:sz w:val="20"/>
                <w:szCs w:val="20"/>
                <w:color w:val="auto"/>
              </w:rPr>
            </w:pPr>
          </w:p>
        </w:tc>
      </w:tr>
      <w:tr>
        <w:trPr>
          <w:trHeight w:val="203"/>
        </w:trPr>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Third Amendment to Credit Agreement dated as of August 28, 2020 by and between the Company and U.S. Bank National Association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tcBorders>
              <w:top w:val="single" w:sz="8" w:color="0000EE"/>
            </w:tcBorders>
            <w:gridSpan w:val="27"/>
          </w:tcPr>
          <w:p>
            <w:pPr>
              <w:spacing w:after="0" w:line="182"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(Incorporated by reference to Exhibit 10.4 filed with our Current Report on Form 10-Q of Daktronics, Inc. filed on August 28, 2020).</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40" w:type="dxa"/>
            <w:vAlign w:val="bottom"/>
            <w:gridSpan w:val="3"/>
            <w:shd w:val="clear" w:color="auto" w:fill="C6F4F9"/>
          </w:tcPr>
          <w:p>
            <w:pPr>
              <w:ind w:left="20"/>
              <w:spacing w:after="0" w:line="202"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202"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Fourth Amendment to Credit Agreement dated as of March 11, 2021 by and between the Company and U.S. Bank National Association</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EE"/>
              <w:bottom w:val="single" w:sz="8" w:color="C6F4F9"/>
            </w:tcBorders>
            <w:shd w:val="clear" w:color="auto" w:fill="C6F4F9"/>
          </w:tcPr>
          <w:p>
            <w:pPr>
              <w:spacing w:after="0"/>
              <w:rPr>
                <w:sz w:val="20"/>
                <w:szCs w:val="20"/>
                <w:color w:val="auto"/>
              </w:rPr>
            </w:pPr>
          </w:p>
        </w:tc>
        <w:tc>
          <w:tcPr>
            <w:tcW w:w="80" w:type="dxa"/>
            <w:vAlign w:val="bottom"/>
            <w:tcBorders>
              <w:top w:val="single" w:sz="8" w:color="0000EE"/>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7600" w:type="dxa"/>
            <w:vAlign w:val="bottom"/>
            <w:tcBorders>
              <w:top w:val="single" w:sz="8" w:color="0000EE"/>
              <w:bottom w:val="single" w:sz="8" w:color="0000EE"/>
            </w:tcBorders>
            <w:gridSpan w:val="11"/>
            <w:shd w:val="clear" w:color="auto" w:fill="C6F4F9"/>
          </w:tcPr>
          <w:p>
            <w:pPr>
              <w:spacing w:after="0" w:line="182"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(Incorporated by reference to Exhibit 10.5 filed with our Annual Report on Form 10-K on June 11, 2021).</w:t>
              </w:r>
            </w:hyperlink>
          </w:p>
        </w:tc>
        <w:tc>
          <w:tcPr>
            <w:tcW w:w="2160" w:type="dxa"/>
            <w:vAlign w:val="bottom"/>
            <w:tcBorders>
              <w:top w:val="single" w:sz="8" w:color="0000EE"/>
              <w:bottom w:val="single" w:sz="8" w:color="C6F4F9"/>
            </w:tcBorders>
            <w:gridSpan w:val="9"/>
            <w:shd w:val="clear" w:color="auto" w:fill="C6F4F9"/>
          </w:tcPr>
          <w:p>
            <w:pPr>
              <w:spacing w:after="0"/>
              <w:rPr>
                <w:sz w:val="20"/>
                <w:szCs w:val="20"/>
                <w:color w:val="auto"/>
              </w:rPr>
            </w:pPr>
          </w:p>
        </w:tc>
        <w:tc>
          <w:tcPr>
            <w:tcW w:w="400" w:type="dxa"/>
            <w:vAlign w:val="bottom"/>
            <w:tcBorders>
              <w:top w:val="single" w:sz="8" w:color="C6F4F9"/>
              <w:bottom w:val="single" w:sz="8" w:color="C6F4F9"/>
            </w:tcBorders>
            <w:gridSpan w:val="3"/>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gridSpan w:val="4"/>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 w:type="dxa"/>
            <w:vAlign w:val="bottom"/>
            <w:tcBorders>
              <w:top w:val="single" w:sz="8" w:color="C6F4F9"/>
              <w:bottom w:val="single" w:sz="8" w:color="C6F4F9"/>
            </w:tcBorders>
            <w:gridSpan w:val="3"/>
            <w:shd w:val="clear" w:color="auto" w:fill="C6F4F9"/>
          </w:tcPr>
          <w:p>
            <w:pPr>
              <w:spacing w:after="0"/>
              <w:rPr>
                <w:sz w:val="20"/>
                <w:szCs w:val="20"/>
                <w:color w:val="auto"/>
              </w:rPr>
            </w:pPr>
          </w:p>
        </w:tc>
      </w:tr>
      <w:tr>
        <w:trPr>
          <w:trHeight w:val="202"/>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w w:val="95"/>
              </w:rPr>
            </w:pPr>
            <w:hyperlink r:id="rId4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Fifth Amendment to Credit Agreement dated as of April 29, 2022 by and between the Company and U.S. Bank National Association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top w:val="single" w:sz="8" w:color="0000EE"/>
            </w:tcBorders>
            <w:gridSpan w:val="17"/>
          </w:tcPr>
          <w:p>
            <w:pPr>
              <w:spacing w:after="0" w:line="182"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(Incorporated by reference to Exhibit 10.1 filed with our Current Report on Form 8-K filed on April 29, 2022).</w:t>
              </w:r>
            </w:hyperlink>
          </w:p>
        </w:tc>
        <w:tc>
          <w:tcPr>
            <w:tcW w:w="40" w:type="dxa"/>
            <w:vAlign w:val="bottom"/>
            <w:gridSpan w:val="2"/>
          </w:tcPr>
          <w:p>
            <w:pPr>
              <w:spacing w:after="0"/>
              <w:rPr>
                <w:sz w:val="15"/>
                <w:szCs w:val="15"/>
                <w:color w:val="auto"/>
              </w:rPr>
            </w:pPr>
          </w:p>
        </w:tc>
        <w:tc>
          <w:tcPr>
            <w:tcW w:w="5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340" w:type="dxa"/>
            <w:vAlign w:val="bottom"/>
            <w:gridSpan w:val="3"/>
            <w:shd w:val="clear" w:color="auto" w:fill="C6F4F9"/>
          </w:tcPr>
          <w:p>
            <w:pPr>
              <w:ind w:left="20"/>
              <w:spacing w:after="0" w:line="202" w:lineRule="exact"/>
              <w:rPr>
                <w:rFonts w:ascii="Times New Roman" w:cs="Times New Roman" w:eastAsia="Times New Roman" w:hAnsi="Times New Roman"/>
                <w:sz w:val="18"/>
                <w:szCs w:val="18"/>
                <w:color w:val="0000FF"/>
                <w:w w:val="95"/>
              </w:rPr>
            </w:pPr>
            <w:hyperlink r:id="rId4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202"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Amendment to Credit Agreement dated as of August 16, 2022 by and between the Company and U.S. Bank National Association</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100" w:type="dxa"/>
            <w:vAlign w:val="bottom"/>
            <w:tcBorders>
              <w:top w:val="single" w:sz="8" w:color="0000EE"/>
              <w:bottom w:val="single" w:sz="8" w:color="0000EE"/>
            </w:tcBorders>
            <w:gridSpan w:val="14"/>
            <w:shd w:val="clear" w:color="auto" w:fill="C6F4F9"/>
          </w:tcPr>
          <w:p>
            <w:pPr>
              <w:spacing w:after="0" w:line="182"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(Incorporated by reference to Exhibit 10.1 filed with our Current Report on Form 8-K filed on August 18, 2022).</w:t>
              </w:r>
            </w:hyperlink>
          </w:p>
        </w:tc>
        <w:tc>
          <w:tcPr>
            <w:tcW w:w="1200" w:type="dxa"/>
            <w:vAlign w:val="bottom"/>
            <w:tcBorders>
              <w:top w:val="single" w:sz="8" w:color="0000EE"/>
              <w:bottom w:val="single" w:sz="8" w:color="C6F4F9"/>
            </w:tcBorders>
            <w:gridSpan w:val="2"/>
            <w:shd w:val="clear" w:color="auto" w:fill="C6F4F9"/>
          </w:tcPr>
          <w:p>
            <w:pPr>
              <w:spacing w:after="0"/>
              <w:rPr>
                <w:sz w:val="20"/>
                <w:szCs w:val="20"/>
                <w:color w:val="auto"/>
              </w:rPr>
            </w:pPr>
          </w:p>
        </w:tc>
        <w:tc>
          <w:tcPr>
            <w:tcW w:w="240" w:type="dxa"/>
            <w:vAlign w:val="bottom"/>
            <w:tcBorders>
              <w:top w:val="single" w:sz="8" w:color="C6F4F9"/>
              <w:bottom w:val="single" w:sz="8" w:color="C6F4F9"/>
            </w:tcBorders>
            <w:shd w:val="clear" w:color="auto" w:fill="C6F4F9"/>
          </w:tcPr>
          <w:p>
            <w:pPr>
              <w:spacing w:after="0"/>
              <w:rPr>
                <w:sz w:val="20"/>
                <w:szCs w:val="20"/>
                <w:color w:val="auto"/>
              </w:rPr>
            </w:pPr>
          </w:p>
        </w:tc>
        <w:tc>
          <w:tcPr>
            <w:tcW w:w="40" w:type="dxa"/>
            <w:vAlign w:val="bottom"/>
            <w:tcBorders>
              <w:top w:val="single" w:sz="8" w:color="C6F4F9"/>
              <w:bottom w:val="single" w:sz="8" w:color="C6F4F9"/>
            </w:tcBorders>
            <w:gridSpan w:val="2"/>
            <w:shd w:val="clear" w:color="auto" w:fill="C6F4F9"/>
          </w:tcPr>
          <w:p>
            <w:pPr>
              <w:spacing w:after="0"/>
              <w:rPr>
                <w:sz w:val="20"/>
                <w:szCs w:val="20"/>
                <w:color w:val="auto"/>
              </w:rPr>
            </w:pPr>
          </w:p>
        </w:tc>
        <w:tc>
          <w:tcPr>
            <w:tcW w:w="580" w:type="dxa"/>
            <w:vAlign w:val="bottom"/>
            <w:tcBorders>
              <w:top w:val="single" w:sz="8" w:color="C6F4F9"/>
              <w:bottom w:val="single" w:sz="8" w:color="C6F4F9"/>
            </w:tcBorders>
            <w:gridSpan w:val="4"/>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gridSpan w:val="4"/>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 w:type="dxa"/>
            <w:vAlign w:val="bottom"/>
            <w:tcBorders>
              <w:top w:val="single" w:sz="8" w:color="C6F4F9"/>
              <w:bottom w:val="single" w:sz="8" w:color="C6F4F9"/>
            </w:tcBorders>
            <w:gridSpan w:val="3"/>
            <w:shd w:val="clear" w:color="auto" w:fill="C6F4F9"/>
          </w:tcPr>
          <w:p>
            <w:pPr>
              <w:spacing w:after="0"/>
              <w:rPr>
                <w:sz w:val="20"/>
                <w:szCs w:val="20"/>
                <w:color w:val="auto"/>
              </w:rPr>
            </w:pPr>
          </w:p>
        </w:tc>
      </w:tr>
      <w:tr>
        <w:trPr>
          <w:trHeight w:val="202"/>
        </w:trPr>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Security Agreement dated as of August 28, 2020 by and between the Company and U.S. Bank National Association (Incorporated by</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tcBorders>
              <w:top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reference to Exhibit 10.5 filed with our Current Report on Form 10-Q of Daktronics, Inc. filed on August 28,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40" w:type="dxa"/>
            <w:vAlign w:val="bottom"/>
            <w:gridSpan w:val="3"/>
            <w:shd w:val="clear" w:color="auto" w:fill="C6F4F9"/>
          </w:tcPr>
          <w:p>
            <w:pPr>
              <w:ind w:left="20"/>
              <w:spacing w:after="0" w:line="202"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202"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Daktronics, Inc. 2020 Stock Incentive Plan ("2020 Plan") (Incorporated by reference to Exhibit A to the Company's Definitive Proxy</w:t>
              </w:r>
            </w:hyperlink>
          </w:p>
        </w:tc>
      </w:tr>
      <w:tr>
        <w:trPr>
          <w:trHeight w:val="183"/>
        </w:trPr>
        <w:tc>
          <w:tcPr>
            <w:tcW w:w="20" w:type="dxa"/>
            <w:vAlign w:val="bottom"/>
            <w:tcBorders>
              <w:top w:val="single" w:sz="8" w:color="C6F4F9"/>
            </w:tcBorders>
            <w:shd w:val="clear" w:color="auto" w:fill="C6F4F9"/>
          </w:tcPr>
          <w:p>
            <w:pPr>
              <w:spacing w:after="0"/>
              <w:rPr>
                <w:sz w:val="15"/>
                <w:szCs w:val="15"/>
                <w:color w:val="auto"/>
              </w:rPr>
            </w:pPr>
          </w:p>
        </w:tc>
        <w:tc>
          <w:tcPr>
            <w:tcW w:w="240" w:type="dxa"/>
            <w:vAlign w:val="bottom"/>
            <w:tcBorders>
              <w:top w:val="single" w:sz="8" w:color="0000EE"/>
            </w:tcBorders>
            <w:shd w:val="clear" w:color="auto" w:fill="C6F4F9"/>
          </w:tcPr>
          <w:p>
            <w:pPr>
              <w:spacing w:after="0"/>
              <w:rPr>
                <w:sz w:val="15"/>
                <w:szCs w:val="15"/>
                <w:color w:val="auto"/>
              </w:rPr>
            </w:pPr>
          </w:p>
        </w:tc>
        <w:tc>
          <w:tcPr>
            <w:tcW w:w="80" w:type="dxa"/>
            <w:vAlign w:val="bottom"/>
            <w:tcBorders>
              <w:top w:val="single" w:sz="8" w:color="0000EE"/>
            </w:tcBorders>
            <w:shd w:val="clear" w:color="auto" w:fill="C6F4F9"/>
          </w:tcPr>
          <w:p>
            <w:pPr>
              <w:spacing w:after="0"/>
              <w:rPr>
                <w:sz w:val="15"/>
                <w:szCs w:val="15"/>
                <w:color w:val="auto"/>
              </w:rPr>
            </w:pPr>
          </w:p>
        </w:tc>
        <w:tc>
          <w:tcPr>
            <w:tcW w:w="8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60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10300" w:type="dxa"/>
            <w:vAlign w:val="bottom"/>
            <w:tcBorders>
              <w:top w:val="single" w:sz="8" w:color="0000EE"/>
            </w:tcBorders>
            <w:gridSpan w:val="30"/>
            <w:shd w:val="clear" w:color="auto" w:fill="C6F4F9"/>
          </w:tcPr>
          <w:p>
            <w:pPr>
              <w:spacing w:after="0" w:line="182"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Statement on Schedule 14A filed on July 16, 2020).</w:t>
              </w:r>
            </w:hyperlink>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60" w:type="dxa"/>
            <w:vAlign w:val="bottom"/>
            <w:tcBorders>
              <w:top w:val="single" w:sz="8" w:color="C6F4F9"/>
            </w:tcBorders>
            <w:gridSpan w:val="3"/>
            <w:shd w:val="clear" w:color="auto" w:fill="C6F4F9"/>
          </w:tcPr>
          <w:p>
            <w:pPr>
              <w:spacing w:after="0"/>
              <w:rPr>
                <w:sz w:val="15"/>
                <w:szCs w:val="15"/>
                <w:color w:val="auto"/>
              </w:rPr>
            </w:pPr>
          </w:p>
        </w:tc>
      </w:tr>
      <w:tr>
        <w:trPr>
          <w:trHeight w:val="48"/>
        </w:trPr>
        <w:tc>
          <w:tcPr>
            <w:tcW w:w="2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6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080" w:type="dxa"/>
            <w:vAlign w:val="bottom"/>
            <w:tcBorders>
              <w:top w:val="single" w:sz="8" w:color="0000EE"/>
            </w:tcBorders>
            <w:shd w:val="clear" w:color="auto" w:fill="C6F4F9"/>
          </w:tcPr>
          <w:p>
            <w:pPr>
              <w:spacing w:after="0"/>
              <w:rPr>
                <w:sz w:val="4"/>
                <w:szCs w:val="4"/>
                <w:color w:val="auto"/>
              </w:rPr>
            </w:pPr>
          </w:p>
        </w:tc>
        <w:tc>
          <w:tcPr>
            <w:tcW w:w="13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520" w:type="dxa"/>
            <w:vAlign w:val="bottom"/>
            <w:tcBorders>
              <w:top w:val="single" w:sz="8" w:color="0000EE"/>
            </w:tcBorders>
            <w:shd w:val="clear" w:color="auto" w:fill="C6F4F9"/>
          </w:tcPr>
          <w:p>
            <w:pPr>
              <w:spacing w:after="0"/>
              <w:rPr>
                <w:sz w:val="4"/>
                <w:szCs w:val="4"/>
                <w:color w:val="auto"/>
              </w:rPr>
            </w:pPr>
          </w:p>
        </w:tc>
        <w:tc>
          <w:tcPr>
            <w:tcW w:w="720" w:type="dxa"/>
            <w:vAlign w:val="bottom"/>
            <w:tcBorders>
              <w:top w:val="single" w:sz="8" w:color="C6F4F9"/>
            </w:tcBorders>
            <w:shd w:val="clear" w:color="auto" w:fill="C6F4F9"/>
          </w:tcPr>
          <w:p>
            <w:pPr>
              <w:spacing w:after="0"/>
              <w:rPr>
                <w:sz w:val="4"/>
                <w:szCs w:val="4"/>
                <w:color w:val="auto"/>
              </w:rPr>
            </w:pPr>
          </w:p>
        </w:tc>
        <w:tc>
          <w:tcPr>
            <w:tcW w:w="360" w:type="dxa"/>
            <w:vAlign w:val="bottom"/>
            <w:tcBorders>
              <w:top w:val="single" w:sz="8" w:color="C6F4F9"/>
            </w:tcBorders>
            <w:shd w:val="clear" w:color="auto" w:fill="C6F4F9"/>
          </w:tcPr>
          <w:p>
            <w:pPr>
              <w:spacing w:after="0"/>
              <w:rPr>
                <w:sz w:val="4"/>
                <w:szCs w:val="4"/>
                <w:color w:val="auto"/>
              </w:rPr>
            </w:pPr>
          </w:p>
        </w:tc>
        <w:tc>
          <w:tcPr>
            <w:tcW w:w="380" w:type="dxa"/>
            <w:vAlign w:val="bottom"/>
            <w:tcBorders>
              <w:top w:val="single" w:sz="8" w:color="C6F4F9"/>
            </w:tcBorders>
            <w:shd w:val="clear" w:color="auto" w:fill="C6F4F9"/>
          </w:tcPr>
          <w:p>
            <w:pPr>
              <w:spacing w:after="0"/>
              <w:rPr>
                <w:sz w:val="4"/>
                <w:szCs w:val="4"/>
                <w:color w:val="auto"/>
              </w:rPr>
            </w:pPr>
          </w:p>
        </w:tc>
        <w:tc>
          <w:tcPr>
            <w:tcW w:w="420" w:type="dxa"/>
            <w:vAlign w:val="bottom"/>
            <w:tcBorders>
              <w:top w:val="single" w:sz="8" w:color="C6F4F9"/>
            </w:tcBorders>
            <w:shd w:val="clear" w:color="auto" w:fill="C6F4F9"/>
          </w:tcPr>
          <w:p>
            <w:pPr>
              <w:spacing w:after="0"/>
              <w:rPr>
                <w:sz w:val="4"/>
                <w:szCs w:val="4"/>
                <w:color w:val="auto"/>
              </w:rPr>
            </w:pPr>
          </w:p>
        </w:tc>
        <w:tc>
          <w:tcPr>
            <w:tcW w:w="40" w:type="dxa"/>
            <w:vAlign w:val="bottom"/>
            <w:tcBorders>
              <w:top w:val="single" w:sz="8" w:color="C6F4F9"/>
            </w:tcBorders>
            <w:shd w:val="clear" w:color="auto" w:fill="C6F4F9"/>
          </w:tcPr>
          <w:p>
            <w:pPr>
              <w:spacing w:after="0"/>
              <w:rPr>
                <w:sz w:val="4"/>
                <w:szCs w:val="4"/>
                <w:color w:val="auto"/>
              </w:rPr>
            </w:pPr>
          </w:p>
        </w:tc>
        <w:tc>
          <w:tcPr>
            <w:tcW w:w="760" w:type="dxa"/>
            <w:vAlign w:val="bottom"/>
            <w:tcBorders>
              <w:top w:val="single" w:sz="8" w:color="C6F4F9"/>
            </w:tcBorders>
            <w:shd w:val="clear" w:color="auto" w:fill="C6F4F9"/>
          </w:tcPr>
          <w:p>
            <w:pPr>
              <w:spacing w:after="0"/>
              <w:rPr>
                <w:sz w:val="4"/>
                <w:szCs w:val="4"/>
                <w:color w:val="auto"/>
              </w:rPr>
            </w:pPr>
          </w:p>
        </w:tc>
        <w:tc>
          <w:tcPr>
            <w:tcW w:w="1220" w:type="dxa"/>
            <w:vAlign w:val="bottom"/>
            <w:tcBorders>
              <w:top w:val="single" w:sz="8" w:color="C6F4F9"/>
            </w:tcBorders>
            <w:shd w:val="clear" w:color="auto" w:fill="C6F4F9"/>
          </w:tcPr>
          <w:p>
            <w:pPr>
              <w:spacing w:after="0"/>
              <w:rPr>
                <w:sz w:val="4"/>
                <w:szCs w:val="4"/>
                <w:color w:val="auto"/>
              </w:rPr>
            </w:pPr>
          </w:p>
        </w:tc>
        <w:tc>
          <w:tcPr>
            <w:tcW w:w="22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96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r>
      <w:tr>
        <w:trPr>
          <w:trHeight w:val="203"/>
        </w:trPr>
        <w:tc>
          <w:tcPr>
            <w:tcW w:w="104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Restricted Stock Award Agreement under the 2020 Plan (Incorporated by reference to Exhibit 10.2 filed with our Current Report 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8-K on September 3,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5"/>
            <w:shd w:val="clear" w:color="auto" w:fill="C6F4F9"/>
          </w:tcPr>
          <w:p>
            <w:pPr>
              <w:ind w:left="20"/>
              <w:spacing w:after="0" w:line="202"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202"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Non-Qualified Stock Option Agreement Terms and Conditions under the 2020 Plan (Incorporated by reference to Exhibit 10.3 filed</w:t>
              </w:r>
            </w:hyperlink>
          </w:p>
        </w:tc>
      </w:tr>
      <w:tr>
        <w:trPr>
          <w:trHeight w:val="183"/>
        </w:trPr>
        <w:tc>
          <w:tcPr>
            <w:tcW w:w="20" w:type="dxa"/>
            <w:vAlign w:val="bottom"/>
            <w:tcBorders>
              <w:top w:val="single" w:sz="8" w:color="C6F4F9"/>
            </w:tcBorders>
            <w:shd w:val="clear" w:color="auto" w:fill="C6F4F9"/>
          </w:tcPr>
          <w:p>
            <w:pPr>
              <w:spacing w:after="0"/>
              <w:rPr>
                <w:sz w:val="15"/>
                <w:szCs w:val="15"/>
                <w:color w:val="auto"/>
              </w:rPr>
            </w:pPr>
          </w:p>
        </w:tc>
        <w:tc>
          <w:tcPr>
            <w:tcW w:w="240" w:type="dxa"/>
            <w:vAlign w:val="bottom"/>
            <w:tcBorders>
              <w:top w:val="single" w:sz="8" w:color="0000EE"/>
            </w:tcBorders>
            <w:shd w:val="clear" w:color="auto" w:fill="C6F4F9"/>
          </w:tcPr>
          <w:p>
            <w:pPr>
              <w:spacing w:after="0"/>
              <w:rPr>
                <w:sz w:val="15"/>
                <w:szCs w:val="15"/>
                <w:color w:val="auto"/>
              </w:rPr>
            </w:pPr>
          </w:p>
        </w:tc>
        <w:tc>
          <w:tcPr>
            <w:tcW w:w="80" w:type="dxa"/>
            <w:vAlign w:val="bottom"/>
            <w:tcBorders>
              <w:top w:val="single" w:sz="8" w:color="0000EE"/>
            </w:tcBorders>
            <w:shd w:val="clear" w:color="auto" w:fill="C6F4F9"/>
          </w:tcPr>
          <w:p>
            <w:pPr>
              <w:spacing w:after="0"/>
              <w:rPr>
                <w:sz w:val="15"/>
                <w:szCs w:val="15"/>
                <w:color w:val="auto"/>
              </w:rPr>
            </w:pPr>
          </w:p>
        </w:tc>
        <w:tc>
          <w:tcPr>
            <w:tcW w:w="80" w:type="dxa"/>
            <w:vAlign w:val="bottom"/>
            <w:tcBorders>
              <w:top w:val="single" w:sz="8" w:color="0000EE"/>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60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10320" w:type="dxa"/>
            <w:vAlign w:val="bottom"/>
            <w:tcBorders>
              <w:top w:val="single" w:sz="8" w:color="0000EE"/>
            </w:tcBorders>
            <w:gridSpan w:val="31"/>
            <w:shd w:val="clear" w:color="auto" w:fill="C6F4F9"/>
          </w:tcPr>
          <w:p>
            <w:pPr>
              <w:spacing w:after="0" w:line="182"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with our Current Report on Form 8-K on September 3, 2020).</w:t>
              </w:r>
            </w:hyperlink>
          </w:p>
        </w:tc>
        <w:tc>
          <w:tcPr>
            <w:tcW w:w="20" w:type="dxa"/>
            <w:vAlign w:val="bottom"/>
            <w:tcBorders>
              <w:top w:val="single" w:sz="8" w:color="C6F4F9"/>
            </w:tcBorders>
            <w:shd w:val="clear" w:color="auto" w:fill="C6F4F9"/>
          </w:tcPr>
          <w:p>
            <w:pPr>
              <w:spacing w:after="0"/>
              <w:rPr>
                <w:sz w:val="15"/>
                <w:szCs w:val="15"/>
                <w:color w:val="auto"/>
              </w:rPr>
            </w:pPr>
          </w:p>
        </w:tc>
        <w:tc>
          <w:tcPr>
            <w:tcW w:w="60" w:type="dxa"/>
            <w:vAlign w:val="bottom"/>
            <w:tcBorders>
              <w:top w:val="single" w:sz="8" w:color="C6F4F9"/>
            </w:tcBorders>
            <w:gridSpan w:val="3"/>
            <w:shd w:val="clear" w:color="auto" w:fill="C6F4F9"/>
          </w:tcPr>
          <w:p>
            <w:pPr>
              <w:spacing w:after="0"/>
              <w:rPr>
                <w:sz w:val="15"/>
                <w:szCs w:val="15"/>
                <w:color w:val="auto"/>
              </w:rPr>
            </w:pPr>
          </w:p>
        </w:tc>
      </w:tr>
      <w:tr>
        <w:trPr>
          <w:trHeight w:val="48"/>
        </w:trPr>
        <w:tc>
          <w:tcPr>
            <w:tcW w:w="2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6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080" w:type="dxa"/>
            <w:vAlign w:val="bottom"/>
            <w:tcBorders>
              <w:top w:val="single" w:sz="8" w:color="0000EE"/>
            </w:tcBorders>
            <w:shd w:val="clear" w:color="auto" w:fill="C6F4F9"/>
          </w:tcPr>
          <w:p>
            <w:pPr>
              <w:spacing w:after="0"/>
              <w:rPr>
                <w:sz w:val="4"/>
                <w:szCs w:val="4"/>
                <w:color w:val="auto"/>
              </w:rPr>
            </w:pPr>
          </w:p>
        </w:tc>
        <w:tc>
          <w:tcPr>
            <w:tcW w:w="13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520" w:type="dxa"/>
            <w:vAlign w:val="bottom"/>
            <w:tcBorders>
              <w:top w:val="single" w:sz="8" w:color="0000EE"/>
            </w:tcBorders>
            <w:shd w:val="clear" w:color="auto" w:fill="C6F4F9"/>
          </w:tcPr>
          <w:p>
            <w:pPr>
              <w:spacing w:after="0"/>
              <w:rPr>
                <w:sz w:val="4"/>
                <w:szCs w:val="4"/>
                <w:color w:val="auto"/>
              </w:rPr>
            </w:pPr>
          </w:p>
        </w:tc>
        <w:tc>
          <w:tcPr>
            <w:tcW w:w="720" w:type="dxa"/>
            <w:vAlign w:val="bottom"/>
            <w:tcBorders>
              <w:top w:val="single" w:sz="8" w:color="0000EE"/>
            </w:tcBorders>
            <w:shd w:val="clear" w:color="auto" w:fill="C6F4F9"/>
          </w:tcPr>
          <w:p>
            <w:pPr>
              <w:spacing w:after="0"/>
              <w:rPr>
                <w:sz w:val="4"/>
                <w:szCs w:val="4"/>
                <w:color w:val="auto"/>
              </w:rPr>
            </w:pPr>
          </w:p>
        </w:tc>
        <w:tc>
          <w:tcPr>
            <w:tcW w:w="360" w:type="dxa"/>
            <w:vAlign w:val="bottom"/>
            <w:tcBorders>
              <w:top w:val="single" w:sz="8" w:color="C6F4F9"/>
            </w:tcBorders>
            <w:shd w:val="clear" w:color="auto" w:fill="C6F4F9"/>
          </w:tcPr>
          <w:p>
            <w:pPr>
              <w:spacing w:after="0"/>
              <w:rPr>
                <w:sz w:val="4"/>
                <w:szCs w:val="4"/>
                <w:color w:val="auto"/>
              </w:rPr>
            </w:pPr>
          </w:p>
        </w:tc>
        <w:tc>
          <w:tcPr>
            <w:tcW w:w="380" w:type="dxa"/>
            <w:vAlign w:val="bottom"/>
            <w:tcBorders>
              <w:top w:val="single" w:sz="8" w:color="C6F4F9"/>
            </w:tcBorders>
            <w:shd w:val="clear" w:color="auto" w:fill="C6F4F9"/>
          </w:tcPr>
          <w:p>
            <w:pPr>
              <w:spacing w:after="0"/>
              <w:rPr>
                <w:sz w:val="4"/>
                <w:szCs w:val="4"/>
                <w:color w:val="auto"/>
              </w:rPr>
            </w:pPr>
          </w:p>
        </w:tc>
        <w:tc>
          <w:tcPr>
            <w:tcW w:w="420" w:type="dxa"/>
            <w:vAlign w:val="bottom"/>
            <w:tcBorders>
              <w:top w:val="single" w:sz="8" w:color="C6F4F9"/>
            </w:tcBorders>
            <w:shd w:val="clear" w:color="auto" w:fill="C6F4F9"/>
          </w:tcPr>
          <w:p>
            <w:pPr>
              <w:spacing w:after="0"/>
              <w:rPr>
                <w:sz w:val="4"/>
                <w:szCs w:val="4"/>
                <w:color w:val="auto"/>
              </w:rPr>
            </w:pPr>
          </w:p>
        </w:tc>
        <w:tc>
          <w:tcPr>
            <w:tcW w:w="40" w:type="dxa"/>
            <w:vAlign w:val="bottom"/>
            <w:tcBorders>
              <w:top w:val="single" w:sz="8" w:color="C6F4F9"/>
            </w:tcBorders>
            <w:shd w:val="clear" w:color="auto" w:fill="C6F4F9"/>
          </w:tcPr>
          <w:p>
            <w:pPr>
              <w:spacing w:after="0"/>
              <w:rPr>
                <w:sz w:val="4"/>
                <w:szCs w:val="4"/>
                <w:color w:val="auto"/>
              </w:rPr>
            </w:pPr>
          </w:p>
        </w:tc>
        <w:tc>
          <w:tcPr>
            <w:tcW w:w="760" w:type="dxa"/>
            <w:vAlign w:val="bottom"/>
            <w:tcBorders>
              <w:top w:val="single" w:sz="8" w:color="C6F4F9"/>
            </w:tcBorders>
            <w:shd w:val="clear" w:color="auto" w:fill="C6F4F9"/>
          </w:tcPr>
          <w:p>
            <w:pPr>
              <w:spacing w:after="0"/>
              <w:rPr>
                <w:sz w:val="4"/>
                <w:szCs w:val="4"/>
                <w:color w:val="auto"/>
              </w:rPr>
            </w:pPr>
          </w:p>
        </w:tc>
        <w:tc>
          <w:tcPr>
            <w:tcW w:w="1220" w:type="dxa"/>
            <w:vAlign w:val="bottom"/>
            <w:tcBorders>
              <w:top w:val="single" w:sz="8" w:color="C6F4F9"/>
            </w:tcBorders>
            <w:shd w:val="clear" w:color="auto" w:fill="C6F4F9"/>
          </w:tcPr>
          <w:p>
            <w:pPr>
              <w:spacing w:after="0"/>
              <w:rPr>
                <w:sz w:val="4"/>
                <w:szCs w:val="4"/>
                <w:color w:val="auto"/>
              </w:rPr>
            </w:pPr>
          </w:p>
        </w:tc>
        <w:tc>
          <w:tcPr>
            <w:tcW w:w="22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96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r>
      <w:tr>
        <w:trPr>
          <w:trHeight w:val="203"/>
        </w:trPr>
        <w:tc>
          <w:tcPr>
            <w:tcW w:w="1040" w:type="dxa"/>
            <w:vAlign w:val="bottom"/>
            <w:gridSpan w:val="6"/>
          </w:tcPr>
          <w:p>
            <w:pPr>
              <w:ind w:left="20"/>
              <w:spacing w:after="0" w:line="202"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Incentive Stock Option Terms and Conditions under the 2020 Plan (Incorporated by reference to Exhibit 10.4 filed with our Current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tcBorders>
              <w:top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Report on Form 8-K on September 3, 2020).</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gridSpan w:val="6"/>
            <w:shd w:val="clear" w:color="auto" w:fill="C6F4F9"/>
          </w:tcPr>
          <w:p>
            <w:pPr>
              <w:ind w:left="20"/>
              <w:spacing w:after="0" w:line="202"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p>
        </w:tc>
        <w:tc>
          <w:tcPr>
            <w:tcW w:w="10420" w:type="dxa"/>
            <w:vAlign w:val="bottom"/>
            <w:gridSpan w:val="36"/>
            <w:shd w:val="clear" w:color="auto" w:fill="C6F4F9"/>
          </w:tcPr>
          <w:p>
            <w:pPr>
              <w:spacing w:after="0" w:line="202"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Restricted Stock Unit Terms and Conditions under the 2020 Plan (Incorporated by reference to Exhibit 10.5 filed with our Current</w:t>
              </w:r>
            </w:hyperlink>
          </w:p>
        </w:tc>
      </w:tr>
      <w:tr>
        <w:trPr>
          <w:trHeight w:val="183"/>
        </w:trPr>
        <w:tc>
          <w:tcPr>
            <w:tcW w:w="20" w:type="dxa"/>
            <w:vAlign w:val="bottom"/>
            <w:tcBorders>
              <w:top w:val="single" w:sz="8" w:color="C6F4F9"/>
            </w:tcBorders>
            <w:shd w:val="clear" w:color="auto" w:fill="C6F4F9"/>
          </w:tcPr>
          <w:p>
            <w:pPr>
              <w:spacing w:after="0"/>
              <w:rPr>
                <w:sz w:val="15"/>
                <w:szCs w:val="15"/>
                <w:color w:val="auto"/>
              </w:rPr>
            </w:pPr>
          </w:p>
        </w:tc>
        <w:tc>
          <w:tcPr>
            <w:tcW w:w="240" w:type="dxa"/>
            <w:vAlign w:val="bottom"/>
            <w:tcBorders>
              <w:top w:val="single" w:sz="8" w:color="0000EE"/>
            </w:tcBorders>
            <w:shd w:val="clear" w:color="auto" w:fill="C6F4F9"/>
          </w:tcPr>
          <w:p>
            <w:pPr>
              <w:spacing w:after="0"/>
              <w:rPr>
                <w:sz w:val="15"/>
                <w:szCs w:val="15"/>
                <w:color w:val="auto"/>
              </w:rPr>
            </w:pPr>
          </w:p>
        </w:tc>
        <w:tc>
          <w:tcPr>
            <w:tcW w:w="80" w:type="dxa"/>
            <w:vAlign w:val="bottom"/>
            <w:tcBorders>
              <w:top w:val="single" w:sz="8" w:color="0000EE"/>
            </w:tcBorders>
            <w:shd w:val="clear" w:color="auto" w:fill="C6F4F9"/>
          </w:tcPr>
          <w:p>
            <w:pPr>
              <w:spacing w:after="0"/>
              <w:rPr>
                <w:sz w:val="15"/>
                <w:szCs w:val="15"/>
                <w:color w:val="auto"/>
              </w:rPr>
            </w:pPr>
          </w:p>
        </w:tc>
        <w:tc>
          <w:tcPr>
            <w:tcW w:w="80" w:type="dxa"/>
            <w:vAlign w:val="bottom"/>
            <w:tcBorders>
              <w:top w:val="single" w:sz="8" w:color="0000EE"/>
            </w:tcBorders>
            <w:shd w:val="clear" w:color="auto" w:fill="C6F4F9"/>
          </w:tcPr>
          <w:p>
            <w:pPr>
              <w:spacing w:after="0"/>
              <w:rPr>
                <w:sz w:val="15"/>
                <w:szCs w:val="15"/>
                <w:color w:val="auto"/>
              </w:rPr>
            </w:pPr>
          </w:p>
        </w:tc>
        <w:tc>
          <w:tcPr>
            <w:tcW w:w="20" w:type="dxa"/>
            <w:vAlign w:val="bottom"/>
            <w:tcBorders>
              <w:top w:val="single" w:sz="8" w:color="0000EE"/>
            </w:tcBorders>
            <w:shd w:val="clear" w:color="auto" w:fill="C6F4F9"/>
          </w:tcPr>
          <w:p>
            <w:pPr>
              <w:spacing w:after="0"/>
              <w:rPr>
                <w:sz w:val="15"/>
                <w:szCs w:val="15"/>
                <w:color w:val="auto"/>
              </w:rPr>
            </w:pPr>
          </w:p>
        </w:tc>
        <w:tc>
          <w:tcPr>
            <w:tcW w:w="60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10220" w:type="dxa"/>
            <w:vAlign w:val="bottom"/>
            <w:tcBorders>
              <w:top w:val="single" w:sz="8" w:color="0000EE"/>
            </w:tcBorders>
            <w:gridSpan w:val="26"/>
            <w:shd w:val="clear" w:color="auto" w:fill="C6F4F9"/>
          </w:tcPr>
          <w:p>
            <w:pPr>
              <w:spacing w:after="0" w:line="182"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Report on Form 8-K on September 3, 2020).</w:t>
              </w:r>
            </w:hyperlink>
          </w:p>
        </w:tc>
        <w:tc>
          <w:tcPr>
            <w:tcW w:w="80" w:type="dxa"/>
            <w:vAlign w:val="bottom"/>
            <w:tcBorders>
              <w:top w:val="single" w:sz="8" w:color="C6F4F9"/>
            </w:tcBorders>
            <w:gridSpan w:val="4"/>
            <w:shd w:val="clear" w:color="auto" w:fill="C6F4F9"/>
          </w:tcPr>
          <w:p>
            <w:pPr>
              <w:spacing w:after="0"/>
              <w:rPr>
                <w:sz w:val="15"/>
                <w:szCs w:val="15"/>
                <w:color w:val="auto"/>
              </w:rPr>
            </w:pPr>
          </w:p>
        </w:tc>
        <w:tc>
          <w:tcPr>
            <w:tcW w:w="40" w:type="dxa"/>
            <w:vAlign w:val="bottom"/>
            <w:tcBorders>
              <w:top w:val="single" w:sz="8" w:color="C6F4F9"/>
            </w:tcBorders>
            <w:gridSpan w:val="2"/>
            <w:shd w:val="clear" w:color="auto" w:fill="C6F4F9"/>
          </w:tcPr>
          <w:p>
            <w:pPr>
              <w:spacing w:after="0"/>
              <w:rPr>
                <w:sz w:val="15"/>
                <w:szCs w:val="15"/>
                <w:color w:val="auto"/>
              </w:rPr>
            </w:pPr>
          </w:p>
        </w:tc>
        <w:tc>
          <w:tcPr>
            <w:tcW w:w="60" w:type="dxa"/>
            <w:vAlign w:val="bottom"/>
            <w:tcBorders>
              <w:top w:val="single" w:sz="8" w:color="C6F4F9"/>
            </w:tcBorders>
            <w:gridSpan w:val="3"/>
            <w:shd w:val="clear" w:color="auto" w:fill="C6F4F9"/>
          </w:tcPr>
          <w:p>
            <w:pPr>
              <w:spacing w:after="0"/>
              <w:rPr>
                <w:sz w:val="15"/>
                <w:szCs w:val="15"/>
                <w:color w:val="auto"/>
              </w:rPr>
            </w:pPr>
          </w:p>
        </w:tc>
      </w:tr>
      <w:tr>
        <w:trPr>
          <w:trHeight w:val="48"/>
        </w:trPr>
        <w:tc>
          <w:tcPr>
            <w:tcW w:w="2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6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080" w:type="dxa"/>
            <w:vAlign w:val="bottom"/>
            <w:tcBorders>
              <w:top w:val="single" w:sz="8" w:color="0000EE"/>
            </w:tcBorders>
            <w:shd w:val="clear" w:color="auto" w:fill="C6F4F9"/>
          </w:tcPr>
          <w:p>
            <w:pPr>
              <w:spacing w:after="0"/>
              <w:rPr>
                <w:sz w:val="4"/>
                <w:szCs w:val="4"/>
                <w:color w:val="auto"/>
              </w:rPr>
            </w:pPr>
          </w:p>
        </w:tc>
        <w:tc>
          <w:tcPr>
            <w:tcW w:w="13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520" w:type="dxa"/>
            <w:vAlign w:val="bottom"/>
            <w:tcBorders>
              <w:top w:val="single" w:sz="8" w:color="C6F4F9"/>
            </w:tcBorders>
            <w:shd w:val="clear" w:color="auto" w:fill="C6F4F9"/>
          </w:tcPr>
          <w:p>
            <w:pPr>
              <w:spacing w:after="0"/>
              <w:rPr>
                <w:sz w:val="4"/>
                <w:szCs w:val="4"/>
                <w:color w:val="auto"/>
              </w:rPr>
            </w:pPr>
          </w:p>
        </w:tc>
        <w:tc>
          <w:tcPr>
            <w:tcW w:w="720" w:type="dxa"/>
            <w:vAlign w:val="bottom"/>
            <w:tcBorders>
              <w:top w:val="single" w:sz="8" w:color="C6F4F9"/>
            </w:tcBorders>
            <w:shd w:val="clear" w:color="auto" w:fill="C6F4F9"/>
          </w:tcPr>
          <w:p>
            <w:pPr>
              <w:spacing w:after="0"/>
              <w:rPr>
                <w:sz w:val="4"/>
                <w:szCs w:val="4"/>
                <w:color w:val="auto"/>
              </w:rPr>
            </w:pPr>
          </w:p>
        </w:tc>
        <w:tc>
          <w:tcPr>
            <w:tcW w:w="360" w:type="dxa"/>
            <w:vAlign w:val="bottom"/>
            <w:tcBorders>
              <w:top w:val="single" w:sz="8" w:color="C6F4F9"/>
            </w:tcBorders>
            <w:shd w:val="clear" w:color="auto" w:fill="C6F4F9"/>
          </w:tcPr>
          <w:p>
            <w:pPr>
              <w:spacing w:after="0"/>
              <w:rPr>
                <w:sz w:val="4"/>
                <w:szCs w:val="4"/>
                <w:color w:val="auto"/>
              </w:rPr>
            </w:pPr>
          </w:p>
        </w:tc>
        <w:tc>
          <w:tcPr>
            <w:tcW w:w="380" w:type="dxa"/>
            <w:vAlign w:val="bottom"/>
            <w:tcBorders>
              <w:top w:val="single" w:sz="8" w:color="C6F4F9"/>
            </w:tcBorders>
            <w:shd w:val="clear" w:color="auto" w:fill="C6F4F9"/>
          </w:tcPr>
          <w:p>
            <w:pPr>
              <w:spacing w:after="0"/>
              <w:rPr>
                <w:sz w:val="4"/>
                <w:szCs w:val="4"/>
                <w:color w:val="auto"/>
              </w:rPr>
            </w:pPr>
          </w:p>
        </w:tc>
        <w:tc>
          <w:tcPr>
            <w:tcW w:w="420" w:type="dxa"/>
            <w:vAlign w:val="bottom"/>
            <w:tcBorders>
              <w:top w:val="single" w:sz="8" w:color="C6F4F9"/>
            </w:tcBorders>
            <w:shd w:val="clear" w:color="auto" w:fill="C6F4F9"/>
          </w:tcPr>
          <w:p>
            <w:pPr>
              <w:spacing w:after="0"/>
              <w:rPr>
                <w:sz w:val="4"/>
                <w:szCs w:val="4"/>
                <w:color w:val="auto"/>
              </w:rPr>
            </w:pPr>
          </w:p>
        </w:tc>
        <w:tc>
          <w:tcPr>
            <w:tcW w:w="40" w:type="dxa"/>
            <w:vAlign w:val="bottom"/>
            <w:tcBorders>
              <w:top w:val="single" w:sz="8" w:color="C6F4F9"/>
            </w:tcBorders>
            <w:shd w:val="clear" w:color="auto" w:fill="C6F4F9"/>
          </w:tcPr>
          <w:p>
            <w:pPr>
              <w:spacing w:after="0"/>
              <w:rPr>
                <w:sz w:val="4"/>
                <w:szCs w:val="4"/>
                <w:color w:val="auto"/>
              </w:rPr>
            </w:pPr>
          </w:p>
        </w:tc>
        <w:tc>
          <w:tcPr>
            <w:tcW w:w="760" w:type="dxa"/>
            <w:vAlign w:val="bottom"/>
            <w:tcBorders>
              <w:top w:val="single" w:sz="8" w:color="C6F4F9"/>
            </w:tcBorders>
            <w:shd w:val="clear" w:color="auto" w:fill="C6F4F9"/>
          </w:tcPr>
          <w:p>
            <w:pPr>
              <w:spacing w:after="0"/>
              <w:rPr>
                <w:sz w:val="4"/>
                <w:szCs w:val="4"/>
                <w:color w:val="auto"/>
              </w:rPr>
            </w:pPr>
          </w:p>
        </w:tc>
        <w:tc>
          <w:tcPr>
            <w:tcW w:w="1220" w:type="dxa"/>
            <w:vAlign w:val="bottom"/>
            <w:tcBorders>
              <w:top w:val="single" w:sz="8" w:color="C6F4F9"/>
            </w:tcBorders>
            <w:shd w:val="clear" w:color="auto" w:fill="C6F4F9"/>
          </w:tcPr>
          <w:p>
            <w:pPr>
              <w:spacing w:after="0"/>
              <w:rPr>
                <w:sz w:val="4"/>
                <w:szCs w:val="4"/>
                <w:color w:val="auto"/>
              </w:rPr>
            </w:pPr>
          </w:p>
        </w:tc>
        <w:tc>
          <w:tcPr>
            <w:tcW w:w="22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96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r>
      <w:tr>
        <w:trPr>
          <w:trHeight w:val="203"/>
        </w:trPr>
        <w:tc>
          <w:tcPr>
            <w:tcW w:w="440" w:type="dxa"/>
            <w:vAlign w:val="bottom"/>
            <w:gridSpan w:val="5"/>
          </w:tcPr>
          <w:p>
            <w:pPr>
              <w:ind w:left="20"/>
              <w:spacing w:after="0" w:line="202" w:lineRule="exact"/>
              <w:rPr>
                <w:rFonts w:ascii="Times New Roman" w:cs="Times New Roman" w:eastAsia="Times New Roman" w:hAnsi="Times New Roman"/>
                <w:sz w:val="18"/>
                <w:szCs w:val="18"/>
                <w:color w:val="0000FF"/>
                <w:w w:val="98"/>
              </w:rPr>
            </w:pPr>
            <w:hyperlink r:id="rId5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14</w:t>
            </w: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Cooperation Agreement dated July 23, 2022 by and among the Company and Prairieland Holdco, LLC (Incorporated by reference to Exhibit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Borders>
              <w:top w:val="single" w:sz="8" w:color="0000EE"/>
            </w:tcBorders>
            <w:gridSpan w:val="32"/>
          </w:tcPr>
          <w:p>
            <w:pPr>
              <w:spacing w:after="0" w:line="182"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filed with our Current Report on Form 8-K on July 27, 2022).</w:t>
              </w:r>
            </w:hyperlink>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340" w:type="dxa"/>
            <w:vAlign w:val="bottom"/>
            <w:gridSpan w:val="3"/>
            <w:shd w:val="clear" w:color="auto" w:fill="C6F4F9"/>
          </w:tcPr>
          <w:p>
            <w:pPr>
              <w:ind w:left="2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 Act of 1934, as</w:t>
            </w:r>
          </w:p>
        </w:tc>
      </w:tr>
      <w:tr>
        <w:trPr>
          <w:trHeight w:val="189"/>
        </w:trPr>
        <w:tc>
          <w:tcPr>
            <w:tcW w:w="20" w:type="dxa"/>
            <w:vAlign w:val="bottom"/>
            <w:tcBorders>
              <w:top w:val="single" w:sz="8" w:color="C6F4F9"/>
            </w:tcBorders>
            <w:shd w:val="clear" w:color="auto" w:fill="C6F4F9"/>
          </w:tcPr>
          <w:p>
            <w:pPr>
              <w:spacing w:after="0"/>
              <w:rPr>
                <w:sz w:val="16"/>
                <w:szCs w:val="16"/>
                <w:color w:val="auto"/>
              </w:rPr>
            </w:pPr>
          </w:p>
        </w:tc>
        <w:tc>
          <w:tcPr>
            <w:tcW w:w="240" w:type="dxa"/>
            <w:vAlign w:val="bottom"/>
            <w:tcBorders>
              <w:top w:val="single" w:sz="8" w:color="0000FF"/>
            </w:tcBorders>
            <w:shd w:val="clear" w:color="auto" w:fill="C6F4F9"/>
          </w:tcPr>
          <w:p>
            <w:pPr>
              <w:spacing w:after="0"/>
              <w:rPr>
                <w:sz w:val="16"/>
                <w:szCs w:val="16"/>
                <w:color w:val="auto"/>
              </w:rPr>
            </w:pPr>
          </w:p>
        </w:tc>
        <w:tc>
          <w:tcPr>
            <w:tcW w:w="80" w:type="dxa"/>
            <w:vAlign w:val="bottom"/>
            <w:tcBorders>
              <w:top w:val="single" w:sz="8" w:color="0000FF"/>
            </w:tcBorders>
            <w:shd w:val="clear" w:color="auto" w:fill="C6F4F9"/>
          </w:tcPr>
          <w:p>
            <w:pPr>
              <w:spacing w:after="0"/>
              <w:rPr>
                <w:sz w:val="16"/>
                <w:szCs w:val="16"/>
                <w:color w:val="auto"/>
              </w:rPr>
            </w:pPr>
          </w:p>
        </w:tc>
        <w:tc>
          <w:tcPr>
            <w:tcW w:w="80" w:type="dxa"/>
            <w:vAlign w:val="bottom"/>
            <w:tcBorders>
              <w:top w:val="single" w:sz="8" w:color="C6F4F9"/>
            </w:tcBorders>
            <w:shd w:val="clear" w:color="auto" w:fill="C6F4F9"/>
          </w:tcPr>
          <w:p>
            <w:pPr>
              <w:spacing w:after="0"/>
              <w:rPr>
                <w:sz w:val="16"/>
                <w:szCs w:val="16"/>
                <w:color w:val="auto"/>
              </w:rPr>
            </w:pPr>
          </w:p>
        </w:tc>
        <w:tc>
          <w:tcPr>
            <w:tcW w:w="20" w:type="dxa"/>
            <w:vAlign w:val="bottom"/>
            <w:tcBorders>
              <w:top w:val="single" w:sz="8" w:color="C6F4F9"/>
            </w:tcBorders>
            <w:shd w:val="clear" w:color="auto" w:fill="C6F4F9"/>
          </w:tcPr>
          <w:p>
            <w:pPr>
              <w:spacing w:after="0"/>
              <w:rPr>
                <w:sz w:val="16"/>
                <w:szCs w:val="16"/>
                <w:color w:val="auto"/>
              </w:rPr>
            </w:pPr>
          </w:p>
        </w:tc>
        <w:tc>
          <w:tcPr>
            <w:tcW w:w="600" w:type="dxa"/>
            <w:vAlign w:val="bottom"/>
            <w:tcBorders>
              <w:top w:val="single" w:sz="8" w:color="C6F4F9"/>
            </w:tcBorders>
            <w:shd w:val="clear" w:color="auto" w:fill="C6F4F9"/>
          </w:tcPr>
          <w:p>
            <w:pPr>
              <w:spacing w:after="0"/>
              <w:rPr>
                <w:sz w:val="16"/>
                <w:szCs w:val="16"/>
                <w:color w:val="auto"/>
              </w:rPr>
            </w:pPr>
          </w:p>
        </w:tc>
        <w:tc>
          <w:tcPr>
            <w:tcW w:w="20" w:type="dxa"/>
            <w:vAlign w:val="bottom"/>
            <w:tcBorders>
              <w:top w:val="single" w:sz="8" w:color="C6F4F9"/>
            </w:tcBorders>
            <w:shd w:val="clear" w:color="auto" w:fill="C6F4F9"/>
          </w:tcPr>
          <w:p>
            <w:pPr>
              <w:spacing w:after="0"/>
              <w:rPr>
                <w:sz w:val="16"/>
                <w:szCs w:val="16"/>
                <w:color w:val="auto"/>
              </w:rPr>
            </w:pPr>
          </w:p>
        </w:tc>
        <w:tc>
          <w:tcPr>
            <w:tcW w:w="10300" w:type="dxa"/>
            <w:vAlign w:val="bottom"/>
            <w:tcBorders>
              <w:top w:val="single" w:sz="8" w:color="C6F4F9"/>
            </w:tcBorders>
            <w:gridSpan w:val="30"/>
            <w:shd w:val="clear" w:color="auto" w:fill="C6F4F9"/>
          </w:tcPr>
          <w:p>
            <w:pPr>
              <w:spacing w:after="0" w:line="189" w:lineRule="exact"/>
              <w:rPr>
                <w:sz w:val="20"/>
                <w:szCs w:val="20"/>
                <w:color w:val="auto"/>
              </w:rPr>
            </w:pPr>
            <w:r>
              <w:rPr>
                <w:rFonts w:ascii="Times New Roman" w:cs="Times New Roman" w:eastAsia="Times New Roman" w:hAnsi="Times New Roman"/>
                <w:sz w:val="17"/>
                <w:szCs w:val="17"/>
                <w:color w:val="0000EE"/>
              </w:rPr>
              <w:t>adopted pursuant to Section 302 of the Sarbanes-Oxley Act of 2002. (1)</w:t>
            </w:r>
            <w:r>
              <w:rPr>
                <w:rFonts w:ascii="Times New Roman" w:cs="Times New Roman" w:eastAsia="Times New Roman" w:hAnsi="Times New Roman"/>
                <w:sz w:val="21"/>
                <w:szCs w:val="21"/>
                <w:u w:val="single" w:color="auto"/>
                <w:color w:val="0000EE"/>
                <w:vertAlign w:val="superscript"/>
              </w:rPr>
              <w:t>1</w:t>
            </w:r>
          </w:p>
        </w:tc>
        <w:tc>
          <w:tcPr>
            <w:tcW w:w="100" w:type="dxa"/>
            <w:vAlign w:val="bottom"/>
            <w:tcBorders>
              <w:top w:val="single" w:sz="8" w:color="C6F4F9"/>
            </w:tcBorders>
            <w:gridSpan w:val="5"/>
            <w:shd w:val="clear" w:color="auto" w:fill="C6F4F9"/>
          </w:tcPr>
          <w:p>
            <w:pPr>
              <w:spacing w:after="0"/>
              <w:rPr>
                <w:sz w:val="16"/>
                <w:szCs w:val="16"/>
                <w:color w:val="auto"/>
              </w:rPr>
            </w:pPr>
          </w:p>
        </w:tc>
      </w:tr>
      <w:tr>
        <w:trPr>
          <w:trHeight w:val="48"/>
        </w:trPr>
        <w:tc>
          <w:tcPr>
            <w:tcW w:w="2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6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080" w:type="dxa"/>
            <w:vAlign w:val="bottom"/>
            <w:tcBorders>
              <w:top w:val="single" w:sz="8" w:color="0000EE"/>
            </w:tcBorders>
            <w:shd w:val="clear" w:color="auto" w:fill="C6F4F9"/>
          </w:tcPr>
          <w:p>
            <w:pPr>
              <w:spacing w:after="0"/>
              <w:rPr>
                <w:sz w:val="4"/>
                <w:szCs w:val="4"/>
                <w:color w:val="auto"/>
              </w:rPr>
            </w:pPr>
          </w:p>
        </w:tc>
        <w:tc>
          <w:tcPr>
            <w:tcW w:w="13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520" w:type="dxa"/>
            <w:vAlign w:val="bottom"/>
            <w:tcBorders>
              <w:top w:val="single" w:sz="8" w:color="0000EE"/>
            </w:tcBorders>
            <w:shd w:val="clear" w:color="auto" w:fill="C6F4F9"/>
          </w:tcPr>
          <w:p>
            <w:pPr>
              <w:spacing w:after="0"/>
              <w:rPr>
                <w:sz w:val="4"/>
                <w:szCs w:val="4"/>
                <w:color w:val="auto"/>
              </w:rPr>
            </w:pPr>
          </w:p>
        </w:tc>
        <w:tc>
          <w:tcPr>
            <w:tcW w:w="720" w:type="dxa"/>
            <w:vAlign w:val="bottom"/>
            <w:tcBorders>
              <w:top w:val="single" w:sz="8" w:color="0000EE"/>
            </w:tcBorders>
            <w:shd w:val="clear" w:color="auto" w:fill="C6F4F9"/>
          </w:tcPr>
          <w:p>
            <w:pPr>
              <w:spacing w:after="0"/>
              <w:rPr>
                <w:sz w:val="4"/>
                <w:szCs w:val="4"/>
                <w:color w:val="auto"/>
              </w:rPr>
            </w:pPr>
          </w:p>
        </w:tc>
        <w:tc>
          <w:tcPr>
            <w:tcW w:w="360" w:type="dxa"/>
            <w:vAlign w:val="bottom"/>
            <w:tcBorders>
              <w:top w:val="single" w:sz="8" w:color="0000EE"/>
            </w:tcBorders>
            <w:shd w:val="clear" w:color="auto" w:fill="C6F4F9"/>
          </w:tcPr>
          <w:p>
            <w:pPr>
              <w:spacing w:after="0"/>
              <w:rPr>
                <w:sz w:val="4"/>
                <w:szCs w:val="4"/>
                <w:color w:val="auto"/>
              </w:rPr>
            </w:pPr>
          </w:p>
        </w:tc>
        <w:tc>
          <w:tcPr>
            <w:tcW w:w="380" w:type="dxa"/>
            <w:vAlign w:val="bottom"/>
            <w:tcBorders>
              <w:top w:val="single" w:sz="8" w:color="0000EE"/>
            </w:tcBorders>
            <w:shd w:val="clear" w:color="auto" w:fill="C6F4F9"/>
          </w:tcPr>
          <w:p>
            <w:pPr>
              <w:spacing w:after="0"/>
              <w:rPr>
                <w:sz w:val="4"/>
                <w:szCs w:val="4"/>
                <w:color w:val="auto"/>
              </w:rPr>
            </w:pPr>
          </w:p>
        </w:tc>
        <w:tc>
          <w:tcPr>
            <w:tcW w:w="420" w:type="dxa"/>
            <w:vAlign w:val="bottom"/>
            <w:tcBorders>
              <w:top w:val="single" w:sz="8" w:color="C6F4F9"/>
            </w:tcBorders>
            <w:shd w:val="clear" w:color="auto" w:fill="C6F4F9"/>
          </w:tcPr>
          <w:p>
            <w:pPr>
              <w:spacing w:after="0"/>
              <w:rPr>
                <w:sz w:val="4"/>
                <w:szCs w:val="4"/>
                <w:color w:val="auto"/>
              </w:rPr>
            </w:pPr>
          </w:p>
        </w:tc>
        <w:tc>
          <w:tcPr>
            <w:tcW w:w="40" w:type="dxa"/>
            <w:vAlign w:val="bottom"/>
            <w:tcBorders>
              <w:top w:val="single" w:sz="8" w:color="C6F4F9"/>
            </w:tcBorders>
            <w:shd w:val="clear" w:color="auto" w:fill="C6F4F9"/>
          </w:tcPr>
          <w:p>
            <w:pPr>
              <w:spacing w:after="0"/>
              <w:rPr>
                <w:sz w:val="4"/>
                <w:szCs w:val="4"/>
                <w:color w:val="auto"/>
              </w:rPr>
            </w:pPr>
          </w:p>
        </w:tc>
        <w:tc>
          <w:tcPr>
            <w:tcW w:w="760" w:type="dxa"/>
            <w:vAlign w:val="bottom"/>
            <w:tcBorders>
              <w:top w:val="single" w:sz="8" w:color="C6F4F9"/>
            </w:tcBorders>
            <w:shd w:val="clear" w:color="auto" w:fill="C6F4F9"/>
          </w:tcPr>
          <w:p>
            <w:pPr>
              <w:spacing w:after="0"/>
              <w:rPr>
                <w:sz w:val="4"/>
                <w:szCs w:val="4"/>
                <w:color w:val="auto"/>
              </w:rPr>
            </w:pPr>
          </w:p>
        </w:tc>
        <w:tc>
          <w:tcPr>
            <w:tcW w:w="1220" w:type="dxa"/>
            <w:vAlign w:val="bottom"/>
            <w:tcBorders>
              <w:top w:val="single" w:sz="8" w:color="C6F4F9"/>
            </w:tcBorders>
            <w:shd w:val="clear" w:color="auto" w:fill="C6F4F9"/>
          </w:tcPr>
          <w:p>
            <w:pPr>
              <w:spacing w:after="0"/>
              <w:rPr>
                <w:sz w:val="4"/>
                <w:szCs w:val="4"/>
                <w:color w:val="auto"/>
              </w:rPr>
            </w:pPr>
          </w:p>
        </w:tc>
        <w:tc>
          <w:tcPr>
            <w:tcW w:w="22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96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r>
      <w:tr>
        <w:trPr>
          <w:trHeight w:val="203"/>
        </w:trPr>
        <w:tc>
          <w:tcPr>
            <w:tcW w:w="3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 under the Securities Exchange Act of 1934, as</w:t>
            </w: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60" w:type="dxa"/>
            <w:vAlign w:val="bottom"/>
            <w:tcBorders>
              <w:top w:val="single" w:sz="8" w:color="0000EE"/>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 (1)</w:t>
            </w:r>
          </w:p>
        </w:tc>
        <w:tc>
          <w:tcPr>
            <w:tcW w:w="240" w:type="dxa"/>
            <w:vAlign w:val="bottom"/>
            <w:gridSpan w:val="1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6F4F9"/>
          </w:tcPr>
          <w:p>
            <w:pPr>
              <w:spacing w:after="0"/>
              <w:rPr>
                <w:sz w:val="17"/>
                <w:szCs w:val="17"/>
                <w:color w:val="auto"/>
              </w:rPr>
            </w:pPr>
          </w:p>
        </w:tc>
        <w:tc>
          <w:tcPr>
            <w:tcW w:w="320" w:type="dxa"/>
            <w:vAlign w:val="bottom"/>
            <w:gridSpan w:val="2"/>
            <w:shd w:val="clear" w:color="auto" w:fill="C6F4F9"/>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6"/>
            <w:shd w:val="clear" w:color="auto" w:fill="C6F4F9"/>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 Act of 2002 (18 U.S.C. Section 1350). (1)</w:t>
            </w:r>
          </w:p>
        </w:tc>
      </w:tr>
      <w:tr>
        <w:trPr>
          <w:trHeight w:val="34"/>
        </w:trPr>
        <w:tc>
          <w:tcPr>
            <w:tcW w:w="20" w:type="dxa"/>
            <w:vAlign w:val="bottom"/>
            <w:tcBorders>
              <w:top w:val="single" w:sz="8" w:color="C6F4F9"/>
            </w:tcBorders>
            <w:shd w:val="clear" w:color="auto" w:fill="C6F4F9"/>
          </w:tcPr>
          <w:p>
            <w:pPr>
              <w:spacing w:after="0"/>
              <w:rPr>
                <w:sz w:val="2"/>
                <w:szCs w:val="2"/>
                <w:color w:val="auto"/>
              </w:rPr>
            </w:pPr>
          </w:p>
        </w:tc>
        <w:tc>
          <w:tcPr>
            <w:tcW w:w="240" w:type="dxa"/>
            <w:vAlign w:val="bottom"/>
            <w:tcBorders>
              <w:top w:val="single" w:sz="8" w:color="0000FF"/>
            </w:tcBorders>
            <w:shd w:val="clear" w:color="auto" w:fill="C6F4F9"/>
          </w:tcPr>
          <w:p>
            <w:pPr>
              <w:spacing w:after="0"/>
              <w:rPr>
                <w:sz w:val="2"/>
                <w:szCs w:val="2"/>
                <w:color w:val="auto"/>
              </w:rPr>
            </w:pPr>
          </w:p>
        </w:tc>
        <w:tc>
          <w:tcPr>
            <w:tcW w:w="80" w:type="dxa"/>
            <w:vAlign w:val="bottom"/>
            <w:tcBorders>
              <w:top w:val="single" w:sz="8" w:color="0000FF"/>
            </w:tcBorders>
            <w:shd w:val="clear" w:color="auto" w:fill="C6F4F9"/>
          </w:tcPr>
          <w:p>
            <w:pPr>
              <w:spacing w:after="0"/>
              <w:rPr>
                <w:sz w:val="2"/>
                <w:szCs w:val="2"/>
                <w:color w:val="auto"/>
              </w:rPr>
            </w:pPr>
          </w:p>
        </w:tc>
        <w:tc>
          <w:tcPr>
            <w:tcW w:w="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60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080" w:type="dxa"/>
            <w:vAlign w:val="bottom"/>
            <w:tcBorders>
              <w:top w:val="single" w:sz="8" w:color="0000EE"/>
            </w:tcBorders>
            <w:shd w:val="clear" w:color="auto" w:fill="C6F4F9"/>
          </w:tcPr>
          <w:p>
            <w:pPr>
              <w:spacing w:after="0"/>
              <w:rPr>
                <w:sz w:val="2"/>
                <w:szCs w:val="2"/>
                <w:color w:val="auto"/>
              </w:rPr>
            </w:pPr>
          </w:p>
        </w:tc>
        <w:tc>
          <w:tcPr>
            <w:tcW w:w="1340" w:type="dxa"/>
            <w:vAlign w:val="bottom"/>
            <w:tcBorders>
              <w:top w:val="single" w:sz="8" w:color="0000EE"/>
            </w:tcBorders>
            <w:shd w:val="clear" w:color="auto" w:fill="C6F4F9"/>
          </w:tcPr>
          <w:p>
            <w:pPr>
              <w:spacing w:after="0"/>
              <w:rPr>
                <w:sz w:val="2"/>
                <w:szCs w:val="2"/>
                <w:color w:val="auto"/>
              </w:rPr>
            </w:pPr>
          </w:p>
        </w:tc>
        <w:tc>
          <w:tcPr>
            <w:tcW w:w="760" w:type="dxa"/>
            <w:vAlign w:val="bottom"/>
            <w:tcBorders>
              <w:top w:val="single" w:sz="8" w:color="0000EE"/>
            </w:tcBorders>
            <w:shd w:val="clear" w:color="auto" w:fill="C6F4F9"/>
          </w:tcPr>
          <w:p>
            <w:pPr>
              <w:spacing w:after="0"/>
              <w:rPr>
                <w:sz w:val="2"/>
                <w:szCs w:val="2"/>
                <w:color w:val="auto"/>
              </w:rPr>
            </w:pPr>
          </w:p>
        </w:tc>
        <w:tc>
          <w:tcPr>
            <w:tcW w:w="520" w:type="dxa"/>
            <w:vAlign w:val="bottom"/>
            <w:tcBorders>
              <w:top w:val="single" w:sz="8" w:color="0000EE"/>
            </w:tcBorders>
            <w:shd w:val="clear" w:color="auto" w:fill="C6F4F9"/>
          </w:tcPr>
          <w:p>
            <w:pPr>
              <w:spacing w:after="0"/>
              <w:rPr>
                <w:sz w:val="2"/>
                <w:szCs w:val="2"/>
                <w:color w:val="auto"/>
              </w:rPr>
            </w:pPr>
          </w:p>
        </w:tc>
        <w:tc>
          <w:tcPr>
            <w:tcW w:w="720" w:type="dxa"/>
            <w:vAlign w:val="bottom"/>
            <w:tcBorders>
              <w:top w:val="single" w:sz="8" w:color="0000EE"/>
            </w:tcBorders>
            <w:shd w:val="clear" w:color="auto" w:fill="C6F4F9"/>
          </w:tcPr>
          <w:p>
            <w:pPr>
              <w:spacing w:after="0"/>
              <w:rPr>
                <w:sz w:val="2"/>
                <w:szCs w:val="2"/>
                <w:color w:val="auto"/>
              </w:rPr>
            </w:pPr>
          </w:p>
        </w:tc>
        <w:tc>
          <w:tcPr>
            <w:tcW w:w="360" w:type="dxa"/>
            <w:vAlign w:val="bottom"/>
            <w:tcBorders>
              <w:top w:val="single" w:sz="8" w:color="0000EE"/>
            </w:tcBorders>
            <w:shd w:val="clear" w:color="auto" w:fill="C6F4F9"/>
          </w:tcPr>
          <w:p>
            <w:pPr>
              <w:spacing w:after="0"/>
              <w:rPr>
                <w:sz w:val="2"/>
                <w:szCs w:val="2"/>
                <w:color w:val="auto"/>
              </w:rPr>
            </w:pPr>
          </w:p>
        </w:tc>
        <w:tc>
          <w:tcPr>
            <w:tcW w:w="380" w:type="dxa"/>
            <w:vAlign w:val="bottom"/>
            <w:tcBorders>
              <w:top w:val="single" w:sz="8" w:color="0000EE"/>
            </w:tcBorders>
            <w:shd w:val="clear" w:color="auto" w:fill="C6F4F9"/>
          </w:tcPr>
          <w:p>
            <w:pPr>
              <w:spacing w:after="0"/>
              <w:rPr>
                <w:sz w:val="2"/>
                <w:szCs w:val="2"/>
                <w:color w:val="auto"/>
              </w:rPr>
            </w:pPr>
          </w:p>
        </w:tc>
        <w:tc>
          <w:tcPr>
            <w:tcW w:w="420" w:type="dxa"/>
            <w:vAlign w:val="bottom"/>
            <w:tcBorders>
              <w:top w:val="single" w:sz="8" w:color="0000EE"/>
            </w:tcBorders>
            <w:shd w:val="clear" w:color="auto" w:fill="C6F4F9"/>
          </w:tcPr>
          <w:p>
            <w:pPr>
              <w:spacing w:after="0"/>
              <w:rPr>
                <w:sz w:val="2"/>
                <w:szCs w:val="2"/>
                <w:color w:val="auto"/>
              </w:rPr>
            </w:pPr>
          </w:p>
        </w:tc>
        <w:tc>
          <w:tcPr>
            <w:tcW w:w="40" w:type="dxa"/>
            <w:vAlign w:val="bottom"/>
            <w:tcBorders>
              <w:top w:val="single" w:sz="8" w:color="0000EE"/>
            </w:tcBorders>
            <w:shd w:val="clear" w:color="auto" w:fill="C6F4F9"/>
          </w:tcPr>
          <w:p>
            <w:pPr>
              <w:spacing w:after="0"/>
              <w:rPr>
                <w:sz w:val="2"/>
                <w:szCs w:val="2"/>
                <w:color w:val="auto"/>
              </w:rPr>
            </w:pPr>
          </w:p>
        </w:tc>
        <w:tc>
          <w:tcPr>
            <w:tcW w:w="760" w:type="dxa"/>
            <w:vAlign w:val="bottom"/>
            <w:tcBorders>
              <w:top w:val="single" w:sz="8" w:color="0000EE"/>
            </w:tcBorders>
            <w:shd w:val="clear" w:color="auto" w:fill="C6F4F9"/>
          </w:tcPr>
          <w:p>
            <w:pPr>
              <w:spacing w:after="0"/>
              <w:rPr>
                <w:sz w:val="2"/>
                <w:szCs w:val="2"/>
                <w:color w:val="auto"/>
              </w:rPr>
            </w:pPr>
          </w:p>
        </w:tc>
        <w:tc>
          <w:tcPr>
            <w:tcW w:w="1220" w:type="dxa"/>
            <w:vAlign w:val="bottom"/>
            <w:tcBorders>
              <w:top w:val="single" w:sz="8" w:color="0000EE"/>
            </w:tcBorders>
            <w:shd w:val="clear" w:color="auto" w:fill="C6F4F9"/>
          </w:tcPr>
          <w:p>
            <w:pPr>
              <w:spacing w:after="0"/>
              <w:rPr>
                <w:sz w:val="2"/>
                <w:szCs w:val="2"/>
                <w:color w:val="auto"/>
              </w:rPr>
            </w:pPr>
          </w:p>
        </w:tc>
        <w:tc>
          <w:tcPr>
            <w:tcW w:w="220" w:type="dxa"/>
            <w:vAlign w:val="bottom"/>
            <w:tcBorders>
              <w:top w:val="single" w:sz="8" w:color="0000EE"/>
            </w:tcBorders>
            <w:shd w:val="clear" w:color="auto" w:fill="C6F4F9"/>
          </w:tcPr>
          <w:p>
            <w:pPr>
              <w:spacing w:after="0"/>
              <w:rPr>
                <w:sz w:val="2"/>
                <w:szCs w:val="2"/>
                <w:color w:val="auto"/>
              </w:rPr>
            </w:pPr>
          </w:p>
        </w:tc>
        <w:tc>
          <w:tcPr>
            <w:tcW w:w="140" w:type="dxa"/>
            <w:vAlign w:val="bottom"/>
            <w:tcBorders>
              <w:top w:val="single" w:sz="8" w:color="0000EE"/>
            </w:tcBorders>
            <w:shd w:val="clear" w:color="auto" w:fill="C6F4F9"/>
          </w:tcPr>
          <w:p>
            <w:pPr>
              <w:spacing w:after="0"/>
              <w:rPr>
                <w:sz w:val="2"/>
                <w:szCs w:val="2"/>
                <w:color w:val="auto"/>
              </w:rPr>
            </w:pPr>
          </w:p>
        </w:tc>
        <w:tc>
          <w:tcPr>
            <w:tcW w:w="140" w:type="dxa"/>
            <w:vAlign w:val="bottom"/>
            <w:tcBorders>
              <w:top w:val="single" w:sz="8" w:color="0000EE"/>
            </w:tcBorders>
            <w:shd w:val="clear" w:color="auto" w:fill="C6F4F9"/>
          </w:tcPr>
          <w:p>
            <w:pPr>
              <w:spacing w:after="0"/>
              <w:rPr>
                <w:sz w:val="2"/>
                <w:szCs w:val="2"/>
                <w:color w:val="auto"/>
              </w:rPr>
            </w:pPr>
          </w:p>
        </w:tc>
        <w:tc>
          <w:tcPr>
            <w:tcW w:w="240" w:type="dxa"/>
            <w:vAlign w:val="bottom"/>
            <w:tcBorders>
              <w:top w:val="single" w:sz="8" w:color="0000EE"/>
            </w:tcBorders>
            <w:shd w:val="clear" w:color="auto" w:fill="C6F4F9"/>
          </w:tcPr>
          <w:p>
            <w:pPr>
              <w:spacing w:after="0"/>
              <w:rPr>
                <w:sz w:val="2"/>
                <w:szCs w:val="2"/>
                <w:color w:val="auto"/>
              </w:rPr>
            </w:pPr>
          </w:p>
        </w:tc>
        <w:tc>
          <w:tcPr>
            <w:tcW w:w="960" w:type="dxa"/>
            <w:vAlign w:val="bottom"/>
            <w:tcBorders>
              <w:top w:val="single" w:sz="8" w:color="0000EE"/>
            </w:tcBorders>
            <w:shd w:val="clear" w:color="auto" w:fill="C6F4F9"/>
          </w:tcPr>
          <w:p>
            <w:pPr>
              <w:spacing w:after="0"/>
              <w:rPr>
                <w:sz w:val="2"/>
                <w:szCs w:val="2"/>
                <w:color w:val="auto"/>
              </w:rPr>
            </w:pPr>
          </w:p>
        </w:tc>
        <w:tc>
          <w:tcPr>
            <w:tcW w:w="240" w:type="dxa"/>
            <w:vAlign w:val="bottom"/>
            <w:tcBorders>
              <w:top w:val="single" w:sz="8" w:color="0000EE"/>
            </w:tcBorders>
            <w:shd w:val="clear" w:color="auto" w:fill="C6F4F9"/>
          </w:tcPr>
          <w:p>
            <w:pPr>
              <w:spacing w:after="0"/>
              <w:rPr>
                <w:sz w:val="2"/>
                <w:szCs w:val="2"/>
                <w:color w:val="auto"/>
              </w:rPr>
            </w:pPr>
          </w:p>
        </w:tc>
        <w:tc>
          <w:tcPr>
            <w:tcW w:w="20" w:type="dxa"/>
            <w:vAlign w:val="bottom"/>
            <w:tcBorders>
              <w:top w:val="single" w:sz="8" w:color="0000EE"/>
            </w:tcBorders>
            <w:shd w:val="clear" w:color="auto" w:fill="C6F4F9"/>
          </w:tcPr>
          <w:p>
            <w:pPr>
              <w:spacing w:after="0"/>
              <w:rPr>
                <w:sz w:val="2"/>
                <w:szCs w:val="2"/>
                <w:color w:val="auto"/>
              </w:rPr>
            </w:pPr>
          </w:p>
        </w:tc>
        <w:tc>
          <w:tcPr>
            <w:tcW w:w="20" w:type="dxa"/>
            <w:vAlign w:val="bottom"/>
            <w:tcBorders>
              <w:top w:val="single" w:sz="8" w:color="0000EE"/>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 (1)</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10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10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0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10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10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10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ind w:left="1040" w:hanging="1014"/>
        <w:spacing w:after="0"/>
        <w:tabs>
          <w:tab w:leader="none" w:pos="10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360" w:hanging="322"/>
        <w:spacing w:after="0"/>
        <w:tabs>
          <w:tab w:leader="none" w:pos="13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1" w:right="339" w:bottom="3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38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Date: September 2,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July 30, 2022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 2022</w:t>
      </w:r>
    </w:p>
    <w:p>
      <w:pPr>
        <w:sectPr>
          <w:pgSz w:w="11900" w:h="16838" w:orient="portrait"/>
          <w:cols w:equalWidth="0" w:num="1">
            <w:col w:w="11240"/>
          </w:cols>
          <w:pgMar w:left="320" w:top="93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July 30, 2022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 2022</w:t>
      </w:r>
    </w:p>
    <w:p>
      <w:pPr>
        <w:sectPr>
          <w:pgSz w:w="11900" w:h="16838" w:orient="portrait"/>
          <w:cols w:equalWidth="0" w:num="1">
            <w:col w:w="11240"/>
          </w:cols>
          <w:pgMar w:left="320" w:top="93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July 30, 2022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 2022</w:t>
      </w:r>
    </w:p>
    <w:p>
      <w:pPr>
        <w:sectPr>
          <w:pgSz w:w="11900" w:h="16838" w:orient="portrait"/>
          <w:cols w:equalWidth="0" w:num="1">
            <w:col w:w="11240"/>
          </w:cols>
          <w:pgMar w:left="320" w:top="93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July 30, 2022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September 2,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04"/>
    </w:lvl>
    <w:lvl w:ilvl="1">
      <w:lvlJc w:val="left"/>
      <w:lvlText w:val="(%2)"/>
      <w:numFmt w:val="decimal"/>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35" Type="http://schemas.openxmlformats.org/officeDocument/2006/relationships/hyperlink" Target="http://www.sec.gov/Archives/edgar/data/915779/000091577918000119/exhibit31.htm" TargetMode="External"/><Relationship Id="rId36" Type="http://schemas.openxmlformats.org/officeDocument/2006/relationships/hyperlink" Target="http://www.sec.gov/Archives/edgar/data/915779/000091577913000026/dakt_exx34x10-kx2013.htm" TargetMode="External"/><Relationship Id="rId37" Type="http://schemas.openxmlformats.org/officeDocument/2006/relationships/hyperlink" Target="http://www.sec.gov/Archives/edgar/data/915779/000091577918000089/dakt_20181116x8-kxex41.htm" TargetMode="External"/><Relationship Id="rId38" Type="http://schemas.openxmlformats.org/officeDocument/2006/relationships/hyperlink" Target="http://www.sec.gov/Archives/edgar/data/915779/000143774921027158/ex_309612.htm" TargetMode="External"/><Relationship Id="rId39" Type="http://schemas.openxmlformats.org/officeDocument/2006/relationships/hyperlink" Target="http://www.sec.gov/Archives/edgar/data/915779/000091577916000233/dakt_20161115xex101.htm" TargetMode="External"/><Relationship Id="rId40" Type="http://schemas.openxmlformats.org/officeDocument/2006/relationships/hyperlink" Target="http://www.sec.gov/Archives/edgar/data/915779/000091577916000233/dakt_20161115xex102.htm" TargetMode="External"/><Relationship Id="rId41" Type="http://schemas.openxmlformats.org/officeDocument/2006/relationships/hyperlink" Target="http://www.sec.gov/Archives/edgar/data/915779/000091577919000079/dakt_20191115xex101.htm" TargetMode="External"/><Relationship Id="rId42" Type="http://schemas.openxmlformats.org/officeDocument/2006/relationships/hyperlink" Target="http://www.sec.gov/Archives/edgar/data/915779/000091577920000052/dakt20200801q1ex104.htm" TargetMode="External"/><Relationship Id="rId43" Type="http://schemas.openxmlformats.org/officeDocument/2006/relationships/hyperlink" Target="http://www.sec.gov/Archives/edgar/data/915779/000143774921014600/ex_246991.htm" TargetMode="External"/><Relationship Id="rId44" Type="http://schemas.openxmlformats.org/officeDocument/2006/relationships/hyperlink" Target="https://www.sec.gov/Archives/edgar/data/915779/000143774922010278/ex_367356.htm" TargetMode="External"/><Relationship Id="rId45" Type="http://schemas.openxmlformats.org/officeDocument/2006/relationships/hyperlink" Target="https://www.sec.gov/Archives/edgar/data/915779/000091577922000023/exhibit101_08152022credita.htm" TargetMode="External"/><Relationship Id="rId46" Type="http://schemas.openxmlformats.org/officeDocument/2006/relationships/hyperlink" Target="http://www.sec.gov/Archives/edgar/data/915779/000091577920000052/dakt20200801q1ex105.htm" TargetMode="External"/><Relationship Id="rId47" Type="http://schemas.openxmlformats.org/officeDocument/2006/relationships/hyperlink" Target="http://www.sec.gov/Archives/edgar/data/915779/000091577920000033/dakt-20200502_defx14a.htm" TargetMode="External"/><Relationship Id="rId48" Type="http://schemas.openxmlformats.org/officeDocument/2006/relationships/hyperlink" Target="http://www.sec.gov/Archives/edgar/data/915779/000091577920000054/daktex1028-ksom2020.htm" TargetMode="External"/><Relationship Id="rId49" Type="http://schemas.openxmlformats.org/officeDocument/2006/relationships/hyperlink" Target="http://www.sec.gov/Archives/edgar/data/915779/000091577920000054/daktex1038-ksom2020.htm" TargetMode="External"/><Relationship Id="rId50" Type="http://schemas.openxmlformats.org/officeDocument/2006/relationships/hyperlink" Target="http://www.sec.gov/Archives/edgar/data/915779/000091577920000054/daktex1048-ksom2020.htm" TargetMode="External"/><Relationship Id="rId51" Type="http://schemas.openxmlformats.org/officeDocument/2006/relationships/hyperlink" Target="http://www.sec.gov/Archives/edgar/data/915779/000091577920000054/daktex1058-ksom2020.htm" TargetMode="External"/><Relationship Id="rId52" Type="http://schemas.openxmlformats.org/officeDocument/2006/relationships/hyperlink" Target="https://www.sec.gov/Archives/edgar/data/915779/000091577922000010/exhibit101_0718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2022-09-02T15:56:20Z</dcterms:created>
  <dcterms:modified xsi:type="dcterms:W3CDTF">2022-09-02T15:56:20Z</dcterms:modified>
</cp:coreProperties>
</file>