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346075</wp:posOffset>
            </wp:positionH>
            <wp:positionV relativeFrom="page">
              <wp:posOffset>492125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397510</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258445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August 2, 2014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jc w:val="center"/>
        <w:ind w:left="4740" w:right="2480" w:hanging="2250"/>
        <w:spacing w:after="0" w:line="258" w:lineRule="auto"/>
        <w:tabs>
          <w:tab w:leader="none" w:pos="2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tabs>
          <w:tab w:leader="none" w:pos="100" w:val="left"/>
        </w:tabs>
        <w:rPr>
          <w:sz w:val="20"/>
          <w:szCs w:val="20"/>
          <w:color w:val="auto"/>
        </w:rPr>
      </w:pPr>
      <w:r>
        <w:rPr>
          <w:rFonts w:ascii="Arial" w:cs="Arial" w:eastAsia="Arial" w:hAnsi="Arial"/>
          <w:sz w:val="16"/>
          <w:szCs w:val="16"/>
          <w:b w:val="1"/>
          <w:bCs w:val="1"/>
          <w:i w:val="1"/>
          <w:iCs w:val="1"/>
          <w:color w:val="auto"/>
        </w:rPr>
        <w:t>For the Transition Period From</w:t>
      </w:r>
      <w:r>
        <w:rPr>
          <w:sz w:val="20"/>
          <w:szCs w:val="20"/>
          <w:color w:val="auto"/>
        </w:rPr>
        <w:tab/>
      </w:r>
      <w:r>
        <w:rPr>
          <w:rFonts w:ascii="Arial" w:cs="Arial" w:eastAsia="Arial" w:hAnsi="Arial"/>
          <w:sz w:val="15"/>
          <w:szCs w:val="15"/>
          <w:b w:val="1"/>
          <w:bCs w:val="1"/>
          <w:i w:val="1"/>
          <w:iCs w:val="1"/>
          <w:color w:val="auto"/>
        </w:rPr>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86360</wp:posOffset>
            </wp:positionV>
            <wp:extent cx="6869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-15875</wp:posOffset>
            </wp:positionV>
            <wp:extent cx="26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132080</wp:posOffset>
            </wp:positionV>
            <wp:extent cx="1097915"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2340" w:type="dxa"/>
        <w:tblCellMar>
          <w:top w:w="0" w:type="dxa"/>
          <w:left w:w="0" w:type="dxa"/>
          <w:bottom w:w="0" w:type="dxa"/>
          <w:right w:w="0" w:type="dxa"/>
        </w:tblCellMar>
      </w:tblPr>
      <w:tr>
        <w:trPr>
          <w:trHeight w:val="207"/>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South Dakota</w:t>
            </w:r>
          </w:p>
        </w:tc>
        <w:tc>
          <w:tcPr>
            <w:tcW w:w="2680" w:type="dxa"/>
            <w:vAlign w:val="bottom"/>
            <w:vMerge w:val="restart"/>
          </w:tcPr>
          <w:p>
            <w:pPr>
              <w:jc w:val="right"/>
              <w:ind w:right="859"/>
              <w:spacing w:after="0"/>
              <w:rPr>
                <w:sz w:val="20"/>
                <w:szCs w:val="20"/>
                <w:color w:val="auto"/>
              </w:rPr>
            </w:pPr>
            <w:r>
              <w:rPr>
                <w:rFonts w:ascii="Arial" w:cs="Arial" w:eastAsia="Arial" w:hAnsi="Arial"/>
                <w:sz w:val="16"/>
                <w:szCs w:val="16"/>
                <w:b w:val="1"/>
                <w:bCs w:val="1"/>
                <w:color w:val="auto"/>
              </w:rPr>
              <w:t>46-0306862</w:t>
            </w:r>
          </w:p>
        </w:tc>
        <w:tc>
          <w:tcPr>
            <w:tcW w:w="0" w:type="dxa"/>
            <w:vAlign w:val="bottom"/>
          </w:tcPr>
          <w:p>
            <w:pPr>
              <w:spacing w:after="0"/>
              <w:rPr>
                <w:sz w:val="1"/>
                <w:szCs w:val="1"/>
                <w:color w:val="auto"/>
              </w:rPr>
            </w:pPr>
          </w:p>
        </w:tc>
      </w:tr>
      <w:tr>
        <w:trPr>
          <w:trHeight w:val="203"/>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(State or other jurisdiction of incorporation or</w:t>
            </w: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jc w:val="center"/>
              <w:ind w:right="899"/>
              <w:spacing w:after="0"/>
              <w:rPr>
                <w:sz w:val="20"/>
                <w:szCs w:val="20"/>
                <w:color w:val="auto"/>
              </w:rPr>
            </w:pPr>
            <w:r>
              <w:rPr>
                <w:rFonts w:ascii="Arial" w:cs="Arial" w:eastAsia="Arial" w:hAnsi="Arial"/>
                <w:sz w:val="16"/>
                <w:szCs w:val="16"/>
                <w:color w:val="auto"/>
                <w:w w:val="92"/>
              </w:rPr>
              <w:t>organization)</w:t>
            </w:r>
          </w:p>
        </w:tc>
        <w:tc>
          <w:tcPr>
            <w:tcW w:w="2680" w:type="dxa"/>
            <w:vAlign w:val="bottom"/>
          </w:tcPr>
          <w:p>
            <w:pPr>
              <w:jc w:val="center"/>
              <w:spacing w:after="0"/>
              <w:rPr>
                <w:sz w:val="20"/>
                <w:szCs w:val="20"/>
                <w:color w:val="auto"/>
              </w:rPr>
            </w:pPr>
            <w:r>
              <w:rPr>
                <w:rFonts w:ascii="Arial" w:cs="Arial" w:eastAsia="Arial" w:hAnsi="Arial"/>
                <w:sz w:val="16"/>
                <w:szCs w:val="16"/>
                <w:color w:val="auto"/>
                <w:w w:val="94"/>
              </w:rPr>
              <w:t>(I.R.S. Employer Identification Number)</w:t>
            </w:r>
          </w:p>
        </w:tc>
        <w:tc>
          <w:tcPr>
            <w:tcW w:w="0" w:type="dxa"/>
            <w:vAlign w:val="bottom"/>
          </w:tcPr>
          <w:p>
            <w:pPr>
              <w:spacing w:after="0"/>
              <w:rPr>
                <w:sz w:val="1"/>
                <w:szCs w:val="1"/>
                <w:color w:val="auto"/>
              </w:rPr>
            </w:pPr>
          </w:p>
        </w:tc>
      </w:tr>
      <w:tr>
        <w:trPr>
          <w:trHeight w:val="492"/>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201 Daktronics Drive</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0"/>
              </w:rPr>
              <w:t>Brookings SD</w:t>
            </w:r>
          </w:p>
        </w:tc>
        <w:tc>
          <w:tcPr>
            <w:tcW w:w="2680" w:type="dxa"/>
            <w:vAlign w:val="bottom"/>
          </w:tcPr>
          <w:p>
            <w:pPr>
              <w:jc w:val="right"/>
              <w:ind w:right="1039"/>
              <w:spacing w:after="0"/>
              <w:rPr>
                <w:sz w:val="20"/>
                <w:szCs w:val="20"/>
                <w:color w:val="auto"/>
              </w:rPr>
            </w:pPr>
            <w:r>
              <w:rPr>
                <w:rFonts w:ascii="Arial" w:cs="Arial" w:eastAsia="Arial" w:hAnsi="Arial"/>
                <w:sz w:val="16"/>
                <w:szCs w:val="16"/>
                <w:b w:val="1"/>
                <w:bCs w:val="1"/>
                <w:color w:val="auto"/>
              </w:rPr>
              <w:t>57006</w:t>
            </w:r>
          </w:p>
        </w:tc>
        <w:tc>
          <w:tcPr>
            <w:tcW w:w="0" w:type="dxa"/>
            <w:vAlign w:val="bottom"/>
          </w:tcPr>
          <w:p>
            <w:pPr>
              <w:spacing w:after="0"/>
              <w:rPr>
                <w:sz w:val="1"/>
                <w:szCs w:val="1"/>
                <w:color w:val="auto"/>
              </w:rPr>
            </w:pPr>
          </w:p>
        </w:tc>
      </w:tr>
      <w:tr>
        <w:trPr>
          <w:trHeight w:val="257"/>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(Address of principal executive offices)</w:t>
            </w:r>
          </w:p>
        </w:tc>
        <w:tc>
          <w:tcPr>
            <w:tcW w:w="2680" w:type="dxa"/>
            <w:vAlign w:val="bottom"/>
          </w:tcPr>
          <w:p>
            <w:pPr>
              <w:jc w:val="center"/>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r>
        <w:trPr>
          <w:trHeight w:val="226"/>
        </w:trPr>
        <w:tc>
          <w:tcPr>
            <w:tcW w:w="3920" w:type="dxa"/>
            <w:vAlign w:val="bottom"/>
          </w:tcPr>
          <w:p>
            <w:pPr>
              <w:jc w:val="right"/>
              <w:spacing w:after="0"/>
              <w:rPr>
                <w:sz w:val="20"/>
                <w:szCs w:val="20"/>
                <w:color w:val="auto"/>
              </w:rPr>
            </w:pPr>
            <w:r>
              <w:rPr>
                <w:rFonts w:ascii="Arial" w:cs="Arial" w:eastAsia="Arial" w:hAnsi="Arial"/>
                <w:sz w:val="16"/>
                <w:szCs w:val="16"/>
                <w:b w:val="1"/>
                <w:bCs w:val="1"/>
                <w:color w:val="auto"/>
              </w:rPr>
              <w:t>(605) 692-0200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7" w:lineRule="exact"/>
        <w:rPr>
          <w:sz w:val="24"/>
          <w:szCs w:val="24"/>
          <w:color w:val="auto"/>
        </w:rPr>
      </w:pPr>
    </w:p>
    <w:p>
      <w:pPr>
        <w:ind w:right="140"/>
        <w:spacing w:after="0" w:line="29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660"/>
        <w:spacing w:after="0"/>
        <w:rPr>
          <w:sz w:val="20"/>
          <w:szCs w:val="20"/>
          <w:color w:val="auto"/>
        </w:rPr>
      </w:pPr>
      <w:r>
        <w:rPr>
          <w:rFonts w:ascii="Arial" w:cs="Arial" w:eastAsia="Arial" w:hAnsi="Arial"/>
          <w:sz w:val="15"/>
          <w:szCs w:val="15"/>
          <w:color w:val="auto"/>
        </w:rPr>
        <w:t>Yes x No o</w:t>
      </w:r>
    </w:p>
    <w:p>
      <w:pPr>
        <w:spacing w:after="0" w:line="192"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ind w:left="10600"/>
        <w:spacing w:after="0" w:line="173" w:lineRule="exact"/>
        <w:rPr>
          <w:sz w:val="20"/>
          <w:szCs w:val="20"/>
          <w:color w:val="auto"/>
        </w:rPr>
      </w:pPr>
      <w:r>
        <w:rPr>
          <w:rFonts w:ascii="Arial" w:cs="Arial" w:eastAsia="Arial" w:hAnsi="Arial"/>
          <w:sz w:val="15"/>
          <w:szCs w:val="15"/>
          <w:color w:val="auto"/>
        </w:rPr>
        <w:t xml:space="preserve">Yes x No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90" w:right="23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700" w:space="720"/>
            <w:col w:w="3860" w:space="720"/>
            <w:col w:w="1640" w:space="720"/>
            <w:col w:w="2060"/>
          </w:cols>
          <w:pgMar w:left="240" w:top="99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4">
            <w:col w:w="1700" w:space="720"/>
            <w:col w:w="3860" w:space="720"/>
            <w:col w:w="1780" w:space="580"/>
            <w:col w:w="2060"/>
          </w:cols>
          <w:pgMar w:left="240" w:top="990" w:right="239" w:bottom="1440" w:gutter="0" w:footer="0" w:header="0"/>
          <w:type w:val="continuous"/>
        </w:sectPr>
      </w:pP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3" w:lineRule="exact"/>
        <w:rPr>
          <w:sz w:val="24"/>
          <w:szCs w:val="24"/>
          <w:color w:val="auto"/>
        </w:rPr>
      </w:pPr>
    </w:p>
    <w:p>
      <w:pPr>
        <w:ind w:left="105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September 2, 2014 was 43,287,362.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type w:val="continuous"/>
        </w:sectPr>
      </w:pPr>
    </w:p>
    <w:bookmarkStart w:id="1" w:name="page2"/>
    <w:bookmarkEnd w:id="1"/>
    <w:p>
      <w:pPr>
        <w:jc w:val="center"/>
        <w:ind w:right="-57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 xml:space="preserve">For the Quarter Ended </w:t>
      </w:r>
      <w:r>
        <w:rPr>
          <w:rFonts w:ascii="Arial" w:cs="Arial" w:eastAsia="Arial" w:hAnsi="Arial"/>
          <w:sz w:val="16"/>
          <w:szCs w:val="16"/>
          <w:color w:val="auto"/>
        </w:rPr>
        <w:t>August 2, 2014</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gridSpan w:val="4"/>
          </w:tcPr>
          <w:p>
            <w:pPr>
              <w:ind w:left="96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2">
              <w:r>
                <w:rPr>
                  <w:rFonts w:ascii="Arial" w:cs="Arial" w:eastAsia="Arial" w:hAnsi="Arial"/>
                  <w:sz w:val="18"/>
                  <w:szCs w:val="18"/>
                  <w:b w:val="1"/>
                  <w:bCs w:val="1"/>
                  <w:color w:val="0000FF"/>
                  <w:w w:val="95"/>
                </w:rPr>
                <w:t>Part I.</w:t>
              </w:r>
            </w:hyperlink>
          </w:p>
        </w:tc>
        <w:tc>
          <w:tcPr>
            <w:tcW w:w="380" w:type="dxa"/>
            <w:vAlign w:val="bottom"/>
            <w:gridSpan w:val="4"/>
          </w:tcPr>
          <w:p>
            <w:pPr>
              <w:spacing w:after="0"/>
              <w:rPr>
                <w:sz w:val="19"/>
                <w:szCs w:val="19"/>
                <w:color w:val="auto"/>
              </w:rPr>
            </w:pPr>
          </w:p>
        </w:tc>
        <w:tc>
          <w:tcPr>
            <w:tcW w:w="1720" w:type="dxa"/>
            <w:vAlign w:val="bottom"/>
            <w:tcBorders>
              <w:bottom w:val="single" w:sz="8" w:color="0000FF"/>
            </w:tcBorders>
            <w:gridSpan w:val="6"/>
          </w:tcPr>
          <w:p>
            <w:pPr>
              <w:spacing w:after="0"/>
              <w:rPr>
                <w:rFonts w:ascii="Arial" w:cs="Arial" w:eastAsia="Arial" w:hAnsi="Arial"/>
                <w:sz w:val="18"/>
                <w:szCs w:val="18"/>
                <w:b w:val="1"/>
                <w:bCs w:val="1"/>
                <w:color w:val="0000FF"/>
                <w:w w:val="93"/>
              </w:rPr>
            </w:pPr>
            <w:hyperlink w:anchor="page2">
              <w:r>
                <w:rPr>
                  <w:rFonts w:ascii="Arial" w:cs="Arial" w:eastAsia="Arial" w:hAnsi="Arial"/>
                  <w:sz w:val="18"/>
                  <w:szCs w:val="18"/>
                  <w:b w:val="1"/>
                  <w:bCs w:val="1"/>
                  <w:color w:val="0000FF"/>
                  <w:w w:val="93"/>
                </w:rPr>
                <w:t>Financial Information</w:t>
              </w:r>
            </w:hyperlink>
          </w:p>
        </w:tc>
        <w:tc>
          <w:tcPr>
            <w:tcW w:w="6840" w:type="dxa"/>
            <w:vAlign w:val="bottom"/>
            <w:gridSpan w:val="9"/>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80" w:type="dxa"/>
            <w:vAlign w:val="bottom"/>
            <w:gridSpan w:val="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56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160" w:type="dxa"/>
            <w:vAlign w:val="bottom"/>
            <w:gridSpan w:val="3"/>
          </w:tcPr>
          <w:p>
            <w:pPr>
              <w:ind w:left="98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960" w:type="dxa"/>
            <w:vAlign w:val="bottom"/>
            <w:gridSpan w:val="1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Balance Sheets as of August 2, 2014 and April 26, 2014 (unaudited)</w:t>
              </w:r>
            </w:hyperlink>
          </w:p>
        </w:tc>
        <w:tc>
          <w:tcPr>
            <w:tcW w:w="1160" w:type="dxa"/>
            <w:vAlign w:val="bottom"/>
            <w:gridSpan w:val="3"/>
          </w:tcPr>
          <w:p>
            <w:pPr>
              <w:ind w:left="98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960" w:type="dxa"/>
            <w:vAlign w:val="bottom"/>
            <w:gridSpan w:val="1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Operations for the Three Months Ended August 2, 2014 and July 27,</w:t>
              </w:r>
            </w:hyperlink>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2013 (unaudited)</w:t>
              </w:r>
            </w:hyperlink>
          </w:p>
        </w:tc>
        <w:tc>
          <w:tcPr>
            <w:tcW w:w="1020" w:type="dxa"/>
            <w:vAlign w:val="bottom"/>
            <w:gridSpan w:val="2"/>
          </w:tcPr>
          <w:p>
            <w:pPr>
              <w:spacing w:after="0"/>
              <w:rPr>
                <w:sz w:val="17"/>
                <w:szCs w:val="17"/>
                <w:color w:val="auto"/>
              </w:rPr>
            </w:pPr>
          </w:p>
        </w:tc>
        <w:tc>
          <w:tcPr>
            <w:tcW w:w="1160" w:type="dxa"/>
            <w:vAlign w:val="bottom"/>
            <w:gridSpan w:val="3"/>
          </w:tcPr>
          <w:p>
            <w:pPr>
              <w:ind w:left="98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960" w:type="dxa"/>
            <w:vAlign w:val="bottom"/>
            <w:gridSpan w:val="1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Comprehensive Income for the Three Months Ended August 2, 2014</w:t>
              </w:r>
            </w:hyperlink>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and July 27, 2013 (unaudited)</w:t>
              </w:r>
            </w:hyperlink>
          </w:p>
        </w:tc>
        <w:tc>
          <w:tcPr>
            <w:tcW w:w="1020" w:type="dxa"/>
            <w:vAlign w:val="bottom"/>
            <w:gridSpan w:val="2"/>
          </w:tcPr>
          <w:p>
            <w:pPr>
              <w:spacing w:after="0"/>
              <w:rPr>
                <w:sz w:val="17"/>
                <w:szCs w:val="17"/>
                <w:color w:val="auto"/>
              </w:rPr>
            </w:pPr>
          </w:p>
        </w:tc>
        <w:tc>
          <w:tcPr>
            <w:tcW w:w="1160" w:type="dxa"/>
            <w:vAlign w:val="bottom"/>
            <w:gridSpan w:val="3"/>
          </w:tcPr>
          <w:p>
            <w:pPr>
              <w:ind w:left="98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Statements of Cash Flows for the Three Months Ended August 2, 2014 and July 27,</w:t>
              </w:r>
            </w:hyperlink>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60" w:type="dxa"/>
            <w:vAlign w:val="bottom"/>
            <w:gridSpan w:val="13"/>
          </w:tcPr>
          <w:p>
            <w:pPr>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2013 (unaudited)</w:t>
              </w:r>
            </w:hyperlink>
          </w:p>
        </w:tc>
        <w:tc>
          <w:tcPr>
            <w:tcW w:w="1160" w:type="dxa"/>
            <w:vAlign w:val="bottom"/>
            <w:gridSpan w:val="3"/>
          </w:tcPr>
          <w:p>
            <w:pPr>
              <w:ind w:left="98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960" w:type="dxa"/>
            <w:vAlign w:val="bottom"/>
            <w:gridSpan w:val="1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Consolidated Financial Statements</w:t>
              </w:r>
            </w:hyperlink>
          </w:p>
        </w:tc>
        <w:tc>
          <w:tcPr>
            <w:tcW w:w="1160" w:type="dxa"/>
            <w:vAlign w:val="bottom"/>
            <w:gridSpan w:val="3"/>
          </w:tcPr>
          <w:p>
            <w:pPr>
              <w:ind w:left="98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80" w:type="dxa"/>
            <w:vAlign w:val="bottom"/>
            <w:gridSpan w:val="5"/>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Item 2.</w:t>
              </w:r>
            </w:hyperlink>
          </w:p>
        </w:tc>
        <w:tc>
          <w:tcPr>
            <w:tcW w:w="8560" w:type="dxa"/>
            <w:vAlign w:val="bottom"/>
            <w:gridSpan w:val="15"/>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Management’s Discussion and Analysis of Financial Condition and Results of Operations</w:t>
              </w:r>
            </w:hyperlink>
          </w:p>
        </w:tc>
        <w:tc>
          <w:tcPr>
            <w:tcW w:w="1160" w:type="dxa"/>
            <w:vAlign w:val="bottom"/>
            <w:gridSpan w:val="3"/>
          </w:tcPr>
          <w:p>
            <w:pPr>
              <w:ind w:left="98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15</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80" w:type="dxa"/>
            <w:vAlign w:val="bottom"/>
            <w:gridSpan w:val="5"/>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3.</w:t>
              </w:r>
            </w:hyperlink>
          </w:p>
        </w:tc>
        <w:tc>
          <w:tcPr>
            <w:tcW w:w="8560" w:type="dxa"/>
            <w:vAlign w:val="bottom"/>
            <w:gridSpan w:val="15"/>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Quantitative and Qualitative Disclosures About Market Risk</w:t>
              </w:r>
            </w:hyperlink>
          </w:p>
        </w:tc>
        <w:tc>
          <w:tcPr>
            <w:tcW w:w="1160" w:type="dxa"/>
            <w:vAlign w:val="bottom"/>
            <w:gridSpan w:val="3"/>
          </w:tcPr>
          <w:p>
            <w:pPr>
              <w:ind w:left="980"/>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23</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FF"/>
            </w:tcBorders>
            <w:gridSpan w:val="3"/>
            <w:shd w:val="clear" w:color="auto" w:fill="0000FF"/>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80" w:type="dxa"/>
            <w:vAlign w:val="bottom"/>
            <w:gridSpan w:val="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4.</w:t>
              </w:r>
            </w:hyperlink>
          </w:p>
        </w:tc>
        <w:tc>
          <w:tcPr>
            <w:tcW w:w="8560" w:type="dxa"/>
            <w:vAlign w:val="bottom"/>
            <w:gridSpan w:val="1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Controls and Procedures</w:t>
              </w:r>
            </w:hyperlink>
          </w:p>
        </w:tc>
        <w:tc>
          <w:tcPr>
            <w:tcW w:w="1160" w:type="dxa"/>
            <w:vAlign w:val="bottom"/>
            <w:gridSpan w:val="3"/>
          </w:tcPr>
          <w:p>
            <w:pPr>
              <w:ind w:left="98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24</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80" w:type="dxa"/>
            <w:vAlign w:val="bottom"/>
            <w:gridSpan w:val="5"/>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Part II.</w:t>
              </w:r>
            </w:hyperlink>
          </w:p>
        </w:tc>
        <w:tc>
          <w:tcPr>
            <w:tcW w:w="8560" w:type="dxa"/>
            <w:vAlign w:val="bottom"/>
            <w:gridSpan w:val="15"/>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Other Information</w:t>
              </w:r>
            </w:hyperlink>
          </w:p>
        </w:tc>
        <w:tc>
          <w:tcPr>
            <w:tcW w:w="1160" w:type="dxa"/>
            <w:vAlign w:val="bottom"/>
            <w:gridSpan w:val="3"/>
          </w:tcPr>
          <w:p>
            <w:pPr>
              <w:ind w:left="980"/>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c>
          <w:tcPr>
            <w:tcW w:w="160" w:type="dxa"/>
            <w:vAlign w:val="bottom"/>
          </w:tcPr>
          <w:p>
            <w:pPr>
              <w:spacing w:after="0"/>
              <w:rPr>
                <w:sz w:val="24"/>
                <w:szCs w:val="24"/>
                <w:color w:val="auto"/>
              </w:rPr>
            </w:pPr>
          </w:p>
        </w:tc>
      </w:tr>
      <w:tr>
        <w:trPr>
          <w:trHeight w:val="250"/>
        </w:trPr>
        <w:tc>
          <w:tcPr>
            <w:tcW w:w="560" w:type="dxa"/>
            <w:vAlign w:val="bottom"/>
            <w:tcBorders>
              <w:top w:val="single" w:sz="8" w:color="0000FF"/>
            </w:tcBorders>
            <w:gridSpan w:val="2"/>
          </w:tcPr>
          <w:p>
            <w:pPr>
              <w:spacing w:after="0"/>
              <w:rPr>
                <w:rFonts w:ascii="Arial" w:cs="Arial" w:eastAsia="Arial" w:hAnsi="Arial"/>
                <w:sz w:val="18"/>
                <w:szCs w:val="18"/>
                <w:color w:val="0000FF"/>
                <w:w w:val="98"/>
              </w:rPr>
            </w:pPr>
            <w:hyperlink w:anchor="page26">
              <w:r>
                <w:rPr>
                  <w:rFonts w:ascii="Arial" w:cs="Arial" w:eastAsia="Arial" w:hAnsi="Arial"/>
                  <w:sz w:val="18"/>
                  <w:szCs w:val="18"/>
                  <w:color w:val="0000FF"/>
                  <w:w w:val="98"/>
                </w:rPr>
                <w:t>Item 1.</w:t>
              </w:r>
            </w:hyperlink>
          </w:p>
        </w:tc>
        <w:tc>
          <w:tcPr>
            <w:tcW w:w="320" w:type="dxa"/>
            <w:vAlign w:val="bottom"/>
            <w:gridSpan w:val="3"/>
          </w:tcPr>
          <w:p>
            <w:pPr>
              <w:spacing w:after="0"/>
              <w:rPr>
                <w:sz w:val="21"/>
                <w:szCs w:val="21"/>
                <w:color w:val="auto"/>
              </w:rPr>
            </w:pPr>
          </w:p>
        </w:tc>
        <w:tc>
          <w:tcPr>
            <w:tcW w:w="1520" w:type="dxa"/>
            <w:vAlign w:val="bottom"/>
            <w:tcBorders>
              <w:top w:val="single" w:sz="8" w:color="0000FF"/>
            </w:tcBorders>
            <w:gridSpan w:val="5"/>
          </w:tcPr>
          <w:p>
            <w:pPr>
              <w:spacing w:after="0"/>
              <w:rPr>
                <w:rFonts w:ascii="Arial" w:cs="Arial" w:eastAsia="Arial" w:hAnsi="Arial"/>
                <w:sz w:val="18"/>
                <w:szCs w:val="18"/>
                <w:color w:val="0000FF"/>
                <w:w w:val="99"/>
              </w:rPr>
            </w:pPr>
            <w:hyperlink w:anchor="page26">
              <w:r>
                <w:rPr>
                  <w:rFonts w:ascii="Arial" w:cs="Arial" w:eastAsia="Arial" w:hAnsi="Arial"/>
                  <w:sz w:val="18"/>
                  <w:szCs w:val="18"/>
                  <w:color w:val="0000FF"/>
                  <w:w w:val="99"/>
                </w:rPr>
                <w:t>Legal Proceedings</w:t>
              </w:r>
            </w:hyperlink>
          </w:p>
        </w:tc>
        <w:tc>
          <w:tcPr>
            <w:tcW w:w="7040" w:type="dxa"/>
            <w:vAlign w:val="bottom"/>
            <w:gridSpan w:val="10"/>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Borders>
              <w:top w:val="single" w:sz="8" w:color="0000EE"/>
            </w:tcBorders>
            <w:gridSpan w:val="2"/>
          </w:tcPr>
          <w:p>
            <w:pPr>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24</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Item 1A.</w:t>
              </w:r>
            </w:hyperlink>
          </w:p>
        </w:tc>
        <w:tc>
          <w:tcPr>
            <w:tcW w:w="240" w:type="dxa"/>
            <w:vAlign w:val="bottom"/>
            <w:gridSpan w:val="2"/>
          </w:tcPr>
          <w:p>
            <w:pPr>
              <w:spacing w:after="0"/>
              <w:rPr>
                <w:sz w:val="21"/>
                <w:szCs w:val="21"/>
                <w:color w:val="auto"/>
              </w:rPr>
            </w:pPr>
          </w:p>
        </w:tc>
        <w:tc>
          <w:tcPr>
            <w:tcW w:w="9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Risk Factors</w:t>
              </w:r>
            </w:hyperlink>
          </w:p>
        </w:tc>
        <w:tc>
          <w:tcPr>
            <w:tcW w:w="7640" w:type="dxa"/>
            <w:vAlign w:val="bottom"/>
            <w:gridSpan w:val="12"/>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24</w:t>
              </w:r>
            </w:hyperlink>
          </w:p>
        </w:tc>
        <w:tc>
          <w:tcPr>
            <w:tcW w:w="160" w:type="dxa"/>
            <w:vAlign w:val="bottom"/>
          </w:tcPr>
          <w:p>
            <w:pPr>
              <w:spacing w:after="0"/>
              <w:rPr>
                <w:sz w:val="21"/>
                <w:szCs w:val="21"/>
                <w:color w:val="auto"/>
              </w:rPr>
            </w:pPr>
          </w:p>
        </w:tc>
      </w:tr>
      <w:tr>
        <w:trPr>
          <w:trHeight w:val="250"/>
        </w:trPr>
        <w:tc>
          <w:tcPr>
            <w:tcW w:w="820" w:type="dxa"/>
            <w:vAlign w:val="bottom"/>
            <w:tcBorders>
              <w:bottom w:val="single" w:sz="8" w:color="0000FF"/>
            </w:tcBorders>
            <w:gridSpan w:val="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2.</w:t>
              </w:r>
            </w:hyperlink>
          </w:p>
        </w:tc>
        <w:tc>
          <w:tcPr>
            <w:tcW w:w="60" w:type="dxa"/>
            <w:vAlign w:val="bottom"/>
          </w:tcPr>
          <w:p>
            <w:pPr>
              <w:spacing w:after="0"/>
              <w:rPr>
                <w:sz w:val="21"/>
                <w:szCs w:val="21"/>
                <w:color w:val="auto"/>
              </w:rPr>
            </w:pPr>
          </w:p>
        </w:tc>
        <w:tc>
          <w:tcPr>
            <w:tcW w:w="438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Unregistered Sales of Equity Securities and Use of Proceeds</w:t>
              </w:r>
            </w:hyperlink>
          </w:p>
        </w:tc>
        <w:tc>
          <w:tcPr>
            <w:tcW w:w="4180" w:type="dxa"/>
            <w:vAlign w:val="bottom"/>
            <w:gridSpan w:val="4"/>
          </w:tcPr>
          <w:p>
            <w:pPr>
              <w:spacing w:after="0"/>
              <w:rPr>
                <w:sz w:val="21"/>
                <w:szCs w:val="21"/>
                <w:color w:val="auto"/>
              </w:rPr>
            </w:pPr>
          </w:p>
        </w:tc>
        <w:tc>
          <w:tcPr>
            <w:tcW w:w="1160" w:type="dxa"/>
            <w:vAlign w:val="bottom"/>
            <w:gridSpan w:val="3"/>
          </w:tcPr>
          <w:p>
            <w:pPr>
              <w:ind w:left="98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24</w:t>
              </w:r>
            </w:hyperlink>
          </w:p>
        </w:tc>
        <w:tc>
          <w:tcPr>
            <w:tcW w:w="160" w:type="dxa"/>
            <w:vAlign w:val="bottom"/>
          </w:tcPr>
          <w:p>
            <w:pPr>
              <w:spacing w:after="0"/>
              <w:rPr>
                <w:sz w:val="21"/>
                <w:szCs w:val="21"/>
                <w:color w:val="auto"/>
              </w:rPr>
            </w:pPr>
          </w:p>
        </w:tc>
      </w:tr>
      <w:tr>
        <w:trPr>
          <w:trHeight w:val="250"/>
        </w:trPr>
        <w:tc>
          <w:tcPr>
            <w:tcW w:w="880" w:type="dxa"/>
            <w:vAlign w:val="bottom"/>
            <w:gridSpan w:val="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3.</w:t>
              </w:r>
            </w:hyperlink>
          </w:p>
        </w:tc>
        <w:tc>
          <w:tcPr>
            <w:tcW w:w="8560" w:type="dxa"/>
            <w:vAlign w:val="bottom"/>
            <w:gridSpan w:val="1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Defaults Upon Senior Securities</w:t>
              </w:r>
            </w:hyperlink>
          </w:p>
        </w:tc>
        <w:tc>
          <w:tcPr>
            <w:tcW w:w="1160" w:type="dxa"/>
            <w:vAlign w:val="bottom"/>
            <w:gridSpan w:val="3"/>
          </w:tcPr>
          <w:p>
            <w:pPr>
              <w:ind w:left="98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24</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tcBorders>
              <w:bottom w:val="single" w:sz="8" w:color="0000FF"/>
            </w:tcBorders>
            <w:gridSpan w:val="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4.</w:t>
              </w:r>
            </w:hyperlink>
          </w:p>
        </w:tc>
        <w:tc>
          <w:tcPr>
            <w:tcW w:w="60" w:type="dxa"/>
            <w:vAlign w:val="bottom"/>
          </w:tcPr>
          <w:p>
            <w:pPr>
              <w:spacing w:after="0"/>
              <w:rPr>
                <w:sz w:val="21"/>
                <w:szCs w:val="21"/>
                <w:color w:val="auto"/>
              </w:rPr>
            </w:pPr>
          </w:p>
        </w:tc>
        <w:tc>
          <w:tcPr>
            <w:tcW w:w="17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Mine Safety Disclosures</w:t>
              </w:r>
            </w:hyperlink>
          </w:p>
        </w:tc>
        <w:tc>
          <w:tcPr>
            <w:tcW w:w="6780" w:type="dxa"/>
            <w:vAlign w:val="bottom"/>
            <w:gridSpan w:val="8"/>
          </w:tcPr>
          <w:p>
            <w:pPr>
              <w:spacing w:after="0"/>
              <w:rPr>
                <w:sz w:val="21"/>
                <w:szCs w:val="21"/>
                <w:color w:val="auto"/>
              </w:rPr>
            </w:pPr>
          </w:p>
        </w:tc>
        <w:tc>
          <w:tcPr>
            <w:tcW w:w="1160" w:type="dxa"/>
            <w:vAlign w:val="bottom"/>
            <w:gridSpan w:val="3"/>
          </w:tcPr>
          <w:p>
            <w:pPr>
              <w:ind w:left="980"/>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25</w:t>
              </w:r>
            </w:hyperlink>
          </w:p>
        </w:tc>
        <w:tc>
          <w:tcPr>
            <w:tcW w:w="160" w:type="dxa"/>
            <w:vAlign w:val="bottom"/>
          </w:tcPr>
          <w:p>
            <w:pPr>
              <w:spacing w:after="0"/>
              <w:rPr>
                <w:sz w:val="21"/>
                <w:szCs w:val="21"/>
                <w:color w:val="auto"/>
              </w:rPr>
            </w:pPr>
          </w:p>
        </w:tc>
      </w:tr>
      <w:tr>
        <w:trPr>
          <w:trHeight w:val="250"/>
        </w:trPr>
        <w:tc>
          <w:tcPr>
            <w:tcW w:w="880" w:type="dxa"/>
            <w:vAlign w:val="bottom"/>
            <w:gridSpan w:val="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5.</w:t>
              </w:r>
            </w:hyperlink>
          </w:p>
        </w:tc>
        <w:tc>
          <w:tcPr>
            <w:tcW w:w="8560" w:type="dxa"/>
            <w:vAlign w:val="bottom"/>
            <w:gridSpan w:val="1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Other Information</w:t>
              </w:r>
            </w:hyperlink>
          </w:p>
        </w:tc>
        <w:tc>
          <w:tcPr>
            <w:tcW w:w="1160" w:type="dxa"/>
            <w:vAlign w:val="bottom"/>
            <w:gridSpan w:val="3"/>
          </w:tcPr>
          <w:p>
            <w:pPr>
              <w:ind w:left="98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25</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240" w:type="dxa"/>
            <w:vAlign w:val="bottom"/>
            <w:gridSpan w:val="1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80" w:type="dxa"/>
            <w:vAlign w:val="bottom"/>
            <w:gridSpan w:val="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6.</w:t>
              </w:r>
            </w:hyperlink>
          </w:p>
        </w:tc>
        <w:tc>
          <w:tcPr>
            <w:tcW w:w="8560" w:type="dxa"/>
            <w:vAlign w:val="bottom"/>
            <w:gridSpan w:val="1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Exhibits</w:t>
              </w:r>
            </w:hyperlink>
          </w:p>
        </w:tc>
        <w:tc>
          <w:tcPr>
            <w:tcW w:w="1160" w:type="dxa"/>
            <w:vAlign w:val="bottom"/>
            <w:gridSpan w:val="3"/>
          </w:tcPr>
          <w:p>
            <w:pPr>
              <w:ind w:left="980"/>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25</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tcBorders>
              <w:bottom w:val="single" w:sz="8" w:color="0000FF"/>
            </w:tcBorders>
            <w:gridSpan w:val="4"/>
          </w:tcPr>
          <w:p>
            <w:pPr>
              <w:spacing w:after="0"/>
              <w:rPr>
                <w:rFonts w:ascii="Arial" w:cs="Arial" w:eastAsia="Arial" w:hAnsi="Arial"/>
                <w:sz w:val="18"/>
                <w:szCs w:val="18"/>
                <w:b w:val="1"/>
                <w:bCs w:val="1"/>
                <w:color w:val="0000FF"/>
                <w:w w:val="85"/>
              </w:rPr>
            </w:pPr>
            <w:hyperlink w:anchor="page27">
              <w:r>
                <w:rPr>
                  <w:rFonts w:ascii="Arial" w:cs="Arial" w:eastAsia="Arial" w:hAnsi="Arial"/>
                  <w:sz w:val="18"/>
                  <w:szCs w:val="18"/>
                  <w:b w:val="1"/>
                  <w:bCs w:val="1"/>
                  <w:color w:val="0000FF"/>
                  <w:w w:val="85"/>
                </w:rPr>
                <w:t>Signatures</w:t>
              </w:r>
            </w:hyperlink>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26</w:t>
              </w:r>
            </w:hyperlink>
          </w:p>
        </w:tc>
        <w:tc>
          <w:tcPr>
            <w:tcW w:w="160" w:type="dxa"/>
            <w:vAlign w:val="bottom"/>
          </w:tcPr>
          <w:p>
            <w:pPr>
              <w:spacing w:after="0"/>
              <w:rPr>
                <w:sz w:val="24"/>
                <w:szCs w:val="24"/>
                <w:color w:val="auto"/>
              </w:rPr>
            </w:pPr>
          </w:p>
        </w:tc>
      </w:tr>
      <w:tr>
        <w:trPr>
          <w:trHeight w:val="250"/>
        </w:trPr>
        <w:tc>
          <w:tcPr>
            <w:tcW w:w="1320" w:type="dxa"/>
            <w:vAlign w:val="bottom"/>
            <w:tcBorders>
              <w:bottom w:val="single" w:sz="8" w:color="0000FF"/>
            </w:tcBorders>
            <w:gridSpan w:val="6"/>
          </w:tcPr>
          <w:p>
            <w:pPr>
              <w:spacing w:after="0"/>
              <w:rPr>
                <w:rFonts w:ascii="Arial" w:cs="Arial" w:eastAsia="Arial" w:hAnsi="Arial"/>
                <w:sz w:val="18"/>
                <w:szCs w:val="18"/>
                <w:b w:val="1"/>
                <w:bCs w:val="1"/>
                <w:color w:val="0000FF"/>
                <w:w w:val="90"/>
              </w:rPr>
            </w:pPr>
            <w:hyperlink w:anchor="page28">
              <w:r>
                <w:rPr>
                  <w:rFonts w:ascii="Arial" w:cs="Arial" w:eastAsia="Arial" w:hAnsi="Arial"/>
                  <w:sz w:val="18"/>
                  <w:szCs w:val="18"/>
                  <w:b w:val="1"/>
                  <w:bCs w:val="1"/>
                  <w:color w:val="0000FF"/>
                  <w:w w:val="90"/>
                </w:rPr>
                <w:t>Index to Exhibits</w:t>
              </w:r>
            </w:hyperlink>
          </w:p>
        </w:tc>
        <w:tc>
          <w:tcPr>
            <w:tcW w:w="8120" w:type="dxa"/>
            <w:vAlign w:val="bottom"/>
            <w:gridSpan w:val="14"/>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27</w:t>
              </w:r>
            </w:hyperlink>
          </w:p>
        </w:tc>
        <w:tc>
          <w:tcPr>
            <w:tcW w:w="160" w:type="dxa"/>
            <w:vAlign w:val="bottom"/>
          </w:tcPr>
          <w:p>
            <w:pPr>
              <w:spacing w:after="0"/>
              <w:rPr>
                <w:sz w:val="21"/>
                <w:szCs w:val="21"/>
                <w:color w:val="auto"/>
              </w:rPr>
            </w:pPr>
          </w:p>
        </w:tc>
      </w:tr>
    </w:tbl>
    <w:p>
      <w:pPr>
        <w:sectPr>
          <w:pgSz w:w="11900" w:h="16838" w:orient="portrait"/>
          <w:cols w:equalWidth="0" w:num="1">
            <w:col w:w="10760"/>
          </w:cols>
          <w:pgMar w:left="280" w:top="580" w:right="8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w:t>
            </w:r>
          </w:p>
        </w:tc>
        <w:tc>
          <w:tcPr>
            <w:tcW w:w="18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April 26,</w:t>
            </w:r>
          </w:p>
        </w:tc>
      </w:tr>
      <w:tr>
        <w:trPr>
          <w:trHeight w:val="234"/>
        </w:trPr>
        <w:tc>
          <w:tcPr>
            <w:tcW w:w="8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r>
      <w:tr>
        <w:trPr>
          <w:trHeight w:val="27"/>
        </w:trPr>
        <w:tc>
          <w:tcPr>
            <w:tcW w:w="8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85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85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45,054</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514</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25,398</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86,511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82,500</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62,228</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33,400</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5,235</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6,758</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10,694</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Income tax receivables</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2,459</w:t>
            </w:r>
          </w:p>
        </w:tc>
      </w:tr>
      <w:tr>
        <w:trPr>
          <w:trHeight w:val="27"/>
        </w:trPr>
        <w:tc>
          <w:tcPr>
            <w:tcW w:w="8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288,868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274,240</w:t>
            </w:r>
          </w:p>
        </w:tc>
      </w:tr>
      <w:tr>
        <w:trPr>
          <w:trHeight w:val="277"/>
        </w:trPr>
        <w:tc>
          <w:tcPr>
            <w:tcW w:w="85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7,877</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4,558</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 net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Advertising rights, net and other assets</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826</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37"/>
        </w:trPr>
        <w:tc>
          <w:tcPr>
            <w:tcW w:w="85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17,941</w:t>
            </w:r>
          </w:p>
        </w:tc>
      </w:tr>
      <w:tr>
        <w:trPr>
          <w:trHeight w:val="27"/>
        </w:trPr>
        <w:tc>
          <w:tcPr>
            <w:tcW w:w="8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Land</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2,539</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Buildings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59,363</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Machinery and equipment</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75,745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72,787</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Office furniture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15,754</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Computer software and hardware</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45,329</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Equipment held for rental</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Demonstration equipment</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7,532</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 equipment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4,823</w:t>
            </w:r>
          </w:p>
        </w:tc>
      </w:tr>
      <w:tr>
        <w:trPr>
          <w:trHeight w:val="237"/>
        </w:trPr>
        <w:tc>
          <w:tcPr>
            <w:tcW w:w="85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214,834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208,995</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145,330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143,725</w:t>
            </w:r>
          </w:p>
        </w:tc>
      </w:tr>
      <w:tr>
        <w:trPr>
          <w:trHeight w:val="237"/>
        </w:trPr>
        <w:tc>
          <w:tcPr>
            <w:tcW w:w="85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69,504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65,270</w:t>
            </w:r>
          </w:p>
        </w:tc>
      </w:tr>
      <w:tr>
        <w:trPr>
          <w:trHeight w:val="27"/>
        </w:trPr>
        <w:tc>
          <w:tcPr>
            <w:tcW w:w="8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375,172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357,451</w:t>
            </w:r>
          </w:p>
        </w:tc>
      </w:tr>
      <w:tr>
        <w:trPr>
          <w:trHeight w:val="20"/>
        </w:trPr>
        <w:tc>
          <w:tcPr>
            <w:tcW w:w="8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02373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373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240" w:top="121" w:right="59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August 2,</w:t>
            </w:r>
          </w:p>
        </w:tc>
        <w:tc>
          <w:tcPr>
            <w:tcW w:w="18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April 26,</w:t>
            </w:r>
          </w:p>
        </w:tc>
      </w:tr>
      <w:tr>
        <w:trPr>
          <w:trHeight w:val="234"/>
        </w:trPr>
        <w:tc>
          <w:tcPr>
            <w:tcW w:w="8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r>
      <w:tr>
        <w:trPr>
          <w:trHeight w:val="27"/>
        </w:trPr>
        <w:tc>
          <w:tcPr>
            <w:tcW w:w="8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850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49,087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45,913</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23,462</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14,476</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22,483</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Customer deposits (billed or collected)</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20,917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17,654</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 (billed or collected)</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7,722</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809</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8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143,122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133,708</w:t>
            </w:r>
          </w:p>
        </w:tc>
      </w:tr>
      <w:tr>
        <w:trPr>
          <w:trHeight w:val="277"/>
        </w:trPr>
        <w:tc>
          <w:tcPr>
            <w:tcW w:w="85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warranty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12,774</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4,978</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obligations, less current maturities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20,624</w:t>
            </w:r>
          </w:p>
        </w:tc>
      </w:tr>
      <w:tr>
        <w:trPr>
          <w:trHeight w:val="237"/>
        </w:trPr>
        <w:tc>
          <w:tcPr>
            <w:tcW w:w="85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165,997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154,332</w:t>
            </w:r>
          </w:p>
        </w:tc>
      </w:tr>
      <w:tr>
        <w:trPr>
          <w:trHeight w:val="27"/>
        </w:trPr>
        <w:tc>
          <w:tcPr>
            <w:tcW w:w="8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8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no par value, authorized 120,000,000 shares; 43,268,011 and 43,166,731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85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shares issued at August 2, 2014 and April 26, 2014,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43,935</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29,923</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129,266</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Treasury stock, at cost, 19,680 shares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85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209,175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203,119</w:t>
            </w:r>
          </w:p>
        </w:tc>
      </w:tr>
      <w:tr>
        <w:trPr>
          <w:trHeight w:val="27"/>
        </w:trPr>
        <w:tc>
          <w:tcPr>
            <w:tcW w:w="8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375,172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357,451</w:t>
            </w:r>
          </w:p>
        </w:tc>
      </w:tr>
      <w:tr>
        <w:trPr>
          <w:trHeight w:val="20"/>
        </w:trPr>
        <w:tc>
          <w:tcPr>
            <w:tcW w:w="8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02373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73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060"/>
          </w:cols>
          <w:pgMar w:left="240" w:top="12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060"/>
          </w:cols>
          <w:pgMar w:left="240" w:top="122" w:right="59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53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5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53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53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5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18"/>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w:t>
            </w: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27,</w:t>
            </w:r>
          </w:p>
        </w:tc>
      </w:tr>
      <w:tr>
        <w:trPr>
          <w:trHeight w:val="234"/>
        </w:trPr>
        <w:tc>
          <w:tcPr>
            <w:tcW w:w="5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166,618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138,722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123,215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103,221</w:t>
            </w:r>
          </w:p>
        </w:tc>
        <w:tc>
          <w:tcPr>
            <w:tcW w:w="200" w:type="dxa"/>
            <w:vAlign w:val="bottom"/>
          </w:tcPr>
          <w:p>
            <w:pPr>
              <w:spacing w:after="0"/>
              <w:rPr>
                <w:sz w:val="21"/>
                <w:szCs w:val="2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43,403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35,501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84"/>
        </w:trPr>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15,046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13,617</w:t>
            </w:r>
          </w:p>
        </w:tc>
        <w:tc>
          <w:tcPr>
            <w:tcW w:w="20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7,299</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6,803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5,989</w:t>
            </w:r>
          </w:p>
        </w:tc>
        <w:tc>
          <w:tcPr>
            <w:tcW w:w="200" w:type="dxa"/>
            <w:vAlign w:val="bottom"/>
          </w:tcPr>
          <w:p>
            <w:pPr>
              <w:spacing w:after="0"/>
              <w:rPr>
                <w:sz w:val="21"/>
                <w:szCs w:val="2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64"/>
        </w:trPr>
        <w:tc>
          <w:tcPr>
            <w:tcW w:w="5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29,786</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26,905</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37"/>
        </w:trPr>
        <w:tc>
          <w:tcPr>
            <w:tcW w:w="566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13,617</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8,596</w:t>
            </w:r>
          </w:p>
        </w:tc>
        <w:tc>
          <w:tcPr>
            <w:tcW w:w="200" w:type="dxa"/>
            <w:vAlign w:val="bottom"/>
          </w:tcPr>
          <w:p>
            <w:pPr>
              <w:spacing w:after="0"/>
              <w:rPr>
                <w:sz w:val="20"/>
                <w:szCs w:val="20"/>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77"/>
        </w:trPr>
        <w:tc>
          <w:tcPr>
            <w:tcW w:w="5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77"/>
        </w:trPr>
        <w:tc>
          <w:tcPr>
            <w:tcW w:w="56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4,932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2,712</w:t>
            </w:r>
          </w:p>
        </w:tc>
        <w:tc>
          <w:tcPr>
            <w:tcW w:w="200" w:type="dxa"/>
            <w:vAlign w:val="bottom"/>
          </w:tcPr>
          <w:p>
            <w:pPr>
              <w:spacing w:after="0"/>
              <w:rPr>
                <w:sz w:val="21"/>
                <w:szCs w:val="2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8,745</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5,720</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1"/>
        </w:trPr>
        <w:tc>
          <w:tcPr>
            <w:tcW w:w="5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43,261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42,528</w:t>
            </w:r>
          </w:p>
        </w:tc>
        <w:tc>
          <w:tcPr>
            <w:tcW w:w="20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43,641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42,766</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84"/>
        </w:trPr>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21"/>
                <w:szCs w:val="2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64"/>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77"/>
        </w:trPr>
        <w:tc>
          <w:tcPr>
            <w:tcW w:w="56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 declared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0.120</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84"/>
        </w:trPr>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459"/>
        </w:trPr>
        <w:tc>
          <w:tcPr>
            <w:tcW w:w="56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3</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219"/>
          </w:cols>
          <w:pgMar w:left="240" w:top="122" w:right="1440"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5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5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5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5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5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18"/>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2,</w:t>
            </w: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27,</w:t>
            </w:r>
          </w:p>
        </w:tc>
      </w:tr>
      <w:tr>
        <w:trPr>
          <w:trHeight w:val="234"/>
        </w:trPr>
        <w:tc>
          <w:tcPr>
            <w:tcW w:w="5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r>
      <w:tr>
        <w:trPr>
          <w:trHeight w:val="27"/>
        </w:trPr>
        <w:tc>
          <w:tcPr>
            <w:tcW w:w="5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77"/>
        </w:trPr>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5,720</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84"/>
        </w:trPr>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29"/>
        </w:trPr>
        <w:tc>
          <w:tcPr>
            <w:tcW w:w="5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gain (loss) on available-for-sale securities, net of</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57"/>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color w:val="auto"/>
              </w:rPr>
              <w:t>Total other comprehensive loss, net of tax</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8,601</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5,722</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55143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434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1" w:right="1440"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27,</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68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43"/>
        </w:trPr>
        <w:tc>
          <w:tcPr>
            <w:tcW w:w="86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43"/>
        </w:trPr>
        <w:tc>
          <w:tcPr>
            <w:tcW w:w="868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premium/discount on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8680" w:type="dxa"/>
            <w:vAlign w:val="bottom"/>
          </w:tcPr>
          <w:p>
            <w:pPr>
              <w:ind w:left="720"/>
              <w:spacing w:after="0"/>
              <w:rPr>
                <w:sz w:val="20"/>
                <w:szCs w:val="20"/>
                <w:color w:val="auto"/>
              </w:rPr>
            </w:pPr>
            <w:r>
              <w:rPr>
                <w:rFonts w:ascii="Arial" w:cs="Arial" w:eastAsia="Arial" w:hAnsi="Arial"/>
                <w:sz w:val="18"/>
                <w:szCs w:val="18"/>
                <w:color w:val="auto"/>
              </w:rPr>
              <w:t>(Gain) loss on sale of property, equipment and other assets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8680" w:type="dxa"/>
            <w:vAlign w:val="bottom"/>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43"/>
        </w:trPr>
        <w:tc>
          <w:tcPr>
            <w:tcW w:w="868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12,026</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(14,924)</w:t>
            </w:r>
          </w:p>
        </w:tc>
        <w:tc>
          <w:tcPr>
            <w:tcW w:w="0" w:type="dxa"/>
            <w:vAlign w:val="bottom"/>
          </w:tcPr>
          <w:p>
            <w:pPr>
              <w:spacing w:after="0"/>
              <w:rPr>
                <w:sz w:val="1"/>
                <w:szCs w:val="1"/>
                <w:color w:val="auto"/>
              </w:rPr>
            </w:pPr>
          </w:p>
        </w:tc>
      </w:tr>
      <w:tr>
        <w:trPr>
          <w:trHeight w:val="237"/>
        </w:trPr>
        <w:tc>
          <w:tcPr>
            <w:tcW w:w="8680" w:type="dxa"/>
            <w:vAlign w:val="bottom"/>
          </w:tcPr>
          <w:p>
            <w:pPr>
              <w:ind w:left="9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24,461</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43"/>
        </w:trPr>
        <w:tc>
          <w:tcPr>
            <w:tcW w:w="8680" w:type="dxa"/>
            <w:vAlign w:val="bottom"/>
          </w:tcPr>
          <w:p>
            <w:pPr>
              <w:ind w:left="720"/>
              <w:spacing w:after="0"/>
              <w:rPr>
                <w:sz w:val="20"/>
                <w:szCs w:val="20"/>
                <w:color w:val="auto"/>
              </w:rPr>
            </w:pPr>
            <w:r>
              <w:rPr>
                <w:rFonts w:ascii="Arial" w:cs="Arial" w:eastAsia="Arial" w:hAnsi="Arial"/>
                <w:sz w:val="18"/>
                <w:szCs w:val="18"/>
                <w:color w:val="auto"/>
              </w:rPr>
              <w:t>Proceeds from sale of property, equipment and other assets</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3,509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43"/>
        </w:trPr>
        <w:tc>
          <w:tcPr>
            <w:tcW w:w="8680" w:type="dxa"/>
            <w:vAlign w:val="bottom"/>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1,389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 net of cash acquired</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37"/>
        </w:trPr>
        <w:tc>
          <w:tcPr>
            <w:tcW w:w="8680" w:type="dxa"/>
            <w:vAlign w:val="bottom"/>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(5,340)</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8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68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37"/>
        </w:trPr>
        <w:tc>
          <w:tcPr>
            <w:tcW w:w="8680" w:type="dxa"/>
            <w:vAlign w:val="bottom"/>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(4,146)</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(18,506)</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45,054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40,628</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60,058</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22,122</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380"/>
              <w:spacing w:after="0"/>
              <w:rPr>
                <w:sz w:val="20"/>
                <w:szCs w:val="20"/>
                <w:color w:val="auto"/>
              </w:rPr>
            </w:pPr>
            <w:r>
              <w:rPr>
                <w:rFonts w:ascii="Arial" w:cs="Arial" w:eastAsia="Arial" w:hAnsi="Arial"/>
                <w:sz w:val="18"/>
                <w:szCs w:val="18"/>
                <w:color w:val="auto"/>
              </w:rPr>
              <w:t>Cash payments for:</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680" w:type="dxa"/>
            <w:vAlign w:val="bottom"/>
          </w:tcPr>
          <w:p>
            <w:pPr>
              <w:ind w:left="720"/>
              <w:spacing w:after="0"/>
              <w:rPr>
                <w:sz w:val="20"/>
                <w:szCs w:val="20"/>
                <w:color w:val="auto"/>
              </w:rPr>
            </w:pPr>
            <w:r>
              <w:rPr>
                <w:rFonts w:ascii="Arial" w:cs="Arial" w:eastAsia="Arial" w:hAnsi="Arial"/>
                <w:sz w:val="18"/>
                <w:szCs w:val="18"/>
                <w:color w:val="auto"/>
              </w:rPr>
              <w:t>Income taxes, net of refunds</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4,420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8680" w:type="dxa"/>
            <w:vAlign w:val="bottom"/>
          </w:tcPr>
          <w:p>
            <w:pPr>
              <w:ind w:left="38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2,327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Contributions of common stock under the employee stock purchase plan</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1" w:right="239" w:bottom="381"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381"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affecting the reported amounts therein. Due to the inherent uncertainty involved in making estimates, actual results in future periods may differ from those estimates.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April 26, 2014 has been derived from the audited financial statements at that date, but it does not include all of the information and footnotes required by generally accepted accounting principles for complete financial statements. These financial statements should be read in conjunction with our financial statements and notes thereto for the year ended April 26, 2014,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Daktronics, Inc. operates on a 52 to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each of the last three quarters is comprised of a 13 week period, and an additional week is added to the first quarter of that fiscal year. The fiscal year ended April 26, 2014 consisted of 52 weeks. Fiscal 2015 will be a 53-week year; therefore, the quarter ended August 2, 2014 contains operating results for 14 weeks while the quarter ended July 27, 2013 contains operating results for 13 weeks.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April 2014, the Financial Accounting Standards Board ("FASB") issued Accounting Standards Update ("ASU") 2014-08, </w:t>
      </w:r>
      <w:r>
        <w:rPr>
          <w:rFonts w:ascii="Arial" w:cs="Arial" w:eastAsia="Arial" w:hAnsi="Arial"/>
          <w:sz w:val="18"/>
          <w:szCs w:val="18"/>
          <w:i w:val="1"/>
          <w:iCs w:val="1"/>
          <w:color w:val="auto"/>
        </w:rPr>
        <w:t>Presentation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(Topic 205) and Property, Plant and Equipment (Topic 360): Reporting Discontinued Operations and Disclosures of Disposals of Components of an Entity</w:t>
      </w:r>
      <w:r>
        <w:rPr>
          <w:rFonts w:ascii="Arial" w:cs="Arial" w:eastAsia="Arial" w:hAnsi="Arial"/>
          <w:sz w:val="18"/>
          <w:szCs w:val="18"/>
          <w:color w:val="auto"/>
        </w:rPr>
        <w:t>. ASU 2014-08 changes the criteria for determining which disposals should be presented as discontinued operations and modifies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Additionally, the new guidance requires that a business that qualifies as held for sale upon acquisition should be reported as discontinued operations. The new guidance is effective for us beginning in fiscal 2016 and applies prospectively to new disposals and new classifications of disposal groups as held for sale after the effective date. We do not expect the adoption of this guidance to have a material impact on our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 a new topic, Accounting Standards Codification ("ASC") 606. The new revenue recognition standard provides a five-step analysis of transactions to determine when and how revenue is recognized. The core principle of the guidance is that a company should recognize revenue to depict the transfer of promised goods or services to customers in an amount that reflects the consideration to which the entity expects to be entitled in exchange for those goods or services. The new standard will also result in enhanced disclosures about revenue, provide guidance for transactions that were not previously addressed comprehensively, and improve guidance for multiple-element arrangements. ASU 2014-09 is effective for us beginning in fiscal 2018 and can be adopted either retrospectively or as a cumulative-effect adjustment as of the date of adoption. We are currently evaluating the effect that adopting this new accounting guidance will have on our consolidated results of operations, cash flows, and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("EPS")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attributable to common shareholders by the weighted average number of common shares outstanding for the period. Diluted EPS reflects the potential dilution if securities or other obligations to issue common stock were exercised or converted into common stock or resulted in the issuance of common stock sharing in our earnings.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income and common share amounts used in the calculation of basic and diluted EPS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2, 2014 and July 27,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146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Per share income</w:t>
            </w:r>
          </w:p>
        </w:tc>
        <w:tc>
          <w:tcPr>
            <w:tcW w:w="0" w:type="dxa"/>
            <w:vAlign w:val="bottom"/>
          </w:tcPr>
          <w:p>
            <w:pPr>
              <w:spacing w:after="0"/>
              <w:rPr>
                <w:sz w:val="1"/>
                <w:szCs w:val="1"/>
                <w:color w:val="auto"/>
              </w:rPr>
            </w:pPr>
          </w:p>
        </w:tc>
      </w:tr>
      <w:tr>
        <w:trPr>
          <w:trHeight w:val="27"/>
        </w:trPr>
        <w:tc>
          <w:tcPr>
            <w:tcW w:w="64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August 2, 2014:</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43,261</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43"/>
        </w:trPr>
        <w:tc>
          <w:tcPr>
            <w:tcW w:w="648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8,745</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43,641</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July 27, 2013:</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42,528</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43"/>
        </w:trPr>
        <w:tc>
          <w:tcPr>
            <w:tcW w:w="648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5,720</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42,766</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1,455 shares of common stock with a weighted average exercise price of $18.51 for the three months ended August 2, 2014 and 2,267 shares of common stock with a weighted average exercise price of $16.04 for the three months ended July 27, 2013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High School Park and Recreation, Transportation, and International business units. These segments are based on the type of customer or geography.</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Commercial business unit primarily consists of sales of our video display systems, digital billboards,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Fuelight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to resellers (primarily sign companies), outdoor advertisers,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(formerly known as our Schools and Theatres business unit) primarily consists of sales of scoring systems,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displays and video display systems to primary and secondary education facilities. Upon the sale of our automated rigging systems for theatre applications we, change the name of this business unit. There was no change to the composition of the segment. Our Transportation business unit primarily consists of sales of our Vanguard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to governmental transportation departments, airlines and other transportation related customers. Our International business unit consists of sales of all product lines outside the United States and Canada.</w:t>
      </w:r>
    </w:p>
    <w:p>
      <w:pPr>
        <w:spacing w:after="0" w:line="2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excluding the portion related to non-allocated costs, are allocated to each segment based on various financial measures. In general, our segments follow the same accounting policies as those described in Note 1 of our Annual Report on Form 10-K for the fiscal year ended April 26, 2014. Unabsorbed costs of domestic field sales and services infrastructure, including most field administrative staff, are allocated to the Commercial, Live Events, Transportation, and High School Park and Recreation business units based on cost of sales. Shared manufacturing, building and utilities, and procurement costs are allocated based on payroll dollars, square footage and various other financial measures.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financial information for each of our five operating segments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w:t>
            </w:r>
          </w:p>
        </w:tc>
        <w:tc>
          <w:tcPr>
            <w:tcW w:w="26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27,</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39,782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33,701</w:t>
            </w: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75,674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55,077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17,917</w:t>
            </w: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13,313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13,042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17,738</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18,985</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166,618</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138,722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Contribution margin:</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12,047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28,357</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21,884</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5,989</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8,596</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13,677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8,432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97"/>
        </w:trPr>
        <w:tc>
          <w:tcPr>
            <w:tcW w:w="5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8,745</w:t>
            </w:r>
          </w:p>
        </w:tc>
        <w:tc>
          <w:tcPr>
            <w:tcW w:w="2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Unallocated corporate depreciation</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77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1" w:right="1440"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net of accumulated depreciation other than the United States. The following table presents information about net sales and long-lived assets in the United States and elsewhere: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w:t>
            </w:r>
          </w:p>
        </w:tc>
        <w:tc>
          <w:tcPr>
            <w:tcW w:w="24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27,</w:t>
            </w: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115,770</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24,788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22,952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138,722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62" w:lineRule="exact"/>
        <w:rPr>
          <w:sz w:val="20"/>
          <w:szCs w:val="20"/>
          <w:color w:val="auto"/>
        </w:rPr>
      </w:pPr>
    </w:p>
    <w:p>
      <w:pPr>
        <w:ind w:left="5900"/>
        <w:spacing w:after="0"/>
        <w:rPr>
          <w:sz w:val="20"/>
          <w:szCs w:val="20"/>
          <w:color w:val="auto"/>
        </w:rPr>
      </w:pPr>
      <w:r>
        <w:rPr>
          <w:rFonts w:ascii="Arial" w:cs="Arial" w:eastAsia="Arial" w:hAnsi="Arial"/>
          <w:sz w:val="16"/>
          <w:szCs w:val="16"/>
          <w:b w:val="1"/>
          <w:bCs w:val="1"/>
          <w:color w:val="auto"/>
        </w:rPr>
        <w:t>August 2,</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22860</wp:posOffset>
            </wp:positionV>
            <wp:extent cx="892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26,</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22860</wp:posOffset>
            </wp:positionV>
            <wp:extent cx="892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720" w:space="720"/>
            <w:col w:w="39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Long-lived assets:</w:t>
            </w: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60,846</w:t>
            </w: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4,424</w:t>
            </w:r>
          </w:p>
        </w:tc>
      </w:tr>
      <w:tr>
        <w:trPr>
          <w:trHeight w:val="27"/>
        </w:trPr>
        <w:tc>
          <w:tcPr>
            <w:tcW w:w="5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69,504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65,270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have numerous customers worldwide for sales of our products and services; therefore, we are not economically dependent on a limited number of customers for the sale of our products and services except with respect to our dependence on a few large digital billboard customers in our Commercial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Marketable securities classified as available-for-sale are reported at fair value with unrealized gains or losses, net of tax, reported in accumulated other comprehensive (loss) income. As it relates to fixed income marketable securities, we do not intend to sell any of these investments, and it is not more-likely-than-not we will be required to sell any of these investments before recovery of the entire amortized cost basis. In addition, as of August 2, 2014,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August 2, 2014 and April 26, 2014,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Gains</w:t>
            </w: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rPr>
              <w:t>Unrealized Losses</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August 2, 2014:</w:t>
            </w: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7,962</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7,962</w:t>
            </w:r>
          </w:p>
        </w:tc>
        <w:tc>
          <w:tcPr>
            <w:tcW w:w="0" w:type="dxa"/>
            <w:vAlign w:val="bottom"/>
          </w:tcPr>
          <w:p>
            <w:pPr>
              <w:spacing w:after="0"/>
              <w:rPr>
                <w:sz w:val="1"/>
                <w:szCs w:val="1"/>
                <w:color w:val="auto"/>
              </w:rPr>
            </w:pPr>
          </w:p>
        </w:tc>
      </w:tr>
      <w:tr>
        <w:trPr>
          <w:trHeight w:val="243"/>
        </w:trPr>
        <w:tc>
          <w:tcPr>
            <w:tcW w:w="426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9,149</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9,138</w:t>
            </w:r>
          </w:p>
        </w:tc>
        <w:tc>
          <w:tcPr>
            <w:tcW w:w="0" w:type="dxa"/>
            <w:vAlign w:val="bottom"/>
          </w:tcPr>
          <w:p>
            <w:pPr>
              <w:spacing w:after="0"/>
              <w:rPr>
                <w:sz w:val="1"/>
                <w:szCs w:val="1"/>
                <w:color w:val="auto"/>
              </w:rPr>
            </w:pPr>
          </w:p>
        </w:tc>
      </w:tr>
      <w:tr>
        <w:trPr>
          <w:trHeight w:val="243"/>
        </w:trPr>
        <w:tc>
          <w:tcPr>
            <w:tcW w:w="426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6,865</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6,877</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25,476</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25,479</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7,734</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43"/>
        </w:trPr>
        <w:tc>
          <w:tcPr>
            <w:tcW w:w="426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8,349</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43"/>
        </w:trPr>
        <w:tc>
          <w:tcPr>
            <w:tcW w:w="426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7,309</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25,392</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(expense) income, net. Upon the sale of a security classified as available-for-sale, the security’s specific unrealized gain (loss) is reclassified out of "accumulated other comprehensive (loss) income” and into earnings based on the specific identification method. In the three months ended August 2, 2014 and July 27, 2013, the reclassifications from accumulated other comprehensive (loss) income to net assets were immaterial. Realized gains and losses on sales or maturities of investments were immaterial in the three months ended August 2, 2014 and July 27, 2013.</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August 2, 2014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months</w:t>
            </w:r>
          </w:p>
        </w:tc>
        <w:tc>
          <w:tcPr>
            <w:tcW w:w="24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1,502</w:t>
            </w: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Municipal obligations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3,779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3,098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6,877</w:t>
            </w:r>
          </w:p>
        </w:tc>
      </w:tr>
      <w:tr>
        <w:trPr>
          <w:trHeight w:val="27"/>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16,746</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25,479</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Sale of Theatre Rigging Manufacturing</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July 2014, we sold our automated rigging systems for theatre applications. Related to the sale, we recorded a $1.3 million gain which is included in cost of goods sold in the High School Park and Recreation business unit. In connection with the sale, we changed the name of the business unit to more accurately describe it.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part of the transaction, we sold assets of $2.8 million that primarily consisted of accounts receivable, patents, inventory, and manufacturing equipment net of $0.4 million of accounts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three months ended August 2, 2014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4,558</w:t>
            </w:r>
          </w:p>
        </w:tc>
      </w:tr>
      <w:tr>
        <w:trPr>
          <w:trHeight w:val="229"/>
        </w:trPr>
        <w:tc>
          <w:tcPr>
            <w:tcW w:w="3680" w:type="dxa"/>
            <w:vAlign w:val="bottom"/>
          </w:tcPr>
          <w:p>
            <w:pPr>
              <w:ind w:left="280"/>
              <w:spacing w:after="0"/>
              <w:rPr>
                <w:sz w:val="20"/>
                <w:szCs w:val="20"/>
                <w:color w:val="auto"/>
              </w:rPr>
            </w:pPr>
            <w:r>
              <w:rPr>
                <w:rFonts w:ascii="Arial" w:cs="Arial" w:eastAsia="Arial" w:hAnsi="Arial"/>
                <w:sz w:val="18"/>
                <w:szCs w:val="18"/>
                <w:color w:val="auto"/>
              </w:rPr>
              <w:t>Disposal of automated rigging systems for</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680" w:type="dxa"/>
            <w:vAlign w:val="bottom"/>
          </w:tcPr>
          <w:p>
            <w:pPr>
              <w:ind w:left="280"/>
              <w:spacing w:after="0"/>
              <w:rPr>
                <w:sz w:val="20"/>
                <w:szCs w:val="20"/>
                <w:color w:val="auto"/>
              </w:rPr>
            </w:pPr>
            <w:r>
              <w:rPr>
                <w:rFonts w:ascii="Arial" w:cs="Arial" w:eastAsia="Arial" w:hAnsi="Arial"/>
                <w:sz w:val="18"/>
                <w:szCs w:val="18"/>
                <w:color w:val="auto"/>
              </w:rPr>
              <w:t>theatre applications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57"/>
        </w:trPr>
        <w:tc>
          <w:tcPr>
            <w:tcW w:w="3680" w:type="dxa"/>
            <w:vAlign w:val="bottom"/>
          </w:tcPr>
          <w:p>
            <w:pPr>
              <w:ind w:left="40"/>
              <w:spacing w:after="0"/>
              <w:rPr>
                <w:sz w:val="20"/>
                <w:szCs w:val="20"/>
                <w:color w:val="auto"/>
              </w:rPr>
            </w:pPr>
            <w:r>
              <w:rPr>
                <w:rFonts w:ascii="Arial" w:cs="Arial" w:eastAsia="Arial" w:hAnsi="Arial"/>
                <w:sz w:val="18"/>
                <w:szCs w:val="18"/>
                <w:b w:val="1"/>
                <w:bCs w:val="1"/>
                <w:color w:val="auto"/>
              </w:rPr>
              <w:t>Balance as of August 2, 2014: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4,506</w:t>
            </w:r>
          </w:p>
        </w:tc>
      </w:tr>
      <w:tr>
        <w:trPr>
          <w:trHeight w:val="20"/>
        </w:trPr>
        <w:tc>
          <w:tcPr>
            <w:tcW w:w="3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an analysis of goodwill on an annual basis. We complete this annual analysis during our third quarter of each fiscal year, based on the goodwill amount as of the first business day of our third quarter in fiscal 2014, which was October 27, 2013. The result of the analysis indicated no goodwill impairment existed as of that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Note 7. Inventories</w:t>
            </w: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2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w:t>
            </w:r>
          </w:p>
        </w:tc>
        <w:tc>
          <w:tcPr>
            <w:tcW w:w="220" w:type="dxa"/>
            <w:vAlign w:val="bottom"/>
          </w:tcPr>
          <w:p>
            <w:pPr>
              <w:spacing w:after="0"/>
              <w:rPr>
                <w:sz w:val="24"/>
                <w:szCs w:val="24"/>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26,</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27,660</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9,899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11,835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25,426</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22,733</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62,086</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62,228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60" w:type="dxa"/>
            <w:vAlign w:val="bottom"/>
            <w:vMerge w:val="restart"/>
          </w:tcPr>
          <w:p>
            <w:pPr>
              <w:jc w:val="right"/>
              <w:ind w:right="197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6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0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are reported net of an allowance for doubtful accounts of $2,633 and $2,539 at August 2, 2014 and April 26, 2014, respectively.</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certain sales transactions, we have entered into sales contracts with installment payments exceeding six months and sales-type leases. The present value of these contracts and leases is recorded as a receivable as the revenue is recognized in accordance with generally accepted accounting principles,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$11,841 and $13,112 as of August 2, 2014 and April 26, 2014, respectively. Contract and lease receivables bearing annual interest rates of 5.0 to 10.0 percent are due in varying annual installments through July 2022. The face amount of long-term receivables was $13,866 as of August 2, 2014 and $14,892 as of April 26, 2014. Included in accounts receivable as of August 2, 2014 and April 26, 2014 was $2,187 and $2,098, respectively, of retainage on construction-type contracts, all of which is expected to be collected within one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that has been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Loss Contingencies</w:t>
      </w:r>
      <w:r>
        <w:rPr>
          <w:rFonts w:ascii="Arial" w:cs="Arial" w:eastAsia="Arial" w:hAnsi="Arial"/>
          <w:sz w:val="17"/>
          <w:szCs w:val="17"/>
          <w:color w:val="auto"/>
        </w:rPr>
        <w:t>. Our assessment of whether a loss is reasonably possible or probable is based on our assessment and consultation with legal counsel regarding the ultimate outcome of the matter following all appeals.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2, 2014, we did not believe there was a reasonable probability any material loss for these various claims or legal actions, including reviews, inspections or other legal proceedings, if any, will be incurred. Accordingly, no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various customers, we have entered into contractual arrangements whereby we agreed to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equipment at the end of the lease term at a fixed price. Our total obligations under these fixed price arrangements were $1,100 as of August 2, 2014 and April 26, 2014. In accordance with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there is no guarantee liability in accrued expenses that needed to be recognized in connection with these arrangements.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offer a standard parts coverage warranty for periods varying from one to five years for most of our products. We also offer additional types</w:t>
      </w:r>
      <w:r>
        <w:rPr>
          <w:rFonts w:ascii="Arial" w:cs="Arial" w:eastAsia="Arial" w:hAnsi="Arial"/>
          <w:sz w:val="18"/>
          <w:szCs w:val="18"/>
          <w:i w:val="1"/>
          <w:iCs w:val="1"/>
          <w:color w:val="auto"/>
        </w:rPr>
        <w:t xml:space="preserve"> </w:t>
      </w:r>
      <w:r>
        <w:rPr>
          <w:rFonts w:ascii="Arial" w:cs="Arial" w:eastAsia="Arial" w:hAnsi="Arial"/>
          <w:sz w:val="18"/>
          <w:szCs w:val="18"/>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which may be incurred under the warranty obligations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reserves and, to the extent we experience any changes in warranty claim activity or costs associated with servicing those claims, our warranty obligation is adjusted accordingly.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liability for the three months ended August 2, 2014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costs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27,250</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Warranties issued during the period</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3,485</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made during the period</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r>
      <w:tr>
        <w:trPr>
          <w:trHeight w:val="229"/>
        </w:trPr>
        <w:tc>
          <w:tcPr>
            <w:tcW w:w="6980" w:type="dxa"/>
            <w:vAlign w:val="bottom"/>
          </w:tcPr>
          <w:p>
            <w:pPr>
              <w:ind w:left="420"/>
              <w:spacing w:after="0"/>
              <w:rPr>
                <w:sz w:val="20"/>
                <w:szCs w:val="20"/>
                <w:color w:val="auto"/>
              </w:rPr>
            </w:pPr>
            <w:r>
              <w:rPr>
                <w:rFonts w:ascii="Arial" w:cs="Arial" w:eastAsia="Arial" w:hAnsi="Arial"/>
                <w:sz w:val="18"/>
                <w:szCs w:val="18"/>
                <w:color w:val="auto"/>
              </w:rPr>
              <w:t>Changes in accrued warranty costs for pre-existing warranties during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980" w:type="dxa"/>
            <w:vAlign w:val="bottom"/>
          </w:tcPr>
          <w:p>
            <w:pPr>
              <w:ind w:left="740"/>
              <w:spacing w:after="0"/>
              <w:rPr>
                <w:sz w:val="20"/>
                <w:szCs w:val="20"/>
                <w:color w:val="auto"/>
              </w:rPr>
            </w:pPr>
            <w:r>
              <w:rPr>
                <w:rFonts w:ascii="Arial" w:cs="Arial" w:eastAsia="Arial" w:hAnsi="Arial"/>
                <w:sz w:val="18"/>
                <w:szCs w:val="18"/>
                <w:color w:val="auto"/>
              </w:rPr>
              <w:t>the period, including expirations</w:t>
            </w: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1,396</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costs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29,270</w:t>
            </w: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Performance guarantees: </w:t>
      </w:r>
      <w:r>
        <w:rPr>
          <w:rFonts w:ascii="Arial" w:cs="Arial" w:eastAsia="Arial" w:hAnsi="Arial"/>
          <w:sz w:val="18"/>
          <w:szCs w:val="18"/>
          <w:color w:val="auto"/>
        </w:rPr>
        <w:t>We have entered into standby letters of credit and surety bonds with financial institutions relating to the guarantee of future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on contracts, primarily construction type contracts. As of August 2, 2014, we had outstanding letters of credit and surety bonds in the amount of $9,869 and $15,463, respectively. Performance guarantees are issued to certain customers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guarantee the operation and installation of the equipment and our ability to complete a contract. These performance guarantees have various terms, which are generally less than one year.</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vehicles, office space and various equipment for sales and service locations throughout the world, including manufacturing space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and China. Some of these leases, including the lease for manufacturing facilities in Sioux Falls, South Dakota, include provisions for extensions or purchase. The lease for the facility in Sioux Falls, South Dakota can be extended for an additional three years past its current term, which ends December 31, 2016, and it contains an option to purchase the property subject to the lease from January 1, 2015 to December 31, 2016 for $8,400, which approximates fair value. If the lease is extended, the purchase option increases to $8,600 for the year ending December 31, 2017 and $8,800 for the year ending December 31, 2018. Rental expense for operating leases was $692 and $724 for the three months ended August 2, 2014 and July 27, 2013,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August 2,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2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2,055</w:t>
            </w: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4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5,302</w:t>
            </w: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information technology maintenance and support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other products and services over periods extending beyond one year. As of August 2, 2014, we were obligated under the following conditional and unconditional purchase commitments, which included $850 in conditional purchase commitments.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2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1,091</w:t>
            </w: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4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2,699</w:t>
            </w: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the income taxes of multiple state jurisdictions. As a result of the completion of examinations by the Internal Revenue Service on prior years and the expiration of statutes of limitations, our fiscal years 2011, 2012, and 2013 are the remaining years open under statutes of limitations. Certain subsidiaries are also subject to income tax in several foreign jurisdictions which have open tax years varying by jurisdiction beginning in fiscal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August 2, 2014, we had $498 of unrecognized tax benefits which would affect our effective tax rate if recognized.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that may be utilized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liabilities, either directly or indirectly (for example,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for fixed-rate contracts receivable are estimated using a discounted cash flow analysis based on interest rates currently being offered for contracts with similar terms to customers with similar credit quality. The carrying amounts reported on our consolidated balance sheets for contracts receivable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on our consolidated balance sheets within other long-term obligations approximates fair value and has been categorized as a Level 2 fair value measurement.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August 2, 2014 and April 26, 2014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20" w:type="dxa"/>
            <w:vAlign w:val="bottom"/>
            <w:gridSpan w:val="6"/>
          </w:tcPr>
          <w:p>
            <w:pPr>
              <w:jc w:val="center"/>
              <w:ind w:right="110"/>
              <w:spacing w:after="0"/>
              <w:rPr>
                <w:sz w:val="20"/>
                <w:szCs w:val="20"/>
                <w:color w:val="auto"/>
              </w:rPr>
            </w:pPr>
            <w:r>
              <w:rPr>
                <w:rFonts w:ascii="Arial" w:cs="Arial" w:eastAsia="Arial" w:hAnsi="Arial"/>
                <w:sz w:val="18"/>
                <w:szCs w:val="18"/>
                <w:b w:val="1"/>
                <w:bCs w:val="1"/>
                <w:color w:val="auto"/>
                <w:w w:val="91"/>
              </w:rPr>
              <w:t>Fair Value Measurements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August 2, 2014:</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60,058</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60,058</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7,962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7,962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9,138</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9,138</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6,877</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62,642</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23,958</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86,600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45,054</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7,734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8,341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47,570</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70,881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Consists of Fannie Mae and Federal Home Loan Bank investment grade debt securities trading with sufficient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ectPr>
          <w:pgSz w:w="11900" w:h="16838" w:orient="portrait"/>
          <w:cols w:equalWidth="0" w:num="1">
            <w:col w:w="11420"/>
          </w:cols>
          <w:pgMar w:left="240" w:top="122"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obligations</w:t>
      </w:r>
      <w:r>
        <w:rPr>
          <w:rFonts w:ascii="Arial" w:cs="Arial" w:eastAsia="Arial" w:hAnsi="Arial"/>
          <w:sz w:val="18"/>
          <w:szCs w:val="18"/>
          <w:color w:val="auto"/>
        </w:rPr>
        <w:t>: Consists of investment grade municipal bonds trading with sufficient frequency and volume to enable us to obtain pricing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an ongoing basis. The contractual maturities of these investments vary from one month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valuation from a third-party bank. See Note 12 for more information regarding our derivatives.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measurement standard also applies to certain non-financial assets and liabilities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 value. We will utilize the fair value measurement standard to value the assets and liabilities for the business combination involving Data Display, which occurred during the second quarter of fiscal 2015. See Note 13 for more information on the business combination. We utilized the fair value measurement standard, primarily Level 3 inputs, to value the assets and liabilities for the business combination involving OPEN, which occurred during the first three months of fiscal 2014. We did not make any material business combinations or recognize any significant impairment losses during fiscal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other assets or accounts payable measured at fair value, and changes in fair values are recognized in earnings unless specific hedge accounting criteria are met for cash flow or net investment hedges. As of August 2, 2014 and April 26, 2014, we had not designated any of our derivative instruments as accounting hedges, and thus we recorded the changes in fair value in other (expense) income, net.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United States Dollars at August 2, 2014 and April 26, 2014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960" w:type="dxa"/>
            <w:vAlign w:val="bottom"/>
            <w:gridSpan w:val="4"/>
          </w:tcPr>
          <w:p>
            <w:pPr>
              <w:ind w:left="820"/>
              <w:spacing w:after="0"/>
              <w:rPr>
                <w:sz w:val="20"/>
                <w:szCs w:val="20"/>
                <w:color w:val="auto"/>
              </w:rPr>
            </w:pPr>
            <w:r>
              <w:rPr>
                <w:rFonts w:ascii="Arial" w:cs="Arial" w:eastAsia="Arial" w:hAnsi="Arial"/>
                <w:sz w:val="18"/>
                <w:szCs w:val="18"/>
                <w:b w:val="1"/>
                <w:bCs w:val="1"/>
                <w:color w:val="auto"/>
              </w:rPr>
              <w:t>August 2, 2014</w:t>
            </w:r>
          </w:p>
        </w:tc>
        <w:tc>
          <w:tcPr>
            <w:tcW w:w="274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26, 2014</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8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U.S.</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Dollars</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U.S. Dollars/Canadian Dollars</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2,591</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2,828</w:t>
            </w:r>
          </w:p>
        </w:tc>
        <w:tc>
          <w:tcPr>
            <w:tcW w:w="20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Dollars/British Pounds</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2,484</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U.S. Dollars/Singapore Dollars</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Dollars/New Zealand Dollars</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1,090</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U.S. Dollars/Euros</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755</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1,314</w:t>
            </w: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August 2, 2014 and April 26, 2014, there was a net liability of $19 and $85, respectively, representing the fair value of foreign currency exchange forward contracts, which was determined using Level 2 inputs from a third-party bank.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September 4, 2014, our Board of Directors declared a dividend of $0.10 per share payable on September 26, 2014 to shareholders of record of our common stock on September 15, 2014.</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Subsequent to the end of the first quarter, Daktronics Inc. acquired 100 percent ownership in Data Display, a European transportation display company, for an undisclosed amount.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parts shortages and lead times; (viii.) fluctuations in margins; (ix.) the seasonality of our business; (x.) the introduction of new products and technology; and (xi.) the timing and magnitude of any acquisitions or dispositions.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26, 2014 in the section entitled “Item 1A. Risk Factors” and "Item 7. Management's Discussion and Analysis of Financial Condition and Results of Operations," and those factors discussed in detail in our other filings with the Securities and Exchange Commission.</w:t>
      </w:r>
    </w:p>
    <w:p>
      <w:pPr>
        <w:spacing w:after="0" w:line="1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discussion highlights the principal factors affecting changes in our financial condition and results of operations. This discussion should be read in conjunction with the accompanying Consolidated Financial Statements and Notes to the Consolidated Financial Statements included in this Report.</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an International business unit. The four domestic business units consist of Commercial, Live Events, High School Park and Recreation, and Transportation, all of which include the geographic territories of the United States and Canada.</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net sales and profitability historically have fluctuated due to the impact of large project orders, such as display systems for professional sports facilities, colleges and universities, and spectacular projects in the commercial area, as well as the seasonality of the sports market. Large project orders can include a number of displays, controllers, and subcontracted structure builds, each of which can occur on varied schedules according to the customer's needs. Net sales and gross profit percentages also have fluctuated due to other seasonal factors, including the impact of holidays, which primarily affects our third quarter. Our gross margins on large custom and large standard orders tend to fluctuate more than on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are booked and included in backlog only upon receipt of an executed contract and any required deposits. As a result, certain orders for which we have received binding letters of intent or contracts will not be booked until all required contractual documents and deposits are received. In addition, order bookings can vary significantly on a quarterly basis as a result of the timing of large orders.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of the Notes to the Consolidated Financial Statements included elsewhere in this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especially the large video display business in all of our business units, is very competitive, and generally our margins on these large video display contracts are similar across the business units over the long-term. There are, however, differences in the short term among the business units, which are discussed in the following analysis.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Overall, our business growth is driven by the market demand for large format electronic displays with the depth and quality of our products, including related control systems, the depth of our service offerings and our technology serving these market demands. This growth, however, is partially offset by declines in product prices caused by increasing competition. Each business unit also has unique key growth drivers and challenges.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6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growing interest in our standard display products used in many different retail-type establishments and other types of commercial establishments. The demand in this area is driven by these establishments' desire to attract the attention of motorists and others into their storefronts. It is also driven by the need to communicate messages to the public. National accounts may replace their displays reaching end of life, which could lead to increased sales. Furthermore, we believe in the future there will be increased demand from national accounts, including retailers, quick serve restaurants and other types of nationwide organizations, which could lead to increased sales.</w:t>
      </w:r>
    </w:p>
    <w:p>
      <w:pPr>
        <w:spacing w:after="0" w:line="3"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amusement parks and Times Square type locations.</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30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continued deployment of digital billboards as billboard companies continue developing new sites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concentrated in a few large billboard companies.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experiences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170"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demand for different types of displays, such as message centers at schools to communicate to students, parents and the broader community.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more sophisticated displays in athletic facilities, such as aquatic venues in schools.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Transportation Business Unit: </w:t>
      </w:r>
      <w:r>
        <w:rPr>
          <w:rFonts w:ascii="Arial" w:cs="Arial" w:eastAsia="Arial" w:hAnsi="Arial"/>
          <w:sz w:val="18"/>
          <w:szCs w:val="18"/>
          <w:color w:val="auto"/>
        </w:rPr>
        <w:t>Over the long-term, we believe growth in the Transportation business unit will result from increasing applications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electronic displays to manage transportation systems, including roadway, airport, parking, transit and other applications. This growth is highly dependent on government spending, primarily by the federal government, along with the continuing acceptance of public private partnerships as an alternative funding source.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building products more suited to individual markets, third-party advertising market opportunities, and the reasons listed in each of the other business units to the extent they apply outside the United States and Canada.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downturns, the sports business also can be severely impacted. Our Commercial and International business units are highly dependent on economic conditions in general.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and selling prices of our products have decreased over time and are expected to continue to decrease in the future. As a result, each year we must sell more product to generate the same or greater level of net sales as in previous fiscal years. This price decline has been significant as a result of increased competition across all business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Daktronics, Inc. operates on a 52 to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each of the last three quarters is comprised of a 13 week period, and an additional week is added to the first quarter of that fiscal year. The fiscal year ended April 26, 2014 consisted of 52 weeks. Fiscal 2015 will be a 53-week year; therefore, the quarter ended August 2, 2014 contains operating results for 14 weeks while the quarter ended July 27, 2013 contains operating results for 13 weeks.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AUGUST 2, 2014 AND JULY 27,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gridSpan w:val="5"/>
          </w:tcPr>
          <w:p>
            <w:pPr>
              <w:ind w:left="80"/>
              <w:spacing w:after="0"/>
              <w:rPr>
                <w:sz w:val="20"/>
                <w:szCs w:val="20"/>
                <w:color w:val="auto"/>
              </w:rPr>
            </w:pPr>
            <w:r>
              <w:rPr>
                <w:rFonts w:ascii="Arial" w:cs="Arial" w:eastAsia="Arial" w:hAnsi="Arial"/>
                <w:sz w:val="18"/>
                <w:szCs w:val="18"/>
                <w:b w:val="1"/>
                <w:bCs w:val="1"/>
                <w:color w:val="auto"/>
                <w:w w:val="92"/>
              </w:rPr>
              <w:t>Three Months Ended</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August 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July 27,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5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8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5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50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39,782</w:t>
            </w:r>
          </w:p>
        </w:tc>
        <w:tc>
          <w:tcPr>
            <w:tcW w:w="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33,701</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60" w:type="dxa"/>
            <w:vAlign w:val="bottom"/>
            <w:gridSpan w:val="2"/>
          </w:tcPr>
          <w:p>
            <w:pPr>
              <w:ind w:left="24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75,674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55,077</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20,111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17,917</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60" w:type="dxa"/>
            <w:vAlign w:val="bottom"/>
            <w:gridSpan w:val="2"/>
          </w:tcPr>
          <w:p>
            <w:pPr>
              <w:ind w:left="24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13,313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13,042</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17,738</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18,985</w:t>
            </w: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166,618</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138,722</w:t>
            </w:r>
          </w:p>
        </w:tc>
        <w:tc>
          <w:tcPr>
            <w:tcW w:w="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53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6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41,773</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36,975</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Live Events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57,205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67,400</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60" w:type="dxa"/>
            <w:vAlign w:val="bottom"/>
            <w:gridSpan w:val="2"/>
          </w:tcPr>
          <w:p>
            <w:pPr>
              <w:ind w:left="24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29,694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19,551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Transportation</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13,969</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60" w:type="dxa"/>
            <w:vAlign w:val="bottom"/>
            <w:gridSpan w:val="2"/>
          </w:tcPr>
          <w:p>
            <w:pPr>
              <w:ind w:left="2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20,705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21,388</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160,679</w:t>
            </w:r>
          </w:p>
        </w:tc>
        <w:tc>
          <w:tcPr>
            <w:tcW w:w="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159,283</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Sales and orders were impacted as a result of the first quarter of fiscal 2015 including 14 weeks compared to the more common 13 weeks. The first quarter of fiscal 2014 contained 13 weeks.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increase in net sales for the three months ended August 2, 2014 compared to the same period one year ago was the net result of:</w:t>
      </w:r>
    </w:p>
    <w:p>
      <w:pPr>
        <w:spacing w:after="0" w:line="237"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$6.0 million in sales in our billboard niche due to a number of shipments which moved into this quarter due to weather related issues at outdoor construction sites earlier in the calendar year.</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$1.5 million in sales of large custom video contracts and in our national account niche. This was offset by a decrease of $1.5 million in sales in our on premise niche.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orders for the three months ended August 2, 2014 compared to the same period one year ago was the result of:</w:t>
      </w:r>
    </w:p>
    <w:p>
      <w:pPr>
        <w:spacing w:after="0" w:line="225"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$5.6 million in orders of large custom video contracts due to a larger amount of available projects in the large custom video piece of our business in New York City and Las Vegas.</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$1.2 million in orders from the on premise niche resulting from order timing on national accounts, extended lead times, and timing on large valued orders.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Live Events: </w:t>
      </w:r>
      <w:r>
        <w:rPr>
          <w:rFonts w:ascii="Arial" w:cs="Arial" w:eastAsia="Arial" w:hAnsi="Arial"/>
          <w:sz w:val="16"/>
          <w:szCs w:val="16"/>
          <w:color w:val="auto"/>
        </w:rPr>
        <w:t>The increase in net sales for the three months ended August 2, 2014 compared to the same period one year ago was primarily the net result of:</w:t>
      </w:r>
    </w:p>
    <w:p>
      <w:pPr>
        <w:spacing w:after="0" w:line="248"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$27.9 million in sales related to National Football League ("NFL") and Canadian Football League ("CFL") stadiums manufactured and installed during the quarter related to orders received during the fourth quarter of fiscal 2014.</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net decrease of $6.8 million in sales related to video displays for multi-sport arenas and universities.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decreased $10.2 million for the three months ended August 2, 2014 compared to the same period one year ago primarily due to the timing of a large NFL order last year and the decrease in multi-sport arenas and universities orders.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the three months ended August 2, 2014 compared to the same period one year ago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an order timing difference compared to last year. We experienced many orders pushed out from our fourth quarter of fiscal 2014 into the first quarter of fiscal 2015. The increase in sales is due to production and delivery on a higher volume of orders. Order transaction size also increased due to larger display sizes, which increased sales prices.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increased $10.1 million for the three months ended August 2, 2014 compared to the same period one year ago primarily as the result of higher orders of video and sound systems as some orders pushed into this quarter from the fourth quarter of fiscal 2014 due to customer timing, increased opportunities in the marketplace, and an increase in the size of the display systems during the first quarter of fiscal 2015.</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Transportation: </w:t>
      </w:r>
      <w:r>
        <w:rPr>
          <w:rFonts w:ascii="Arial" w:cs="Arial" w:eastAsia="Arial" w:hAnsi="Arial"/>
          <w:sz w:val="17"/>
          <w:szCs w:val="17"/>
          <w:color w:val="auto"/>
        </w:rPr>
        <w:t>Net sales for the three months ended August 2, 2014 compared to the same period one year ago were relatively flat. Although revenues were</w:t>
      </w:r>
      <w:r>
        <w:rPr>
          <w:rFonts w:ascii="Arial" w:cs="Arial" w:eastAsia="Arial" w:hAnsi="Arial"/>
          <w:sz w:val="17"/>
          <w:szCs w:val="17"/>
          <w:i w:val="1"/>
          <w:iCs w:val="1"/>
          <w:color w:val="auto"/>
        </w:rPr>
        <w:t xml:space="preserve"> </w:t>
      </w:r>
      <w:r>
        <w:rPr>
          <w:rFonts w:ascii="Arial" w:cs="Arial" w:eastAsia="Arial" w:hAnsi="Arial"/>
          <w:sz w:val="17"/>
          <w:szCs w:val="17"/>
          <w:color w:val="auto"/>
        </w:rPr>
        <w:t>flat, we saw an increase in the number of traditional transportation projects during the first quarter of fiscal 2015 which offset the $2.3 million of sales recognized in the first quarter of fiscal 2014 for a major airport. No project of a similar size occurred during the first quarter of fiscal 2015.</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for the three months ended August 2, 2014 compared to the same period one year ago decreased primarily due to a reduction in the size of the orders with state transportation authorities.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Net sales in our International business unit for the three months ended August 2, 2014 compared to the same period one year ago decreased.</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orders for the three months ended August 2, 2014 compared to the same period one year ago was mainly due to the timing and volatility of large orders.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product order backlog as of August 2, 2014 was $165 million as compared to $167 million as of July 27, 2013 and $172 million at the end of the fourth quarter of fiscal 2014. Historically, our backlog varies due to the seasonality of our business, the timing of large orders, and customer delivery schedules for these orders. The backlog increased from one year ago in our High School Park and Recreation and International business units and decreased in our Commercial, Live Events, and Transportation business units.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Backlog is not a measure defined by U.S. generally accepted accounting principles, and our methodology for determining backlog may vary from the methodology used by other companies in determining their backlog amounts. Our backlog is equal to the amount of net sales expected to be recognized in future periods on standard product and contract sales evidenced by an arrangement with fixed and determinable prices and with collectability reasonably assured. Backlog may not be indicative of future operating results, and arrangements in our backlog may be canceled, modified or otherwise altered; therefore, it is not necessarily indicative of future sales or net income.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2"/>
              </w:rPr>
              <w:t>Three Months Ended</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3"/>
          </w:tcPr>
          <w:p>
            <w:pPr>
              <w:ind w:left="580"/>
              <w:spacing w:after="0"/>
              <w:rPr>
                <w:sz w:val="20"/>
                <w:szCs w:val="20"/>
                <w:color w:val="auto"/>
              </w:rPr>
            </w:pPr>
            <w:r>
              <w:rPr>
                <w:rFonts w:ascii="Arial" w:cs="Arial" w:eastAsia="Arial" w:hAnsi="Arial"/>
                <w:sz w:val="18"/>
                <w:szCs w:val="18"/>
                <w:b w:val="1"/>
                <w:bCs w:val="1"/>
                <w:color w:val="auto"/>
              </w:rPr>
              <w:t>August 2, 2014</w:t>
            </w: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b w:val="1"/>
                <w:bCs w:val="1"/>
                <w:color w:val="auto"/>
              </w:rPr>
              <w:t>July 27,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7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4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6"/>
                <w:szCs w:val="16"/>
                <w:color w:val="auto"/>
              </w:rPr>
            </w:pPr>
          </w:p>
        </w:tc>
        <w:tc>
          <w:tcPr>
            <w:tcW w:w="13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8"/>
              </w:rPr>
              <w:t>Net Sales</w:t>
            </w:r>
          </w:p>
        </w:tc>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6"/>
                <w:szCs w:val="16"/>
                <w:color w:val="auto"/>
              </w:rPr>
            </w:pPr>
          </w:p>
        </w:tc>
        <w:tc>
          <w:tcPr>
            <w:tcW w:w="13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6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11,266</w:t>
            </w: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0"/>
              </w:rPr>
              <w:t>28.3%</w:t>
            </w:r>
          </w:p>
        </w:tc>
        <w:tc>
          <w:tcPr>
            <w:tcW w:w="18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9,432</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w w:val="93"/>
              </w:rPr>
              <w:t>28.0%</w:t>
            </w:r>
          </w:p>
        </w:tc>
      </w:tr>
      <w:tr>
        <w:trPr>
          <w:trHeight w:val="243"/>
        </w:trPr>
        <w:tc>
          <w:tcPr>
            <w:tcW w:w="374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15,371</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11,347</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20.6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8,159</w:t>
            </w: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40.6</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5,859</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32.7</w:t>
            </w:r>
          </w:p>
        </w:tc>
      </w:tr>
      <w:tr>
        <w:trPr>
          <w:trHeight w:val="243"/>
        </w:trPr>
        <w:tc>
          <w:tcPr>
            <w:tcW w:w="374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4,220</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31.7</w:t>
            </w:r>
          </w:p>
        </w:tc>
        <w:tc>
          <w:tcPr>
            <w:tcW w:w="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2,972</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22.8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4,387</w:t>
            </w: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24.7</w:t>
            </w:r>
          </w:p>
        </w:tc>
        <w:tc>
          <w:tcPr>
            <w:tcW w:w="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5,891</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31.0</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43,403</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w w:val="90"/>
              </w:rPr>
              <w:t>26.0%</w:t>
            </w:r>
          </w:p>
        </w:tc>
        <w:tc>
          <w:tcPr>
            <w:tcW w:w="160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35,501</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w w:val="93"/>
              </w:rPr>
              <w:t>25.6%</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our gross profit percentage for the three months ended August 2, 2014 compared to the same period one year ago was the net result of the following: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increase for the three months ended August 2, 2014 compared to the same period one year ago was the result of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gross margin improvement on product sales mix and lower warranty cost as a percent of sales.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decrease for the three months ended August 2, 2014 compared to the same period one year ago was the net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sales mix. We worked on a number of multi-million dollar projects which generally have lower margins due to increased subcontracted on-site work which traditionally has a lower margin than video equipment production.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High School Park and Recreation: </w:t>
      </w:r>
      <w:r>
        <w:rPr>
          <w:rFonts w:ascii="Arial" w:cs="Arial" w:eastAsia="Arial" w:hAnsi="Arial"/>
          <w:sz w:val="17"/>
          <w:szCs w:val="17"/>
          <w:color w:val="auto"/>
        </w:rPr>
        <w:t>The gross profit percent increase for the three months ended August 2, 2014 compared to the same period one year ago</w:t>
      </w:r>
      <w:r>
        <w:rPr>
          <w:rFonts w:ascii="Arial" w:cs="Arial" w:eastAsia="Arial" w:hAnsi="Arial"/>
          <w:sz w:val="17"/>
          <w:szCs w:val="17"/>
          <w:i w:val="1"/>
          <w:iCs w:val="1"/>
          <w:color w:val="auto"/>
        </w:rPr>
        <w:t xml:space="preserve"> </w:t>
      </w:r>
      <w:r>
        <w:rPr>
          <w:rFonts w:ascii="Arial" w:cs="Arial" w:eastAsia="Arial" w:hAnsi="Arial"/>
          <w:sz w:val="17"/>
          <w:szCs w:val="17"/>
          <w:color w:val="auto"/>
        </w:rPr>
        <w:t>was the result of improved manufacturing utilization with a higher level of sales along with an increase in margins related to changes in product sales mix. In addition, in the quarter ended August 2, 2014, we recognized a $1.3 million gain on the sale of our theatre rigging manufacturing division.</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Transportation: </w:t>
      </w:r>
      <w:r>
        <w:rPr>
          <w:rFonts w:ascii="Arial" w:cs="Arial" w:eastAsia="Arial" w:hAnsi="Arial"/>
          <w:sz w:val="17"/>
          <w:szCs w:val="17"/>
          <w:color w:val="auto"/>
        </w:rPr>
        <w:t>The gross profit percent increase for the three months ended August 2, 2014 compared to the same period one year ago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improved product quality with less rework on large custom projects resulting in higher margins and lower warranty cost as a percent of sales.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for the three months ended August 2, 2014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decreased margins on large video display projects and low utilization of our international manufacturing facilities.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00" w:type="dxa"/>
            <w:vAlign w:val="bottom"/>
            <w:gridSpan w:val="4"/>
          </w:tcPr>
          <w:p>
            <w:pPr>
              <w:ind w:left="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August 2, 2014</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July 27,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w w:val="93"/>
              </w:rPr>
              <w:t>As a Percent of</w:t>
            </w: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w w:val="93"/>
              </w:rPr>
              <w:t>As a Percent of</w:t>
            </w:r>
          </w:p>
        </w:tc>
      </w:tr>
      <w:tr>
        <w:trPr>
          <w:trHeight w:val="194"/>
        </w:trPr>
        <w:tc>
          <w:tcPr>
            <w:tcW w:w="36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6"/>
                <w:szCs w:val="16"/>
                <w:color w:val="auto"/>
              </w:rPr>
            </w:pPr>
          </w:p>
        </w:tc>
        <w:tc>
          <w:tcPr>
            <w:tcW w:w="132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16"/>
                <w:szCs w:val="16"/>
                <w:color w:val="auto"/>
              </w:rPr>
            </w:pPr>
          </w:p>
        </w:tc>
        <w:tc>
          <w:tcPr>
            <w:tcW w:w="154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00" w:type="dxa"/>
            <w:vAlign w:val="bottom"/>
          </w:tcPr>
          <w:p>
            <w:pPr>
              <w:spacing w:after="0"/>
              <w:rPr>
                <w:sz w:val="16"/>
                <w:szCs w:val="16"/>
                <w:color w:val="auto"/>
              </w:rPr>
            </w:pPr>
          </w:p>
        </w:tc>
        <w:tc>
          <w:tcPr>
            <w:tcW w:w="10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6"/>
                <w:szCs w:val="16"/>
                <w:color w:val="auto"/>
              </w:rPr>
            </w:pPr>
          </w:p>
        </w:tc>
        <w:tc>
          <w:tcPr>
            <w:tcW w:w="132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5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44"/>
        </w:trPr>
        <w:tc>
          <w:tcPr>
            <w:tcW w:w="3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36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3,323</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4.4</w:t>
            </w:r>
          </w:p>
        </w:tc>
        <w:tc>
          <w:tcPr>
            <w:tcW w:w="1520" w:type="dxa"/>
            <w:vAlign w:val="bottom"/>
            <w:gridSpan w:val="2"/>
          </w:tcPr>
          <w:p>
            <w:pPr>
              <w:jc w:val="right"/>
              <w:ind w:right="13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3,005</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5.5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14.9</w:t>
            </w:r>
          </w:p>
        </w:tc>
        <w:tc>
          <w:tcPr>
            <w:tcW w:w="15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2,711</w:t>
            </w:r>
          </w:p>
        </w:tc>
        <w:tc>
          <w:tcPr>
            <w:tcW w:w="14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15.1</w:t>
            </w:r>
          </w:p>
        </w:tc>
      </w:tr>
      <w:tr>
        <w:trPr>
          <w:trHeight w:val="243"/>
        </w:trPr>
        <w:tc>
          <w:tcPr>
            <w:tcW w:w="36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939</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7.1</w:t>
            </w:r>
          </w:p>
        </w:tc>
        <w:tc>
          <w:tcPr>
            <w:tcW w:w="1520" w:type="dxa"/>
            <w:vAlign w:val="bottom"/>
            <w:gridSpan w:val="2"/>
          </w:tcPr>
          <w:p>
            <w:pPr>
              <w:jc w:val="right"/>
              <w:ind w:right="13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826</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6.3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3,428</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19.3</w:t>
            </w:r>
          </w:p>
        </w:tc>
        <w:tc>
          <w:tcPr>
            <w:tcW w:w="15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3,586</w:t>
            </w:r>
          </w:p>
        </w:tc>
        <w:tc>
          <w:tcPr>
            <w:tcW w:w="14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18.9</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15,046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16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13,617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areas of selling expenses were impacted as a result of the first quarter of fiscal 2015 including 14 weeks compared to the more common 13 weeks. The first quarter of fiscal 2014 contained 13 weeks.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expenses in our Transportation and International business units remained relatively flat in the three months ended August 2, 2014 compared to the same period one year ago.</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expense in our Commercial, Live Events, and High School Park and Recreation business units increased $0.9 million, $0.3 million, and $0.3 million, respectively, in the first quarter of fiscal 2015 compared to the same quarter a year ago which mainly related to increases in payroll, travel and entertainment expenses, the implementation of a sales opportunity management tool and various other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August 2, 2014</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July 27,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w w:val="93"/>
              </w:rPr>
              <w:t>As a Percent of</w:t>
            </w: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w w:val="93"/>
              </w:rPr>
              <w:t>As a Percent of</w:t>
            </w:r>
          </w:p>
        </w:tc>
      </w:tr>
      <w:tr>
        <w:trPr>
          <w:trHeight w:val="194"/>
        </w:trPr>
        <w:tc>
          <w:tcPr>
            <w:tcW w:w="37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2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16"/>
                <w:szCs w:val="16"/>
                <w:color w:val="auto"/>
              </w:rPr>
            </w:pPr>
          </w:p>
        </w:tc>
        <w:tc>
          <w:tcPr>
            <w:tcW w:w="1500" w:type="dxa"/>
            <w:vAlign w:val="bottom"/>
            <w:gridSpan w:val="3"/>
          </w:tcPr>
          <w:p>
            <w:pPr>
              <w:jc w:val="center"/>
              <w:ind w:right="180"/>
              <w:spacing w:after="0" w:line="194" w:lineRule="exact"/>
              <w:rPr>
                <w:sz w:val="20"/>
                <w:szCs w:val="20"/>
                <w:color w:val="auto"/>
              </w:rPr>
            </w:pPr>
            <w:r>
              <w:rPr>
                <w:rFonts w:ascii="Arial" w:cs="Arial" w:eastAsia="Arial" w:hAnsi="Arial"/>
                <w:sz w:val="18"/>
                <w:szCs w:val="18"/>
                <w:b w:val="1"/>
                <w:bCs w:val="1"/>
                <w:color w:val="auto"/>
                <w:w w:val="90"/>
              </w:rPr>
              <w:t>Percent Change</w:t>
            </w:r>
          </w:p>
        </w:tc>
        <w:tc>
          <w:tcPr>
            <w:tcW w:w="200" w:type="dxa"/>
            <w:vAlign w:val="bottom"/>
          </w:tcPr>
          <w:p>
            <w:pPr>
              <w:spacing w:after="0"/>
              <w:rPr>
                <w:sz w:val="16"/>
                <w:szCs w:val="16"/>
                <w:color w:val="auto"/>
              </w:rPr>
            </w:pPr>
          </w:p>
        </w:tc>
        <w:tc>
          <w:tcPr>
            <w:tcW w:w="120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2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44"/>
        </w:trPr>
        <w:tc>
          <w:tcPr>
            <w:tcW w:w="3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7,937</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7,299</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37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6,803</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5,989</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areas of operating expenses were impacted as a result of the first quarter of fiscal 2015 including 14 weeks compared to the more common 13 weeks. The first quarter of fiscal 2014 contained 13 weeks.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amortization of intangibles and the costs of supplies. General and administrative expenses in the first quarter of fiscal 2015 increased as compared to the same period one year ago. The increase was primarily due to a $0.8 million net increase in payroll and benefits, information technology, professional fees, and other expenses. We incurred $0.3 million in general and administration expense for the professional fee costs of the Data Display acquisition .</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facilities cost and equipment-related costs and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development investments in the near term are focused on video technology with a range of pixel pitches for outdoor applications using LED surface mount technology, which offers improved performance at a lower cost point over our current offerings. In addition, we continue to focus on various other products to standardize display components and control systems for both single site and network displays.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costs for product development represent an allocated amount of costs based on time charges, materials costs and the overhead of our engineering departments. Generally, a significant portion of our engineering time is spent on product development while the rest is allocated to large contract work and included in cost of goods sold. Product development expenses in the first quarter of fiscal 2015 as compared to the same period one year ago increased primarily due to compliance testing.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5"/>
          </w:tcPr>
          <w:p>
            <w:pPr>
              <w:jc w:val="center"/>
              <w:ind w:left="1110"/>
              <w:spacing w:after="0"/>
              <w:rPr>
                <w:sz w:val="20"/>
                <w:szCs w:val="20"/>
                <w:color w:val="auto"/>
              </w:rPr>
            </w:pPr>
            <w:r>
              <w:rPr>
                <w:rFonts w:ascii="Arial" w:cs="Arial" w:eastAsia="Arial" w:hAnsi="Arial"/>
                <w:sz w:val="18"/>
                <w:szCs w:val="18"/>
                <w:b w:val="1"/>
                <w:bCs w:val="1"/>
                <w:color w:val="auto"/>
                <w:w w:val="90"/>
              </w:rPr>
              <w:t>Three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4"/>
          </w:tcPr>
          <w:p>
            <w:pPr>
              <w:ind w:left="580"/>
              <w:spacing w:after="0"/>
              <w:rPr>
                <w:sz w:val="20"/>
                <w:szCs w:val="20"/>
                <w:color w:val="auto"/>
              </w:rPr>
            </w:pPr>
            <w:r>
              <w:rPr>
                <w:rFonts w:ascii="Arial" w:cs="Arial" w:eastAsia="Arial" w:hAnsi="Arial"/>
                <w:sz w:val="18"/>
                <w:szCs w:val="18"/>
                <w:b w:val="1"/>
                <w:bCs w:val="1"/>
                <w:color w:val="auto"/>
              </w:rPr>
              <w:t>August 2, 2014</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July 27,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As a Percent of</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Percent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1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0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48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6"/>
              </w:rPr>
              <w:t>Net Sales</w:t>
            </w:r>
          </w:p>
        </w:tc>
        <w:tc>
          <w:tcPr>
            <w:tcW w:w="126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6"/>
                <w:szCs w:val="16"/>
                <w:color w:val="auto"/>
              </w:rPr>
            </w:pPr>
          </w:p>
        </w:tc>
        <w:tc>
          <w:tcPr>
            <w:tcW w:w="106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30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generate interest income through short-term cash investments, marketable securities, product sales on an installment basis,</w:t>
      </w:r>
      <w:r>
        <w:rPr>
          <w:rFonts w:ascii="Arial" w:cs="Arial" w:eastAsia="Arial" w:hAnsi="Arial"/>
          <w:sz w:val="18"/>
          <w:szCs w:val="18"/>
          <w:i w:val="1"/>
          <w:iCs w:val="1"/>
          <w:color w:val="auto"/>
        </w:rPr>
        <w:t xml:space="preserve"> </w:t>
      </w:r>
      <w:r>
        <w:rPr>
          <w:rFonts w:ascii="Arial" w:cs="Arial" w:eastAsia="Arial" w:hAnsi="Arial"/>
          <w:sz w:val="18"/>
          <w:szCs w:val="18"/>
          <w:color w:val="auto"/>
        </w:rPr>
        <w:t>or in 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in the first quarter of fiscal 2015 compared to the same period one year ago remained relatively flat. As a result of the volatility of working capital needs and changes in investing and financing activities, along with changes in the interest rate environment, it is difficult to project changes in interest income.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Other income and expense, net decreased for the first quarter of fiscal 2015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foreign currency gain or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was 36.1 percent for the first quarter of fiscal 2015 as compared to an effective tax rate of 32.2 percent for the first quarter of fiscal 2014. Our effective tax rate can potentially have wide variances from quarter to quarter, resulting from interim reporting requirements, and the recognition of discrete events. In addition, our effective tax rate can vary significantly due to the mix of pre-tax income and permanent adjustments to taxable income in different countries and the estimate of the annual effective rate in each country. In comparing the first quarter of fiscal 2015 to the first quarter of fiscal 2014, changes in our effective tax rate were the net result of the following:</w:t>
      </w:r>
    </w:p>
    <w:p>
      <w:pPr>
        <w:spacing w:after="0" w:line="188" w:lineRule="exact"/>
        <w:rPr>
          <w:sz w:val="20"/>
          <w:szCs w:val="20"/>
          <w:color w:val="auto"/>
        </w:rPr>
      </w:pPr>
    </w:p>
    <w:p>
      <w:pPr>
        <w:ind w:left="660" w:hanging="328"/>
        <w:spacing w:after="0" w:line="274"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decrease in the effective tax rate of approximately 2.3 percentage points from the research and development tax credit in the first quarter of fiscal 2014 as compared to no credit in the first quarter of fiscal 2015 due to the expiration of the tax credit on December 31, 2013.</w:t>
      </w: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in the effective tax rate of approximately 1.6 percentage points due to a change in estimate of state income and franchise taxes accrued during the first quarter of fiscal 2014 as compared to the first quarter of fiscal 2015.</w:t>
      </w: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effective tax rate can vary significantly due to the mix of pre-tax income and permanent adjustments to taxable income in different countries and the estimate of the annual effective rate in each country.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gridSpan w:val="5"/>
          </w:tcPr>
          <w:p>
            <w:pPr>
              <w:ind w:left="100"/>
              <w:spacing w:after="0"/>
              <w:rPr>
                <w:sz w:val="20"/>
                <w:szCs w:val="20"/>
                <w:color w:val="auto"/>
              </w:rPr>
            </w:pPr>
            <w:r>
              <w:rPr>
                <w:rFonts w:ascii="Arial" w:cs="Arial" w:eastAsia="Arial" w:hAnsi="Arial"/>
                <w:sz w:val="18"/>
                <w:szCs w:val="18"/>
                <w:b w:val="1"/>
                <w:bCs w:val="1"/>
                <w:color w:val="auto"/>
                <w:w w:val="90"/>
              </w:rPr>
              <w:t>Three Months Ended</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August 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rPr>
              <w:t>July 27,</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5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08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88"/>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5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(used in) provided by:</w:t>
            </w: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50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24,461</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6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(5,959)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6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15,004</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(18,506)</w:t>
            </w: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Cash flows from operating activities: </w:t>
      </w:r>
      <w:r>
        <w:rPr>
          <w:rFonts w:ascii="Arial" w:cs="Arial" w:eastAsia="Arial" w:hAnsi="Arial"/>
          <w:sz w:val="17"/>
          <w:szCs w:val="17"/>
          <w:color w:val="auto"/>
        </w:rPr>
        <w:t>The increase in cash from operating activities of $28.7 million for the first three months of fiscal 2015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three months of fiscal 2014 was the net result of an increase for changes in net operating assets and liabilities of $27.0 million, an increase of $0.2 million in our deferred income taxes, net, an increase of $3.0 million in net income, plus a $1.1 million gain on sale of property, equipment and other assets, adjusted by a $0.1 million decrease in depreciation and amortization and a decrease of $0.3 million in other non-cash items, net.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most significant drivers of cash generated from operating activities in the first three months of fiscal 2015 were the net result of the following:</w:t>
      </w:r>
    </w:p>
    <w:p>
      <w:pPr>
        <w:spacing w:after="0" w:line="237"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of $8.7 million.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Depreciation, amortization, share-based compensation, and other various non-cash activities of $4.8 million.</w:t>
      </w:r>
    </w:p>
    <w:p>
      <w:pPr>
        <w:spacing w:after="0" w:line="9" w:lineRule="exact"/>
        <w:rPr>
          <w:rFonts w:ascii="Arial" w:cs="Arial" w:eastAsia="Arial" w:hAnsi="Arial"/>
          <w:sz w:val="18"/>
          <w:szCs w:val="18"/>
          <w:color w:val="auto"/>
        </w:rPr>
      </w:pPr>
    </w:p>
    <w:p>
      <w:pPr>
        <w:ind w:left="1620" w:hanging="640"/>
        <w:spacing w:after="0" w:line="250"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generated of $34.8 million because of changes in balances as of August 2, 2014 and July 27, 2013 of $1.5 million from construction-type contracts due to the timing of billing and production schedules; a $19.2 million decrease in accounts receivable; a $1.6 million decrease in income taxes; a $2.2 million increase in warranty obligations; a $5.7 million decrease in inventory; $0.6 million of net collections of long-term receivables during this period; a $1.2 million increase in marketing obligations and other payables; and $2.8 million of various other operating account changes.</w:t>
      </w:r>
    </w:p>
    <w:p>
      <w:pPr>
        <w:spacing w:after="0" w:line="2" w:lineRule="exact"/>
        <w:rPr>
          <w:rFonts w:ascii="Arial" w:cs="Arial" w:eastAsia="Arial" w:hAnsi="Arial"/>
          <w:sz w:val="18"/>
          <w:szCs w:val="18"/>
          <w:color w:val="auto"/>
        </w:rPr>
      </w:pPr>
    </w:p>
    <w:p>
      <w:pPr>
        <w:ind w:left="1620" w:hanging="640"/>
        <w:spacing w:after="0" w:line="290" w:lineRule="auto"/>
        <w:tabs>
          <w:tab w:leader="none" w:pos="1296" w:val="left"/>
        </w:tabs>
        <w:numPr>
          <w:ilvl w:val="0"/>
          <w:numId w:val="9"/>
        </w:numPr>
        <w:rPr>
          <w:rFonts w:ascii="Arial" w:cs="Arial" w:eastAsia="Arial" w:hAnsi="Arial"/>
          <w:sz w:val="17"/>
          <w:szCs w:val="17"/>
          <w:color w:val="auto"/>
        </w:rPr>
      </w:pPr>
      <w:r>
        <w:rPr>
          <w:rFonts w:ascii="Arial" w:cs="Arial" w:eastAsia="Arial" w:hAnsi="Arial"/>
          <w:sz w:val="17"/>
          <w:szCs w:val="17"/>
          <w:color w:val="auto"/>
        </w:rPr>
        <w:t>Cash consumed of $7.3 million because of changes in balances as of August 2, 2014 and July 27, 2013 consisting of a $2.9 million decrease in customer deposits, a $2.1 million decrease in accounts payable, and a $2.4 million increase in prepaid expenses.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which can cause significant fluctuations in the short term in inventory, accounts receivables, accounts payable, customer deposits, costs and earnings in excess of billings and various other operating assets and liabilities. Variability in costs and earnings in excess of billings and billings in excess of costs relates to the timing of billings on construction-type contracts and revenue recognition, which can vary significantly depending on contractual payment terms and build and installation schedules. Balances are also impacted by the seasonality of the sports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The decrease in cash used in investing activities for the first three months of fiscal 2015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2014 was the result of the following:</w:t>
      </w:r>
    </w:p>
    <w:p>
      <w:pPr>
        <w:spacing w:after="0" w:line="170" w:lineRule="exact"/>
        <w:rPr>
          <w:sz w:val="20"/>
          <w:szCs w:val="20"/>
          <w:color w:val="auto"/>
        </w:rPr>
      </w:pPr>
    </w:p>
    <w:p>
      <w:pPr>
        <w:jc w:val="both"/>
        <w:ind w:left="660" w:hanging="328"/>
        <w:spacing w:after="0" w:line="27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increase in purchases of property and equipment of $4.1 million. During the first three months of fiscal 2015, we invested $2.6 million in manufacturing equipment, $4.5 million in product demonstration equipment, $1.2 million in information systems infrastructure, including software, and $0.1 million in other assets. Capital expenditures are expected to be approximately $25.0 million for all of fiscal 2015.</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$3.5 million received for the disposition of our division of automated rigging systems for theatre applications during the first quarter of fiscal 2015.</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net cash invested in marketable securities, net of sales and maturities of $0.6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$0.7 million for investment in affiliates and equity investment.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The decrease in cash used in financing activities for the first three months of fiscal 2015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2014 was primarily the result of the payment in the first quarter of 2014 of $3.4 million in debt assumed in the acquisition of OPEN. Dividends decreased $0.7 million in the first quarter of 2015 compared to the same period in fiscal 2014.</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 Discussion: </w:t>
      </w:r>
      <w:r>
        <w:rPr>
          <w:rFonts w:ascii="Arial" w:cs="Arial" w:eastAsia="Arial" w:hAnsi="Arial"/>
          <w:sz w:val="18"/>
          <w:szCs w:val="18"/>
          <w:color w:val="auto"/>
        </w:rPr>
        <w:t>Included in receivables and costs in excess of billings as of August 2, 2014 was approximately $6.8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retainage on long-term contracts, all of which is expected to be collected within one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Working capital was $145.7 million at August 2, 2014 and $140.5 million at April 26, 2014. The increase in working capital was primarily the result of higher sales, increases in cash, and accounts receivable. Partially offsetting these items were decreases in costs and estimated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earnings in excess of billings and increases among customer deposits and accounts payable. We have historically financed working capital needs through a combination of cash flow from operations and borrowings under bank credit agreements.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credit agreement with a U.S. bank for a $35.0 million line of credit, which includes up to $15.0 million for standby letters of credit. The line of credit, which was amended on November 15, 2013, is due on November 15, 2016. The interest rate ranges from LIBOR plus 145 basis points to LIBOR plus 195 basis points depending on the ratio of our interest-bearing debt to EBITDA. EBITDA is defined as net income before deductions for income taxes, interest expense, depreciation and amortization, all as determined in accordance with GAAP. The effective interest rate was 1.6 percent at August 2, 2014. We are assessed a loan fee equal to 0.125 percent per annum of any non-used portion of the loan. As of August 2, 2014, there were no advances to us under the line of credit and the balance of letters of credit outstanding was approximately $5.7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or other distributions, a capital expenditure reserve of $6 million, and income tax expenses, over (b) all principal and interest payments with respect to debt, excluding principal payments on the line of credit;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an additional credit agreement with another U.S. bank which supports our credit needs outside of the United States. It was also amended on November 15, 2013 and becomes due on November 15, 2016. The facility provides for a $40.0 million line of credit and includes facilities for letters of credit and bank guarantees and to secure foreign loans for our international subsidiaries. This credit agreement is unsecured. It contains the same covenants as the credit agreement on the line of credit and contains an inter creditor agreement whereby the debt has a cross default provision with the primary credit agreement. Total credit allowed between the two credit agreements is limited to $40 million. As of August 2, 2014, there were no advances outstanding and approximately $4.1 million in bank guarantees under this line of credit.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 compliance with all applicable covenants as of August 2, 2014 and April 26, 2014. The minimum fixed charge coverage ratio as of April 26, 2014 was 56-to-1, and the ratio of interest-bearing debt to EBITDA as of August 2, 2014 was .04-to-1.</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May 22, 2014, our Board of Directors declared a quarterly dividend of $0.10 per share on our common stock for the fiscal year ended April 26, 2014, payable on June 13, 2014.</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September 4, 2014, our Board of Directors declared a dividend of $0.10 per share payable on September 26, 2014 to shareholders of record of our common stock on September 15, 2014.</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any and all subsequent dividends will be reviewed regularly and declared by the Board at its discretion.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sometimes required to obtain performance bonds for display installations, and we have a bonding line available through a surety company for an aggregate of $150.0 million in bonded work outstanding. At August 2, 2014, we had $15.5 million of bonded work outstanding against this line.</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if our growth extends beyond current expectations, or if we make any strategic investments, we may need to increase our credit facilities or seek other means of financing. We anticipate we will be able to obtain any needed funds under commercially reasonable terms from our current lenders or other sources. We believe our working capital available from all sources will be adequate to meet the cash requirements of our operations in the foreseeable future.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August 2, 2014, most of our net sales were denominated in United States dollars, and our exposure to foreign currency exchange rate changes on net sales has not been significant. For the first quarter of fiscal 2015, net sales originating outside the United States were 14.9 percent of total net sales, of which a portion was denominated in Canadian dollars, Euros, Chinese renminbi, British pounds, Australian dollars, Brazilian reais or other currencies. We manufacture our products in the United States, China, and Belgium. Our results of operations could be affected by factors such as changes in foreign currency rates or weak economic conditions in foreign markets. If we believed currency risk in any foreign location is significant, we would utilize foreign exchange hedging contracts to manage our exposure to the currency fluctuations.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Over the long term, net sales to international markets are expected to increase as a percentage of net sales and, consequently, a greater portion of this business could be denominated in foreign currencies. In addition, we may fund our foreign subsidiaries’ operating cash needs in the form of loans denominated in U.S. dollars. As a result, operating results may become subject to fluctuations based upon changes in the exchange rates of certain currencies in relation to the United States dollar. To the extent we engage in international sales denominated in U.S. dollars, an increase in the value of the U.S. dollar relative to foreign currencies could make our products less competitive in international markets. This effect is also impacted by the sources of raw materials from international sources. We estimate that a 10 percent change in all foreign exchange rates would impact our reported income before taxes by approximately $1.8 million annually. This sensitivity analysis disregards the possibilities that rates can move in opposite directions and that losses from one geographic area may be offset by gains from another geographic area.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forward agreements in place to offset changes in the value of inter-company receivables from certain foreign subsidiaries due to changes in foreign exchange rates. The notional amount of these derivatives is $9.8 million, and all contracts mature within fourteen months. These contracts are marked to market each balance sheet date and are not designated as hedges. See Note 12 of the Notes to our Consolidated Financial Statements included in this Report for further details on our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August 2, 2014, our outstanding marketing obligations were $0.9 million, all of which were in fixed rate obligations.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August 2, 2014, our outstanding long-term receivables were $11.8 million. Each 25 basis point increase in interest rates would have an associated annual opportunity cost of $(0.1)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8"/>
          </w:tcPr>
          <w:p>
            <w:pPr>
              <w:ind w:left="54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260" w:type="dxa"/>
            <w:vAlign w:val="bottom"/>
          </w:tcPr>
          <w:p>
            <w:pPr>
              <w:ind w:left="40"/>
              <w:spacing w:after="0"/>
              <w:rPr>
                <w:sz w:val="20"/>
                <w:szCs w:val="20"/>
                <w:color w:val="auto"/>
              </w:rPr>
            </w:pPr>
            <w:r>
              <w:rPr>
                <w:rFonts w:ascii="Arial" w:cs="Arial" w:eastAsia="Arial" w:hAnsi="Arial"/>
                <w:sz w:val="18"/>
                <w:szCs w:val="18"/>
                <w:color w:val="auto"/>
                <w:w w:val="99"/>
              </w:rPr>
              <w:t>Long-term receivables, including current</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2,749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Variable-rate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Long-term marketing obligations, including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263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59"/>
        </w:trPr>
        <w:tc>
          <w:tcPr>
            <w:tcW w:w="3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23</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$60.1 million in cash balances at August 2, 2014, $49.8 million were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August 2, 2014, which is the end of the period covered by this Report. Based upon that evaluation, the Chief Executive Officer and Chief Financial Officer concluded that as of August 2, 2014,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August 2, 2014, there was no change in our internal control over financial reporting which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26, 2014.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486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spacing w:after="0" w:line="96" w:lineRule="exact"/>
        <w:rPr>
          <w:sz w:val="20"/>
          <w:szCs w:val="20"/>
          <w:color w:val="auto"/>
        </w:rPr>
      </w:pPr>
    </w:p>
    <w:p>
      <w:pPr>
        <w:ind w:left="580" w:right="200" w:hanging="539"/>
        <w:spacing w:after="0" w:line="277"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Articles of Incorporation of the Company (Incorporated by reference to Exhibit 3.1 filed with our Quarterly Report on Form 10-Q on August 30, 2013).</w:t>
      </w:r>
    </w:p>
    <w:p>
      <w:pPr>
        <w:spacing w:after="0" w:line="8"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 (Incorporated by reference to Exhibit 3.4 filed with our Annual Report on Form 10-K on June 12,</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486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spacing w:after="0" w:line="29" w:lineRule="exact"/>
        <w:rPr>
          <w:sz w:val="20"/>
          <w:szCs w:val="20"/>
          <w:color w:val="auto"/>
        </w:rPr>
      </w:pPr>
    </w:p>
    <w:p>
      <w:pPr>
        <w:ind w:left="580" w:right="200" w:hanging="539"/>
        <w:spacing w:after="0" w:line="277" w:lineRule="auto"/>
        <w:tabs>
          <w:tab w:leader="none" w:pos="560" w:val="left"/>
        </w:tabs>
        <w:rPr>
          <w:sz w:val="20"/>
          <w:szCs w:val="20"/>
          <w:color w:val="auto"/>
        </w:rPr>
      </w:pPr>
      <w:r>
        <w:rPr>
          <w:rFonts w:ascii="Arial" w:cs="Arial" w:eastAsia="Arial" w:hAnsi="Arial"/>
          <w:sz w:val="18"/>
          <w:szCs w:val="18"/>
          <w:color w:val="auto"/>
        </w:rPr>
        <w:t>10.1</w:t>
        <w:tab/>
        <w:t>Twelfth Amendment to Loan Agreement dated November 15, 2013 by and between the Company and U.S. Bank National Association (Incorporated by reference to Exhibit 10.1 filed with our Current Report on Form 8-K filed on November 18, 2013)</w:t>
      </w:r>
    </w:p>
    <w:p>
      <w:pPr>
        <w:spacing w:after="0" w:line="8" w:lineRule="exact"/>
        <w:rPr>
          <w:sz w:val="20"/>
          <w:szCs w:val="20"/>
          <w:color w:val="auto"/>
        </w:rPr>
      </w:pPr>
    </w:p>
    <w:p>
      <w:pPr>
        <w:ind w:left="580" w:right="220" w:hanging="539"/>
        <w:spacing w:after="0" w:line="277" w:lineRule="auto"/>
        <w:tabs>
          <w:tab w:leader="none" w:pos="560" w:val="left"/>
        </w:tabs>
        <w:rPr>
          <w:sz w:val="20"/>
          <w:szCs w:val="20"/>
          <w:color w:val="auto"/>
        </w:rPr>
      </w:pPr>
      <w:r>
        <w:rPr>
          <w:rFonts w:ascii="Arial" w:cs="Arial" w:eastAsia="Arial" w:hAnsi="Arial"/>
          <w:sz w:val="18"/>
          <w:szCs w:val="18"/>
          <w:color w:val="auto"/>
        </w:rPr>
        <w:t>10.2</w:t>
        <w:tab/>
        <w:t>Renewal Revolving Note dated November 15, 2013 issued by the Company to the U.S. Bank National Association. (Incorporated by reference to Exhibit 10.2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486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ind w:left="580" w:right="220" w:hanging="539"/>
        <w:spacing w:after="0" w:line="277" w:lineRule="auto"/>
        <w:tabs>
          <w:tab w:leader="none" w:pos="560" w:val="left"/>
        </w:tabs>
        <w:rPr>
          <w:sz w:val="20"/>
          <w:szCs w:val="20"/>
          <w:color w:val="auto"/>
        </w:rPr>
      </w:pPr>
      <w:r>
        <w:rPr>
          <w:rFonts w:ascii="Arial" w:cs="Arial" w:eastAsia="Arial" w:hAnsi="Arial"/>
          <w:sz w:val="18"/>
          <w:szCs w:val="18"/>
          <w:color w:val="auto"/>
        </w:rPr>
        <w:t>10.3</w:t>
        <w:tab/>
        <w:t>Fifth Amendment to Loan Agreement dated November 15, 2013 by and between the Company and Bank of America, N.A. (Incorporated by reference to Exhibit 10.3 filed with our Current Report on Form 8-K filed on November 18, 2013)</w:t>
      </w:r>
    </w:p>
    <w:p>
      <w:pPr>
        <w:spacing w:after="0" w:line="8" w:lineRule="exact"/>
        <w:rPr>
          <w:sz w:val="20"/>
          <w:szCs w:val="20"/>
          <w:color w:val="auto"/>
        </w:rPr>
      </w:pPr>
    </w:p>
    <w:p>
      <w:pPr>
        <w:ind w:left="580" w:right="220" w:hanging="539"/>
        <w:spacing w:after="0" w:line="298" w:lineRule="auto"/>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Reaffirmation of and Third Amendment to Unlimited Guaranty Agreement dated November 15, 2013 by and between the Company and Bank of America, N.A. (Incorporated by reference to Exhibit 10.4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486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ind w:left="580" w:right="220" w:hanging="539"/>
        <w:spacing w:after="0" w:line="277" w:lineRule="auto"/>
        <w:tabs>
          <w:tab w:leader="none" w:pos="560" w:val="left"/>
        </w:tabs>
        <w:rPr>
          <w:sz w:val="20"/>
          <w:szCs w:val="20"/>
          <w:color w:val="auto"/>
        </w:rPr>
      </w:pPr>
      <w:r>
        <w:rPr>
          <w:rFonts w:ascii="Arial" w:cs="Arial" w:eastAsia="Arial" w:hAnsi="Arial"/>
          <w:sz w:val="18"/>
          <w:szCs w:val="18"/>
          <w:color w:val="auto"/>
        </w:rPr>
        <w:t>10.5</w:t>
        <w:tab/>
        <w:t>Amended and Restated Revolving Note dated November 15, 2013 issued by the Company to Bank of America, N.A. (Incorporated by reference to Exhibit 10.5 filed with our Current Report on Form 8-K filed on November 18, 2013).</w:t>
      </w:r>
    </w:p>
    <w:p>
      <w:pPr>
        <w:spacing w:after="0" w:line="8" w:lineRule="exact"/>
        <w:rPr>
          <w:sz w:val="20"/>
          <w:szCs w:val="20"/>
          <w:color w:val="auto"/>
        </w:rPr>
      </w:pPr>
    </w:p>
    <w:p>
      <w:pPr>
        <w:ind w:left="580" w:right="200" w:hanging="539"/>
        <w:spacing w:after="0" w:line="277" w:lineRule="auto"/>
        <w:tabs>
          <w:tab w:leader="none" w:pos="56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486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ind w:left="580" w:right="220" w:hanging="539"/>
        <w:spacing w:after="0" w:line="277" w:lineRule="auto"/>
        <w:tabs>
          <w:tab w:leader="none" w:pos="56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(1)</w:t>
      </w:r>
    </w:p>
    <w:p>
      <w:pPr>
        <w:spacing w:after="0" w:line="8"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486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(1)</w:t>
      </w:r>
    </w:p>
    <w:p>
      <w:pPr>
        <w:spacing w:after="0" w:line="63" w:lineRule="exact"/>
        <w:rPr>
          <w:sz w:val="20"/>
          <w:szCs w:val="20"/>
          <w:color w:val="auto"/>
        </w:rPr>
      </w:pPr>
    </w:p>
    <w:p>
      <w:pPr>
        <w:jc w:val="both"/>
        <w:ind w:left="580" w:right="200" w:hanging="545"/>
        <w:spacing w:after="0" w:line="259"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August 2, 2014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24" w:lineRule="exact"/>
        <w:rPr>
          <w:rFonts w:ascii="Arial" w:cs="Arial" w:eastAsia="Arial" w:hAnsi="Arial"/>
          <w:sz w:val="18"/>
          <w:szCs w:val="18"/>
          <w:color w:val="auto"/>
        </w:rPr>
      </w:pPr>
    </w:p>
    <w:p>
      <w:pPr>
        <w:ind w:left="960" w:hanging="328"/>
        <w:spacing w:after="0"/>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486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September 5,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96"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of the Company (Incorporated by reference to Exhibit 3.1 filed with our Quarterly Report on Form</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10-Q on August 30, 2013).</w:t>
      </w:r>
    </w:p>
    <w:p>
      <w:pPr>
        <w:spacing w:after="0" w:line="49"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 (Incorporated by reference to Exhibit 3.4 filed with our Annual Report on Form 10-K on June 12,</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580" w:right="40" w:hanging="553"/>
        <w:spacing w:after="0" w:line="277" w:lineRule="auto"/>
        <w:tabs>
          <w:tab w:leader="none" w:pos="560" w:val="left"/>
        </w:tabs>
        <w:rPr>
          <w:sz w:val="20"/>
          <w:szCs w:val="20"/>
          <w:color w:val="auto"/>
        </w:rPr>
      </w:pPr>
      <w:r>
        <w:rPr>
          <w:rFonts w:ascii="Arial" w:cs="Arial" w:eastAsia="Arial" w:hAnsi="Arial"/>
          <w:sz w:val="18"/>
          <w:szCs w:val="18"/>
          <w:color w:val="auto"/>
        </w:rPr>
        <w:t>10.1</w:t>
        <w:tab/>
        <w:t>Twelfth Amendment to Loan Agreement dated November 15, 2013 by and between the Company and U.S. Bank National Association (Incorporated by reference to Exhibit 10.1 filed with our Current Report on Form 8-K filed on November 18, 2013)</w:t>
      </w:r>
    </w:p>
    <w:p>
      <w:pPr>
        <w:spacing w:after="0" w:line="8" w:lineRule="exact"/>
        <w:rPr>
          <w:sz w:val="20"/>
          <w:szCs w:val="20"/>
          <w:color w:val="auto"/>
        </w:rPr>
      </w:pPr>
    </w:p>
    <w:p>
      <w:pPr>
        <w:ind w:left="580" w:right="40" w:hanging="553"/>
        <w:spacing w:after="0" w:line="277" w:lineRule="auto"/>
        <w:tabs>
          <w:tab w:leader="none" w:pos="560" w:val="left"/>
        </w:tabs>
        <w:rPr>
          <w:sz w:val="20"/>
          <w:szCs w:val="20"/>
          <w:color w:val="auto"/>
        </w:rPr>
      </w:pPr>
      <w:r>
        <w:rPr>
          <w:rFonts w:ascii="Arial" w:cs="Arial" w:eastAsia="Arial" w:hAnsi="Arial"/>
          <w:sz w:val="18"/>
          <w:szCs w:val="18"/>
          <w:color w:val="auto"/>
        </w:rPr>
        <w:t>10.2</w:t>
        <w:tab/>
        <w:t>Renewal Revolving Note dated November 15, 2013 issued by the Company to the U.S. Bank National Association. (Incorporated by reference to Exhibit 10.2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580" w:right="40" w:hanging="553"/>
        <w:spacing w:after="0" w:line="277" w:lineRule="auto"/>
        <w:tabs>
          <w:tab w:leader="none" w:pos="560" w:val="left"/>
        </w:tabs>
        <w:rPr>
          <w:sz w:val="20"/>
          <w:szCs w:val="20"/>
          <w:color w:val="auto"/>
        </w:rPr>
      </w:pPr>
      <w:r>
        <w:rPr>
          <w:rFonts w:ascii="Arial" w:cs="Arial" w:eastAsia="Arial" w:hAnsi="Arial"/>
          <w:sz w:val="18"/>
          <w:szCs w:val="18"/>
          <w:color w:val="auto"/>
        </w:rPr>
        <w:t>10.3</w:t>
        <w:tab/>
        <w:t>Fifth Amendment to Loan Agreement dated November 15, 2013 by and between the Company and Bank of America, N.A. (Incorporated by reference to Exhibit 10.3 filed with our Current Report on Form 8-K filed on November 18, 2013)</w:t>
      </w:r>
    </w:p>
    <w:p>
      <w:pPr>
        <w:spacing w:after="0" w:line="8" w:lineRule="exact"/>
        <w:rPr>
          <w:sz w:val="20"/>
          <w:szCs w:val="20"/>
          <w:color w:val="auto"/>
        </w:rPr>
      </w:pPr>
    </w:p>
    <w:p>
      <w:pPr>
        <w:ind w:left="580" w:right="40" w:hanging="553"/>
        <w:spacing w:after="0" w:line="298" w:lineRule="auto"/>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Reaffirmation of and Third Amendment to Unlimited Guaranty Agreement dated November 15, 2013 by and between the Company and Bank of America, N.A. (Incorporated by reference to Exhibit 10.4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580" w:right="40" w:hanging="553"/>
        <w:spacing w:after="0" w:line="277" w:lineRule="auto"/>
        <w:tabs>
          <w:tab w:leader="none" w:pos="560" w:val="left"/>
        </w:tabs>
        <w:rPr>
          <w:sz w:val="20"/>
          <w:szCs w:val="20"/>
          <w:color w:val="auto"/>
        </w:rPr>
      </w:pPr>
      <w:r>
        <w:rPr>
          <w:rFonts w:ascii="Arial" w:cs="Arial" w:eastAsia="Arial" w:hAnsi="Arial"/>
          <w:sz w:val="18"/>
          <w:szCs w:val="18"/>
          <w:color w:val="auto"/>
        </w:rPr>
        <w:t>10.5</w:t>
        <w:tab/>
        <w:t>Amended and Restated Revolving Note dated November 15, 2013 issued by the Company to Bank of America, N.A. (Incorporated by reference to Exhibit 10.5 filed with our Current Report on Form 8-K filed on November 18, 2013).</w:t>
      </w:r>
    </w:p>
    <w:p>
      <w:pPr>
        <w:spacing w:after="0" w:line="8" w:lineRule="exact"/>
        <w:rPr>
          <w:sz w:val="20"/>
          <w:szCs w:val="20"/>
          <w:color w:val="auto"/>
        </w:rPr>
      </w:pPr>
    </w:p>
    <w:p>
      <w:pPr>
        <w:ind w:left="580" w:right="40" w:hanging="553"/>
        <w:spacing w:after="0" w:line="277" w:lineRule="auto"/>
        <w:tabs>
          <w:tab w:leader="none" w:pos="56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580" w:right="40" w:hanging="553"/>
        <w:spacing w:after="0" w:line="277" w:lineRule="auto"/>
        <w:tabs>
          <w:tab w:leader="none" w:pos="56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(1)</w:t>
      </w:r>
    </w:p>
    <w:p>
      <w:pPr>
        <w:spacing w:after="0" w:line="8"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(1)</w:t>
      </w:r>
    </w:p>
    <w:p>
      <w:pPr>
        <w:spacing w:after="0" w:line="63" w:lineRule="exact"/>
        <w:rPr>
          <w:sz w:val="20"/>
          <w:szCs w:val="20"/>
          <w:color w:val="auto"/>
        </w:rPr>
      </w:pPr>
    </w:p>
    <w:p>
      <w:pPr>
        <w:jc w:val="both"/>
        <w:ind w:left="580" w:right="40" w:hanging="545"/>
        <w:spacing w:after="0" w:line="259"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August 2, 2014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24" w:lineRule="exact"/>
        <w:rPr>
          <w:rFonts w:ascii="Arial" w:cs="Arial" w:eastAsia="Arial" w:hAnsi="Arial"/>
          <w:sz w:val="18"/>
          <w:szCs w:val="18"/>
          <w:color w:val="auto"/>
        </w:rPr>
      </w:pPr>
    </w:p>
    <w:p>
      <w:pPr>
        <w:ind w:left="980" w:hanging="327"/>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August 2, 2014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46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Date: September 5, 2014</w:t>
      </w:r>
    </w:p>
    <w:p>
      <w:pPr>
        <w:sectPr>
          <w:pgSz w:w="11900" w:h="16838" w:orient="portrait"/>
          <w:cols w:equalWidth="0" w:num="1">
            <w:col w:w="11420"/>
          </w:cols>
          <w:pgMar w:left="240" w:top="58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August 2, 2014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September 5, 2014</w:t>
      </w:r>
    </w:p>
    <w:p>
      <w:pPr>
        <w:sectPr>
          <w:pgSz w:w="11900" w:h="16838" w:orient="portrait"/>
          <w:cols w:equalWidth="0" w:num="1">
            <w:col w:w="11420"/>
          </w:cols>
          <w:pgMar w:left="240" w:top="58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August 2, 2014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44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Date: September 5, 2014</w:t>
      </w:r>
    </w:p>
    <w:p>
      <w:pPr>
        <w:sectPr>
          <w:pgSz w:w="11900" w:h="16838" w:orient="portrait"/>
          <w:cols w:equalWidth="0" w:num="1">
            <w:col w:w="11420"/>
          </w:cols>
          <w:pgMar w:left="240" w:top="58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August 2, 2014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September 5, 2014</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01"/>
    </w:lvl>
    <w:lvl w:ilvl="1">
      <w:lvlJc w:val="left"/>
      <w:lvlText w:val="(%2)"/>
      <w:numFmt w:val="decimal"/>
      <w:start w:val="1"/>
    </w:lvl>
  </w:abstractNum>
  <w:abstractNum w:abstractNumId="12">
    <w:nsid w:val="1BEFD79F"/>
    <w:multiLevelType w:val="hybridMultilevel"/>
    <w:lvl w:ilvl="0">
      <w:lvlJc w:val="left"/>
      <w:lvlText w:val="%1"/>
      <w:numFmt w:val="decimal"/>
      <w:start w:val="101"/>
    </w:lvl>
    <w:lvl w:ilvl="1">
      <w:lvlJc w:val="left"/>
      <w:lvlText w:val="(%2)"/>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2019-12-06T09:38:32Z</dcterms:created>
  <dcterms:modified xsi:type="dcterms:W3CDTF">2019-12-06T09:38:32Z</dcterms:modified>
</cp:coreProperties>
</file>