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8"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April 28, 2018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South Dakota</w:t>
            </w:r>
          </w:p>
        </w:tc>
        <w:tc>
          <w:tcPr>
            <w:tcW w:w="6800" w:type="dxa"/>
            <w:vAlign w:val="bottom"/>
            <w:gridSpan w:val="3"/>
          </w:tcPr>
          <w:p>
            <w:pPr>
              <w:jc w:val="right"/>
              <w:ind w:right="231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3"/>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(State or other jurisdiction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3"/>
              </w:rPr>
              <w:t>incorporation or organization)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505"/>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201 Daktronics Drive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10"/>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Brookings, SD</w:t>
            </w:r>
          </w:p>
        </w:tc>
        <w:tc>
          <w:tcPr>
            <w:tcW w:w="6800" w:type="dxa"/>
            <w:vAlign w:val="bottom"/>
            <w:gridSpan w:val="3"/>
          </w:tcPr>
          <w:p>
            <w:pPr>
              <w:jc w:val="right"/>
              <w:ind w:right="2519"/>
              <w:spacing w:after="0"/>
              <w:rPr>
                <w:sz w:val="20"/>
                <w:szCs w:val="20"/>
                <w:color w:val="auto"/>
              </w:rPr>
            </w:pPr>
            <w:r>
              <w:rPr>
                <w:rFonts w:ascii="Arial" w:cs="Arial" w:eastAsia="Arial" w:hAnsi="Arial"/>
                <w:sz w:val="16"/>
                <w:szCs w:val="16"/>
                <w:b w:val="1"/>
                <w:bCs w:val="1"/>
                <w:color w:val="auto"/>
              </w:rPr>
              <w:t>57006</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(Address of principal executive offices)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2"/>
        </w:trPr>
        <w:tc>
          <w:tcPr>
            <w:tcW w:w="4620" w:type="dxa"/>
            <w:vAlign w:val="bottom"/>
          </w:tcPr>
          <w:p>
            <w:pPr>
              <w:spacing w:after="0"/>
              <w:rPr>
                <w:sz w:val="18"/>
                <w:szCs w:val="18"/>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3"/>
              </w:rPr>
              <w:t>(605) 692-0200</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Title of Each Class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No Par Value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25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Purchase Rights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10-K.o</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12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360" w:space="720"/>
            <w:col w:w="5340"/>
          </w:cols>
          <w:pgMar w:left="240" w:top="468" w:right="239" w:bottom="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360" w:space="720"/>
            <w:col w:w="5340"/>
          </w:cols>
          <w:pgMar w:left="240" w:top="468" w:right="239" w:bottom="0" w:gutter="0" w:footer="0" w:header="0"/>
          <w:type w:val="continuous"/>
        </w:sectPr>
      </w:pPr>
    </w:p>
    <w:p>
      <w:pPr>
        <w:ind w:left="60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0" w:gutter="0" w:footer="0" w:header="0"/>
          <w:type w:val="continuous"/>
        </w:sectPr>
      </w:pPr>
    </w:p>
    <w:p>
      <w:pPr>
        <w:spacing w:after="0" w:line="25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6"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October 28, 2017 (which is the last business day at the Registrant’s most recently completed second quarter), computed by reference to the closing sales price of the Registrant’s common stock on the NASDAQ Stock Market on such date, was approximately $467,264,392.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4, 2018 was 44,588,625.</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468"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Annual Meeting of Shareholders to be held September 5, 2018 are incorporated by reference in Part III of the Form 10-K, as indicated in Items 10 through 14 of Part III.</w:t>
      </w:r>
    </w:p>
    <w:p>
      <w:pPr>
        <w:sectPr>
          <w:pgSz w:w="11900" w:h="16838" w:orient="portrait"/>
          <w:cols w:equalWidth="0" w:num="1">
            <w:col w:w="11420"/>
          </w:cols>
          <w:pgMar w:left="240" w:top="130"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FISCAL YEAR ENDED APRIL 28, 2018</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30"/>
        </w:trPr>
        <w:tc>
          <w:tcPr>
            <w:tcW w:w="98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520"/>
        </w:trPr>
        <w:tc>
          <w:tcPr>
            <w:tcW w:w="13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620" w:type="dxa"/>
            <w:vAlign w:val="bottom"/>
            <w:gridSpan w:val="2"/>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1B.</w:t>
              </w:r>
            </w:hyperlink>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UNRESOLVED STAFF COMMENTS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3.</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4.</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MINE SAFETY DISCLOSURES</w:t>
              </w:r>
            </w:hyperlink>
          </w:p>
        </w:tc>
        <w:tc>
          <w:tcPr>
            <w:tcW w:w="606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PART II</w:t>
              </w:r>
            </w:hyperlink>
          </w:p>
        </w:tc>
        <w:tc>
          <w:tcPr>
            <w:tcW w:w="7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5.</w:t>
              </w:r>
            </w:hyperlink>
          </w:p>
        </w:tc>
        <w:tc>
          <w:tcPr>
            <w:tcW w:w="760" w:type="dxa"/>
            <w:vAlign w:val="bottom"/>
            <w:gridSpan w:val="6"/>
          </w:tcPr>
          <w:p>
            <w:pPr>
              <w:spacing w:after="0"/>
              <w:rPr>
                <w:sz w:val="21"/>
                <w:szCs w:val="21"/>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ISSUER PURCHASES OF EQUITY SECURITIES</w:t>
              </w:r>
            </w:hyperlink>
          </w:p>
        </w:tc>
        <w:tc>
          <w:tcPr>
            <w:tcW w:w="4720" w:type="dxa"/>
            <w:vAlign w:val="bottom"/>
            <w:gridSpan w:val="11"/>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6.</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1"/>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7.</w:t>
              </w:r>
            </w:hyperlink>
          </w:p>
        </w:tc>
        <w:tc>
          <w:tcPr>
            <w:tcW w:w="760" w:type="dxa"/>
            <w:vAlign w:val="bottom"/>
            <w:gridSpan w:val="6"/>
          </w:tcPr>
          <w:p>
            <w:pPr>
              <w:spacing w:after="0"/>
              <w:rPr>
                <w:sz w:val="21"/>
                <w:szCs w:val="21"/>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OPERATIONS</w:t>
              </w:r>
            </w:hyperlink>
          </w:p>
        </w:tc>
        <w:tc>
          <w:tcPr>
            <w:tcW w:w="7380" w:type="dxa"/>
            <w:vAlign w:val="bottom"/>
            <w:gridSpan w:val="19"/>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7A.</w:t>
              </w:r>
            </w:hyperlink>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ITEM 9.</w:t>
              </w:r>
            </w:hyperlink>
          </w:p>
        </w:tc>
        <w:tc>
          <w:tcPr>
            <w:tcW w:w="760" w:type="dxa"/>
            <w:vAlign w:val="bottom"/>
            <w:gridSpan w:val="6"/>
          </w:tcPr>
          <w:p>
            <w:pPr>
              <w:spacing w:after="0"/>
              <w:rPr>
                <w:sz w:val="21"/>
                <w:szCs w:val="21"/>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DISCLOSURE</w:t>
              </w:r>
            </w:hyperlink>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ITEM 9A.</w:t>
              </w:r>
            </w:hyperlink>
          </w:p>
        </w:tc>
        <w:tc>
          <w:tcPr>
            <w:tcW w:w="620" w:type="dxa"/>
            <w:vAlign w:val="bottom"/>
            <w:gridSpan w:val="2"/>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CONTROLS AND PROCEDURES</w:t>
              </w:r>
            </w:hyperlink>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ITEM 9B.</w:t>
              </w:r>
            </w:hyperlink>
          </w:p>
        </w:tc>
        <w:tc>
          <w:tcPr>
            <w:tcW w:w="6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OTHER INFORMATION</w:t>
              </w:r>
            </w:hyperlink>
          </w:p>
        </w:tc>
        <w:tc>
          <w:tcPr>
            <w:tcW w:w="720" w:type="dxa"/>
            <w:vAlign w:val="bottom"/>
            <w:gridSpan w:val="3"/>
          </w:tcPr>
          <w:p>
            <w:pPr>
              <w:spacing w:after="0"/>
              <w:rPr>
                <w:sz w:val="21"/>
                <w:szCs w:val="21"/>
                <w:color w:val="auto"/>
              </w:rPr>
            </w:pPr>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52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6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10.</w:t>
              </w:r>
            </w:hyperlink>
          </w:p>
        </w:tc>
        <w:tc>
          <w:tcPr>
            <w:tcW w:w="84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ITEM 11.</w:t>
              </w:r>
            </w:hyperlink>
          </w:p>
        </w:tc>
        <w:tc>
          <w:tcPr>
            <w:tcW w:w="680" w:type="dxa"/>
            <w:vAlign w:val="bottom"/>
            <w:gridSpan w:val="4"/>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EXECUTIVE COMPENSATION</w:t>
              </w:r>
            </w:hyperlink>
          </w:p>
        </w:tc>
        <w:tc>
          <w:tcPr>
            <w:tcW w:w="3360" w:type="dxa"/>
            <w:vAlign w:val="bottom"/>
            <w:gridSpan w:val="7"/>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12.</w:t>
              </w:r>
            </w:hyperlink>
          </w:p>
        </w:tc>
        <w:tc>
          <w:tcPr>
            <w:tcW w:w="84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13.</w:t>
              </w:r>
            </w:hyperlink>
          </w:p>
        </w:tc>
        <w:tc>
          <w:tcPr>
            <w:tcW w:w="84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14.</w:t>
              </w:r>
            </w:hyperlink>
          </w:p>
        </w:tc>
        <w:tc>
          <w:tcPr>
            <w:tcW w:w="84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72">
              <w:r>
                <w:rPr>
                  <w:rFonts w:ascii="Arial" w:cs="Arial" w:eastAsia="Arial" w:hAnsi="Arial"/>
                  <w:sz w:val="18"/>
                  <w:szCs w:val="18"/>
                  <w:b w:val="1"/>
                  <w:bCs w:val="1"/>
                  <w:color w:val="0000EE"/>
                  <w:w w:val="98"/>
                </w:rPr>
                <w:t>PART IV</w:t>
              </w:r>
            </w:hyperlink>
          </w:p>
        </w:tc>
        <w:tc>
          <w:tcPr>
            <w:tcW w:w="6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15.</w:t>
              </w:r>
            </w:hyperlink>
          </w:p>
        </w:tc>
        <w:tc>
          <w:tcPr>
            <w:tcW w:w="848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69</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7"/>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Daktronics, Inc. and subsidiaries (the “Company”, “Daktronics”, “we”, “our”, or “us”) are the world's industry leader in designing and manufacturing electronic scoreboards, programmable display systems and large screen video displays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offering shares under the symbol DAKT on the NASDAQ National Market system. Today, Daktronics has grown from a small company operating out of a garage to the world leader in the display industry.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engaged in a full range of activities: marketing and sales, engineering and product design and development, manufacturing, technical contracting, professional services and customer service and support. We have organized our business into five segments: Commercial, Live Events, High School Park and Recreation, Transportation, and International. These segments are based on the type of customer or geography and are the same as our business units. Financial information concerning these segments is set forth in this Form 10-K in "Part II, Item 7. Management’s Discussion and Analysis of Financial Condition and Results of Operations" and "Note 2. Segment Reporting" of the Notes to our Consolidated Financial Statements included in this Form 10-K.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quarterly and current reports and any amendments to those reports are filed with the Securities and Exchange Commission (“SEC”) and are available at http://investor.daktronics.com. We post each of these documents on our website as soon as reasonably practicable after it is electronically filed with the SEC. These reports are also found on the SEC’s website at www.sec.gov. Information contained on our website is not deemed to be incorporated by reference into this Report or filed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meet all our customers' large format display needs in a complete, integrated system. This has proven to be a key factor in Daktronics becoming a leader in large electronic displays.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Marketing and Sales. </w:t>
      </w:r>
      <w:r>
        <w:rPr>
          <w:rFonts w:ascii="Arial" w:cs="Arial" w:eastAsia="Arial" w:hAnsi="Arial"/>
          <w:sz w:val="17"/>
          <w:szCs w:val="17"/>
          <w:color w:val="auto"/>
        </w:rPr>
        <w:t>Our sales force is comprised of direct sales staff and resellers located throughout the world supporting all customer types in both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 We primarily use a direct sales force for large integrated display systems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the products sold by resellers in North America are standard catalog products. We support our resellers through direct mail/email advertising, trade journal advertising, product and installation training, trade show exhibitions and accessibility to our regional sales or service teams and demonstration equipment.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Engineering and Product Design and Development. </w:t>
      </w:r>
      <w:r>
        <w:rPr>
          <w:rFonts w:ascii="Arial" w:cs="Arial" w:eastAsia="Arial" w:hAnsi="Arial"/>
          <w:sz w:val="16"/>
          <w:szCs w:val="16"/>
          <w:color w:val="auto"/>
        </w:rPr>
        <w:t>The large format electronic display industry is characterized by ongoing product innovations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developments in 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quality design; and customer and product support. We assign product managers to each product family to assist our sales staff in training and implementing product improvements which ensures each product is designed for maximum reliability and serviceability. We employ process engineers to assist in quality and reliability processing in our product design testing and manufacturing areas.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The majority of our products are manufactured in the United States, specifically in South Dakota and Minnesota. We also have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 China and Ireland. We perform component manufacturing, system manufacturing (metal fabrication, electronic assembly, sub-assembly and final assembly) and testing in-house for most of our products to control quality, improve response time and maximize cost-effectiveness. Our manufacturing facilities are somewhat aligned with our business segments' sales, marketing, and product design and development areas to accelerate technology improvements and improve our cost structure.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use of product platforms to increase efficiencies. Other strategies include supplier management programs and lean manufacturing techniques. For more details on our facilities, see "Part II, Item 2. Properties".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a number of jurisdictions.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To assist our clients' ability to engage, inform and entertain their audiences, we provide professional services including event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creation, product maintenance, marketing assistance, training on hardware and software, control room design, and continuing technical support training for operators.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graphics or animation on the displays. We customize our products according to the design specifications of the customer and the conditions of the environment in which our products function.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 all of which include control systems and software:</w:t>
      </w:r>
    </w:p>
    <w:p>
      <w:pPr>
        <w:spacing w:after="0" w:line="252"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Space availability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Out-of-Home advertising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Indoor dynamic messaging systems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Video Displays. </w:t>
      </w:r>
      <w:r>
        <w:rPr>
          <w:rFonts w:ascii="Arial" w:cs="Arial" w:eastAsia="Arial" w:hAnsi="Arial"/>
          <w:sz w:val="16"/>
          <w:szCs w:val="16"/>
          <w:color w:val="auto"/>
        </w:rPr>
        <w:t>These displays are comprised of a large number of full-color pixels capable of showing various levels of video, graphics and animation.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(surface mount vs. through hole).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LED ribbon board displays are ultra-slim, customizable displays that accommodate curved and 360° installations. These displays are used for end zones, sidelines, encircling a stadium, outfields, concourses, stadium exterior or other linear applications. For new construction projects, our ProRail® attachment system is combined with ribbon board technology to provide improved sight lines for fans. Digital ribbon boards generally serve as a revenue generation source for teams and facilities through advertising, as well as another location to display information such as scoring and statistics.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mobile and modular display systems are transportable and are comprised of lightweight individual LED video panels less than a square meter in size and are assembled together to form a display in a customizable size. These displays are used for touring shows and live events market.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displays are less than one inch in depth and provide an elegant, refined structural appearance.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entire networks of displays from a single, intuitive control interface. Features allow users to instantly deliver media clips, camera feeds, and streaming information to any display in a network.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5500, designed for more sophisticated scoring systems and allowing for more user-defined options.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software to facilitate the sporting event. Other timing system components include swimming touchpads, race start systems, and relay take-off platforms.</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Galaxy® product line is a family of full-matrix displays, available in both indoor and outdoor models and controlled with the Venus®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Suite. Galaxy® displays are full color or monochrome with varying pixel spacing depending on color, size and viewing distance. Galaxy® displays are capable of displaying text, graphics and animation, as well as prerecorded video clips. They are used primarily as message centers to convey information and advertising to consumers.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mass transit and aviation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The 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Space Availability Displays. </w:t>
      </w:r>
      <w:r>
        <w:rPr>
          <w:rFonts w:ascii="Arial" w:cs="Arial" w:eastAsia="Arial" w:hAnsi="Arial"/>
          <w:sz w:val="17"/>
          <w:szCs w:val="17"/>
          <w:color w:val="auto"/>
        </w:rPr>
        <w:t>This product line is our digit and directional displays, which are primarily marketed and sold for use in parking facilities. They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multi-line displays delivered in vertical cabinets or drop-in digit panels designed to be mounted in existing structures or signs.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Audio Systems. </w:t>
      </w:r>
      <w:r>
        <w:rPr>
          <w:rFonts w:ascii="Arial" w:cs="Arial" w:eastAsia="Arial" w:hAnsi="Arial"/>
          <w:sz w:val="18"/>
          <w:szCs w:val="18"/>
          <w:color w:val="auto"/>
        </w:rPr>
        <w:t>Our audio systems include both standard and custom options. Standard audio systems are designed to meet the needs of a variety of indoor</w:t>
      </w:r>
      <w:r>
        <w:rPr>
          <w:rFonts w:ascii="Arial" w:cs="Arial" w:eastAsia="Arial" w:hAnsi="Arial"/>
          <w:sz w:val="18"/>
          <w:szCs w:val="18"/>
          <w:i w:val="1"/>
          <w:iCs w:val="1"/>
          <w:color w:val="auto"/>
        </w:rPr>
        <w:t xml:space="preserve"> </w:t>
      </w:r>
      <w:r>
        <w:rPr>
          <w:rFonts w:ascii="Arial" w:cs="Arial" w:eastAsia="Arial" w:hAnsi="Arial"/>
          <w:sz w:val="18"/>
          <w:szCs w:val="18"/>
          <w:color w:val="auto"/>
        </w:rPr>
        <w:t>and 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 Our audio systems also complement our video display systems used in mall applications.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Out-of-Home Advertising Displays. </w:t>
      </w:r>
      <w:r>
        <w:rPr>
          <w:rFonts w:ascii="Arial" w:cs="Arial" w:eastAsia="Arial" w:hAnsi="Arial"/>
          <w:sz w:val="18"/>
          <w:szCs w:val="18"/>
          <w:color w:val="auto"/>
        </w:rPr>
        <w:t>Our line of out-of-home advertising displays includes billboards and street furniture displays. Our line of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billboards offers a unique display solution for the Out-of-Home (“OOH”) advertising industry. The products are used 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Visiconn® system and Venus Control Suite are the software applications for controlling content and playback loops for OOH applications. This system can transform any Internet-ready computer into a secure, global control center for multiple LED displays, flat panel monitors and other display technologies.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digital street furniture engages people with advertising content at eye level as they walk through campuses, cityscapes, and outlet malls. This design enhances the message and complements surrounding architecture. These street furniture displays are our most flexible solution for digital OOH campaigns.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This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8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 xml:space="preserve">Indoor Dynamic Messaging Systems. </w:t>
      </w:r>
      <w:r>
        <w:rPr>
          <w:rFonts w:ascii="Arial" w:cs="Arial" w:eastAsia="Arial" w:hAnsi="Arial"/>
          <w:sz w:val="18"/>
          <w:szCs w:val="18"/>
          <w:color w:val="auto"/>
        </w:rPr>
        <w:t>Our ADFLOW DMS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include indoor networked solutions for retailers, convenience stores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These solutions allow customers to broadcast advertising campaigns and other information through the software, media players and visual hardware.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Materials used in the production of our video display systems are sourced from around the world. We source some of our materials from a single-source or a limited number of suppliers due to the proprietary nature of the materials. Many electrical components are in high demand and can cause extended lead-times. The loss of a key supplier, part unavailability, or a defect in the supplied material or component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several displays, controllers, and subcontracted structure builds, each of which can occur on varied schedules per the customer's needs. Outdoor installations sales can be impacted by outdoor weather conditions and seasons. Often, our first and second fiscal quarters are the busiest because of the impact of the sports and construction season. Our third fiscal quarter tends to be a slower quarter because it includes two holidays and generally less outdoor construction work occurs.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to the owners and operators of premier professional sports arenas. Our customers are important to us, and we strive to serve them over the long-term to earn their future business. The loss of one or more customers could have an adverse effect on us. Although we are not economically dependent on any single customer, within our Commercial business unit digital billboard niche, two major customers account for more than 50 percent of sales. See "Note 2. Segment Reporting" of the Notes to our Consolidated Financial Statements included in this Form 10-K for our primary markets and customers of each business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backlog consists of contractually binding sales agreements or purchase orders for integrated electronic display systems and related products and excludes extended service agreements and service only orders.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orders have varied estimated profitability, our backlog is not necessarily indicative of future net sales or net income. Backlog is not a measure defined by generally accepted accounting principles in the United States ("GAAP"), and our methodology for determining backlog may vary from the methodology used by other companies in determining their backlog amounts.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backlog as of April 28, 2018 was $170.8 million as compared to $203.2 million as of April 29, 2017. We expect to fulfill this backlog within the next 24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other countries, various laws, regulations and ordinances restrict the installation of outdoor signs and displays, particularly in the commercial market. These laws and regulations impose greater restrictions on electronic displays versus non-electronic displays due to alleged concerns over aesthetics or driver safety. These factors may prevent or inhibit us from selling products to some prospective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global supply chain and sales distribution channels subject us to various trade compliance regulations. These requirements include certification of country of origin, classification within the various tariff codes, and compliance with other specific product or country import/export regulations.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global operations subject us to various laws and regulations, including laws and regulations relating to tax compliance, anti-corruption, and data privacy. These requirements vary and can include things like records management, policy creation and maintenance, data protection programs, compliance filings, and continued training of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these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encounter a wide variety of competitors that vary by product, geographic area, and business unit. Our competitors include both United States and foreign companies and range in size and product offerings. Some of our competitors compete in certain markets by providing lower-cost display systems, which are of a lesser quality with lower product performance or include less customer support. Other competitors use sponsorships as a means to win the business at a particular location.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ability to compete depends upon product quality and features, technical expertise, service breadth, and cost-effective solutions.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engineering and product design and development capability and experience are very important factors to continue to develop the most up-to-date digital displays and control system solutions desired by the market. Our product design and development expenses were $35.5 million, $29.1 million and $26.9 million for the fiscal years 2018,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28, 2018, we employed approximately 2,405 full-time employees and approximately 308 part-time and temporary employees. Of these employees, approximately 881 were in manufacturing, 567 were in sales and marketing, 575 were in customer service, 431 were in engineering and 259 were in general and administrative.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operate in highly competitive markets and face significant competition and pricing pressure. If we are unable to keep up with the rapidly changing product market or compete effectively, we could lose market share, large project orders, and our results of operations could be negatively impacted.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electronic display industry is characterized by ongoing product improvement, innovations and development. We compete against products produced in foreign countries and the United States. In addition, our products compete with other forms of advertising, such as television, print media and fixed display signs. Our competitors may develop cheaper, more efficient products, or they may be willing to charge lower prices to increase their market share. Some competitors have more capital and other resources, which may allow them to take advantage of acquisition opportunities or adapt more quickly to changes in customer requirements. To remain competitive, we must anticipate and respond quickly to our customers’ needs, enhance our existing products, introduce new products and features, and continue to price our products competitively.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on a quarterly and annual basis are likely to fluctuate and are substantially affected by the size and timing of large contract order awards.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and earnings have varied in the past and are likely to vary in the future. When awarded large contracts, primarily in the college and professional sports facilities markets, the OOH niche, the transportation market, and the large spectacular niche, the timing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amount of these contracts could cause material fluctuations in our net sales and earnings. Awards of large contracts and their timing and amounts are difficult to predict, may not be repeatable, and are outside of our control. Operating results in one quarter or fiscal year may not be indicative of future operating results. Some factors that may cause our operating results to vary include:</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product mix;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capacity utilization;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or cancellations of orders.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 These estimates and assumptions affect the recognition of contract revenue, costs, profits or losses in applying the principles of percentage of completion; estimated amounts for warranty costs; the valuation of our deferred tax assets; and estimating the impact of uncertainties in the application of complex tax laws. Although we believe that these estimates and assumptions are reasonable under the circumstances, they are subject to significant uncertainties, some of which are beyond our control. If management's estimates and assumptions change or are not correct, our financial condition or results of operation could be adversely affected.</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Unanticipated warranty and other costs for defective products could adversely affect our financial condition and results of operations and reputation.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The time required to remediate a claim may take time and could result in lost or deferred revenue, lead to costly warranty expenses, and could have a material adverse impact on our financial condition and operating results.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fiscal 2016, we discovered a warranty issue caused by a mechanical device failure within a module for displays primarily in our OOH application built prior to fiscal 2013. During fiscal 2018, 2017 and 2016, we recognized warranty expense for probable and reasonably estimated costs to remediate this issue of $4.5 million, $1.8 million, and $9.2 million, respectively. The increased warranty expense in fiscal 2018 is primarily based on our decision to preserve our market leadership and for customer relationship purposes in certain cases beyond our contractual obligations. See "Note 18. Commitments and Contingencies" of the Notes to our Consolidated Financial Statements included in this Form 10-K for more information regarding our warranty accrual.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complexity of many of our client contracts, accurately estimating the cost, scope and duration of a particular contract can be a difficult task. Unanticipated costs that exceed our original estimates are not recoverable under fixed price contracts. Unanticipated cost increases may occur as a result of several factors including, but not limited to: increases in the cost or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products have long sales, delivery and acceptance cycles. In addition, our backlog is subject to order cancellations and delays. Orders normally contain cancellation provisions to permit our recovery of costs expended and a pro-rata portion of the profit. If projects are delayed, revenue recognition can occur over longer periods of time, and projects may remain in the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on a single-source or a limited number of suppliers for our raw materials and components. The loss, interruption, or material change in our business relationship could cause a disruption in supply and a substantial increase in costs of such materials. Such change could cause harm to our sales,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 some of our raw materials and components used in the manufacture of our products from one or a limited number of suppliers. If we cannot obtain key raw materials or components from our suppliers, the raw materials and components may not be readily available from other suppliers, other suppliers may not agree to supply the materials to us on terms as favorable as the terms we currently receive, or the materials from any other suppliers may not be of adequate and consistent quality. Although we believe our supply of raw materials and components is adequate for the needs of our business, we cannot assure that new sources of supply will be available when needed. Any interruption in our supply of raw materials or components could affect our ability to manufacture our products until a new source of supply is located and, therefore, could have a material adverse effect on our business, financial condition or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timely and effectively obtain shipments of raw materials and components from our suppliers or send shipments of our manufactured product to our customers, our business and operating results could be adversely affected.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control all of the various factors that might affect our suppliers' timely and effective delivery of raw materials and components to our manufacturing facilities or the availability of freight capacity to deliver products to our customers.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utilization of a complex supply chain for raw material and component imports and our global distribution of our products makes us vulnerable to many risks, including, among other things, risks of damage, destruction or confiscation of products while in transit to and from our manufacturing facilities; organized labor strikes and work stoppages, such as labor disputes, that could disrupt operations at ports-of-entry; transportation and other delays in shipments, including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or at favorable shipping rates and, therefore, may not be able to timely receive shipments of raw materials and components or deliver products to customers.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Price fluctuations in, and shortages of, raw materials and components can have a significant impact on our ability to produce our products which could cause harm to our sales,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Price fluctuations and shortages of any raw materials and components used to manufacture our products can occur due to various factors (such as worldwide demand, natural disasters, logistic disruptions, and trade regulations). Electronic components used in our products are sometimes in short supply, which may impact our ability to meet customer demand. If we experience shortages or increases in the price of raw materials and components and are unable to pass on those increases to our customers or are unable to manufacture our products, it could negatively affect our business, financial condition or results of operations. In addition to increased costs, these factors could delay delivery of products, which may result in the assessment of liquidated damages or other contractual damages that could negatively impact our profits.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third parties to complete our contracts.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Depending on the breadth of the scope of work of a contract, we may hire third-party subcontractors to perform on-site installation and service related activities or hire manufacturers of structures or elements of structures related to on-site installation. If we are unable to hire qualified subcontractors or find qualified manufacturers for on-site elements, our ability to successfully complete a project could be impaired. If we are not able to locate qualified third-party subcontractors or manufacturers of on-site elements, the amount we are required to pay for subcontractors or equipment and supplies may exceed what we have estimated, and we may suffer losses on these contracts. If the subcontractor or manufacturer fails to provide services or manufacture on-site elements,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increase our production capacity and the overhead supporting production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 for components used in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geography of the order and related shipping methods;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maintain insurance both as a corporate risk management strategy and to satisfy the requirements of many of our contracts with customers. As the </w:t>
      </w:r>
      <w:r>
        <w:rPr>
          <w:rFonts w:ascii="Arial" w:cs="Arial" w:eastAsia="Arial" w:hAnsi="Arial"/>
          <w:sz w:val="15"/>
          <w:szCs w:val="15"/>
          <w:color w:val="auto"/>
        </w:rPr>
        <w:t>co</w:t>
      </w:r>
      <w:r>
        <w:rPr>
          <w:rFonts w:ascii="Arial" w:cs="Arial" w:eastAsia="Arial" w:hAnsi="Arial"/>
          <w:sz w:val="17"/>
          <w:szCs w:val="17"/>
          <w:color w:val="auto"/>
        </w:rPr>
        <w:t>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could adversely affect our financial condition or results of operations.</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and conditions of our credit facilities impose restrictions limiting our ability to incur debt, contingent liabilities, lease obligations or liens; make a substantial change of ownership; or acquire or purchase a business or its assets. The availability of our credit facilities is also subject to certain financial covenants which impose restrictions on the level of cash dividends and capital expenditures. A breach of any of these covenants could result in an event of default under our credit facility. Upon the occurrence of an event of default, the lender could elect to declare any and all amounts outstanding under such facility to be immediately due and payable and terminate all commitments to extend further credit. For additional information on financing agreements, see "Note 10. Financing Agreements" of the Notes to our Consolidated Financial Statements included in this Form 10-K.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foreseeable future, it is anticipated that borrowings from our existing credit facilities and cash provided by operating activities should provide sufficient funds to finance our capital expenditures, working capital and otherwise meet operating expenses and debt service requirements. However, if additional capital is required, there can be no assurance we will be able to obtain such capital when needed or on satisfactory terms. Also, market conditions can negatively impact our customers' ability to fund their projects and can impact our vendors, suppliers, and subcontractors and may not allow them to perform their obligations to us.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particular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Weakened global economic conditions may adversely affect our industry, business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overall performance depends in part on worldwide economic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conditions affect consumer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events, including natural disasters, may increase our cost of doing business or disrupt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occurrence of one or more unexpected events, including war, terrorist acts, fires, tornadoes, floods and severe weather in the United States or in other countries in which we operate, may disrupt our operations as well as the operations of our customers. Such acts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global operations are exposed to global geopolitical, economic and social changes and conditions which expose our operations to risks and uncertainties, including unfavorable political developments, economic changes, unfavorable trading policies, difficulties in staffing and managing global operations, and additional compliance with foreign and domestic governmental regulations or requirements.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United States and foreign operations, sales, earnings, and strategies for profitable growth can be adversely affected by changes in treaty and trade relationships,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exist include changing social conditions and attitudes, terrorism, or political hostilities and war. Other difficulties of global operations include staffing and managing foreign operations, including logistical and communication challenges. The likelihood of such occurrences and their overall effect on us vary greatly from country to country and are not predictable.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Doing business on a worldwide basis requires us to comply with the laws and regulations of the United States government and various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we and our operations are subject to U.S. and foreign anti-corruption and trade control laws and regulations, such as the United States Foreign Corrupt Practices Act (the “FCPA”), United Kingdom Bribery Act (the “Bribery Act”); and export controls and economic sanctions programs, including those administered by the U.S. Treasury Department’s Office of Foreign Assets Control (“OFAC”), the State Department’s Directorate of Defense Trade Controls (the “DDTC”), and the Bureau of Industry and Security (the “BIS”) of the U.S. Department of Commerce.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prohibited payments to foreign officials for the purpose of obtaining or retaining business, and other similar regulations in other areas of the world. In addition, the provisions of the Bribery Act apply to bribery of foreign officials and also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an exporter, we must comply with various laws and regulations relating to the export of products and technology from the U.S.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and repeat failures could carry more significant penalties.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joint venture partners take inside or outside of the United States, even though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U.S. Tax Cuts and Jobs Act is one such example of recent legislation that impacts our effective tax rate.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 changes in the tax laws of the United States and foreign jurisdictions could arise, including additional tax reform in the United States and the base erosion and profit shifting (“BEPS”) project undertaken by the Organisation for Economic Co-operation and Development (“OECD”). Both the United States tax reform and the OECD proposed recommendations,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 pose financial, management and other risks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routinely explore acquiring other businesses and assets. Periodically, we may also consider disposing of certain assets, subsidiaries, or lines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or divestitures present financial, managerial and operational challenges. These include, but are not limited to, the following:</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involved in evaluating or modifying the financial systems of an acquired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appropriate internal controls.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on our consolidated balance sheet as described in "Note 6. Goodwill and Intangible Assets" of the Notes to our Consolidated Financial Statements included in this Form 10-K. Goodwill represents the purchase price paid in excess of the fair value of net tangible and intangible assets acquired in a business combination. Goodwill is not amortized and remains on our balance sheet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 During fiscal 2017, we recorded a technology and customer list intangible asset impairment of $0.8 million. We had no impairment in fiscal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heavily on digital technologies for the successful operation of our business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date protection or lack of required reporting. Any disruption in our digital technologies could affect our business and operations, causing potentially significant expenses to recover and modify the data systems and to investigate and remediate any vulnerabilities, which could severely damage our reputation with customers, suppliers, employees and investors and expose us to risk of litigation and liability.</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has been increasing regulatory enforcement and litigation activity in the areas of privacy, data protection and information security in the U.S. and in various countries in which we operate. For example, effective on May 25, 2018, the General Data Protection Regulation (“GDPR”) became effective, and the GDPR applies to any organization, including Daktronics, that holds or uses data on people inside the European Union (“EU”). Under the GDPR, businesses must generally obtain consent from individuals in the EU before they store or process personal information, and data cannot be held longer than necessary. The GDPR creates a range of new compliance obligations, which have caused us to change some of our business practices relative to the EU. The GDPR greatly increases the jurisdictional reach of EU law and significantly increases financial penalties for noncompliance, including possible fines of up to 4% of global annual turnover for the preceding financial year or €20 million (whichever is higher) for the most serious infringements.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state and federal legislators and/or regulators in the U.S. and other countries in which we operate are increasingly adopting or revising privacy, data protection and information security laws that potentially could have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Compliance with current or future privacy, data protection and information security laws relating to consumer and/or employee data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decreases in the use or acceptance of our products and services, and damage to our reputation and our brand.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in the regions surrounding our facilities could require us to pay more to hire and retain key personnel, thereby increasing our costs.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outcome of pending and future claims, investigations or litigation can have a material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or other liabilities to the extent we are not insured against a loss or our insurance fails to provide adequate coverage. Also, a well-publicized actual or perceived threat of litigation could adversely affect our reputation and reduce the demand for our products.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utilized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therefore adversely affect our stock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These provisions relate to:</w:t>
      </w:r>
    </w:p>
    <w:p>
      <w:pPr>
        <w:spacing w:after="0" w:line="166"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without shareholder approval, to authorize and issue shares of stock with voting, liquidation, dividend and other rights and preferences that are superior to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shareholder rights plan providing for the exercise of common stock purchase rights when a person becomes the beneficial owner of 15 percent or more of our outstanding common stock (subject to certain exceptions);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prices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pay dividends on our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approved a regular dividend since fiscal 2006. The declaration, amount and timing of such dividends are subject to capital availability and determinations by our Board of Directors that cash dividends are in the best interest of our shareholders and are in compliance with all respective laws and our agreements applicable to the declaration and payment of cash dividends. Our ability to pay dividends will depend upon, among other factors, our cash balances and potential future capital requirements for strategic transactions, including acquisitions, results of operations, financial condition and other factors that our Board of Directors may deem relevant. A reduction in or elimination of our dividend payments and/or our dividend program could have a material negative effect on our stock price.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Aelred Kurtenbach served as our Chairman of the Board until September 3, 2014, when he retired. Mr. Reece Kurtenbach, who is Dr. Aelred Kurtenbach's son, serves as our Chairman of the Board and Chief Executive Officer. In addition, Dr. Aelred Kurtenbach has two other children who serve as our Vice President of Human Resources and as our Vice President of Manufacturing. Together, these individuals, in the aggregate, beneficially owned 9.0% of our outstanding common stock as of June 4, 2018, assuming the exercise by them of all of their options that were currently exercisable or that vest within 60 days of June 4, 2018. In addition, our other executive officers and directors, in the aggregate, beneficially owned an additional 4.7% of our outstanding common stock as of June 4, 2018, assuming the exercise by them of all of their options currently exercisable or that vest within 60 days of June 4, 2018. While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approval of any merger, consolidation, sale of all or substantially all of our assets or other business combination or reorganization.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annually, we filed Forms SD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for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real estate properties are in areas we deem necessary to meet sales, service and operating requirements. We consider all our properties to be both suitable and adequate to meet our requirements for the foreseeable future. A description of our principal facilities is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Owned or</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4460" w:type="dxa"/>
            <w:vAlign w:val="bottom"/>
          </w:tcPr>
          <w:p>
            <w:pPr>
              <w:spacing w:after="0"/>
              <w:rPr>
                <w:sz w:val="18"/>
                <w:szCs w:val="18"/>
                <w:color w:val="auto"/>
              </w:rPr>
            </w:pPr>
          </w:p>
        </w:tc>
      </w:tr>
      <w:tr>
        <w:trPr>
          <w:trHeight w:val="234"/>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Facilities</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Leased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ind w:left="40"/>
              <w:spacing w:after="0"/>
              <w:rPr>
                <w:sz w:val="20"/>
                <w:szCs w:val="20"/>
                <w:color w:val="auto"/>
              </w:rPr>
            </w:pPr>
            <w:r>
              <w:rPr>
                <w:rFonts w:ascii="Arial" w:cs="Arial" w:eastAsia="Arial" w:hAnsi="Arial"/>
                <w:sz w:val="18"/>
                <w:szCs w:val="18"/>
                <w:color w:val="auto"/>
              </w:rPr>
              <w:t>Brookings, SD,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773,000</w:t>
            </w:r>
          </w:p>
        </w:tc>
        <w:tc>
          <w:tcPr>
            <w:tcW w:w="4460" w:type="dxa"/>
            <w:vAlign w:val="bottom"/>
          </w:tcPr>
          <w:p>
            <w:pPr>
              <w:ind w:left="120"/>
              <w:spacing w:after="0"/>
              <w:rPr>
                <w:sz w:val="20"/>
                <w:szCs w:val="20"/>
                <w:color w:val="auto"/>
              </w:rPr>
            </w:pPr>
            <w:r>
              <w:rPr>
                <w:rFonts w:ascii="Arial" w:cs="Arial" w:eastAsia="Arial" w:hAnsi="Arial"/>
                <w:sz w:val="18"/>
                <w:szCs w:val="18"/>
                <w:color w:val="auto"/>
              </w:rPr>
              <w:t>Corporate Office, Manufacturing, Sales, Service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Redwood Falls, MN,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151,000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Rupelmonde, Belgium</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4460" w:type="dxa"/>
            <w:vAlign w:val="bottom"/>
          </w:tcPr>
          <w:p>
            <w:pPr>
              <w:ind w:left="120"/>
              <w:spacing w:after="0"/>
              <w:rPr>
                <w:sz w:val="20"/>
                <w:szCs w:val="20"/>
                <w:color w:val="auto"/>
              </w:rPr>
            </w:pPr>
            <w:r>
              <w:rPr>
                <w:rFonts w:ascii="Arial" w:cs="Arial" w:eastAsia="Arial" w:hAnsi="Arial"/>
                <w:sz w:val="18"/>
                <w:szCs w:val="18"/>
                <w:color w:val="auto"/>
              </w:rPr>
              <w:t>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Ennistymon, Ireland</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60,000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Sioux Falls, SD, USA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278,000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Shanghai, China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90,500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remaining sales and service offices located throughout the United States, Canada, Europe, South America, and the Asia-Pacific regions are small offices, generally consisting of less than 10,000 square feet leased under operating leases. These lease obligations expire on various dates, with the longest commitment extending to fiscal 2025. We believe all our leases will be renewable at market terms, at our discretion, or that suitable alternative space would be available to lease under similar terms and conditions. See "Note 18. Commitments and Contingencies" of the Notes to our Consolidated Financial Statements included in this Form 10-K for further information on lease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18. Commitments and Contingencies" of the Notes to our Consolidated Financial Statements included in this Form 10-K for further information on any legal proceedings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“DAKT”. As of June 4, 2018, we had 1,045 shareholders of record. Following are the high and low sales prices for our common stock for each quarter within the last two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2018</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2017</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Cash</w:t>
            </w:r>
          </w:p>
        </w:tc>
        <w:tc>
          <w:tcPr>
            <w:tcW w:w="260" w:type="dxa"/>
            <w:vAlign w:val="bottom"/>
          </w:tcPr>
          <w:p>
            <w:pPr>
              <w:spacing w:after="0"/>
              <w:rPr>
                <w:sz w:val="19"/>
                <w:szCs w:val="19"/>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Dividends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Declared</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Low</w:t>
            </w: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1"/>
              </w:rPr>
              <w:t>Declared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line="264"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31, 2018, our Board of Directors declared a regular quarterly dividend of $0.07 per share on our common stock payable on June 21, 2018 to holders of record of our common stock on June 11,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 In addition, our credit facility imposes limitations on our ability to pay dividends as further described in "Note 10. Financing Agreements" of the Notes to our Consolidated Financial Statements included in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2016, our Board of Directors approved a stock repurchase program under which Daktronics, Inc.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2018, we had no repurchases of shares of our outstanding common stock. During fiscal 2017, we repurchased 0.3 million shares of common stock at a total cost of $1.8 million. As of April 28, 2018, we had $38 million of remaining capacity under our current share repurchase program.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April 27, 2013 to April 28, 2018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1119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Part II, Items 7 and 8 in this Form 10-K. The statement of operations data for the fiscal years ended April 28, 2018, April 29, 2017 and April 30, 2016 and the balance sheet data at April 28, 2018 and April 29, 2017 are derived from, and are qualified by reference to, the audited Consolidated Financial Statements included elsewhere in this Form 10-K. The statement of operations data for the fiscal years ended May 2, 2015 and April 26, 2014 and the balance sheet data at April 30, 2016, May 2, 2015 and April 26, 2014 are derived from audited financial statements that are not included in this Form 10-K.</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36"/>
                <w:szCs w:val="36"/>
                <w:b w:val="1"/>
                <w:bCs w:val="1"/>
                <w:color w:val="auto"/>
                <w:w w:val="81"/>
                <w:vertAlign w:val="subscript"/>
              </w:rPr>
              <w:t>2018</w:t>
            </w:r>
            <w:r>
              <w:rPr>
                <w:rFonts w:ascii="Arial" w:cs="Arial" w:eastAsia="Arial" w:hAnsi="Arial"/>
                <w:sz w:val="13"/>
                <w:szCs w:val="13"/>
                <w:b w:val="1"/>
                <w:bCs w:val="1"/>
                <w:color w:val="auto"/>
                <w:w w:val="81"/>
              </w:rPr>
              <w:t>(2)(3)(5)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Arial" w:cs="Arial" w:eastAsia="Arial" w:hAnsi="Arial"/>
                <w:sz w:val="36"/>
                <w:szCs w:val="36"/>
                <w:b w:val="1"/>
                <w:bCs w:val="1"/>
                <w:color w:val="auto"/>
                <w:w w:val="84"/>
                <w:vertAlign w:val="subscript"/>
              </w:rPr>
              <w:t>2017</w:t>
            </w:r>
            <w:r>
              <w:rPr>
                <w:rFonts w:ascii="Arial" w:cs="Arial" w:eastAsia="Arial" w:hAnsi="Arial"/>
                <w:sz w:val="13"/>
                <w:szCs w:val="13"/>
                <w:b w:val="1"/>
                <w:bCs w:val="1"/>
                <w:color w:val="auto"/>
                <w:w w:val="84"/>
              </w:rPr>
              <w:t>(4)(5)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Arial" w:cs="Arial" w:eastAsia="Arial" w:hAnsi="Arial"/>
                <w:sz w:val="36"/>
                <w:szCs w:val="36"/>
                <w:b w:val="1"/>
                <w:bCs w:val="1"/>
                <w:color w:val="auto"/>
                <w:w w:val="84"/>
                <w:vertAlign w:val="subscript"/>
              </w:rPr>
              <w:t>2016</w:t>
            </w:r>
            <w:r>
              <w:rPr>
                <w:rFonts w:ascii="Arial" w:cs="Arial" w:eastAsia="Arial" w:hAnsi="Arial"/>
                <w:sz w:val="13"/>
                <w:szCs w:val="13"/>
                <w:b w:val="1"/>
                <w:bCs w:val="1"/>
                <w:color w:val="auto"/>
                <w:w w:val="84"/>
              </w:rPr>
              <w:t>(5)(6)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36"/>
                <w:szCs w:val="36"/>
                <w:b w:val="1"/>
                <w:bCs w:val="1"/>
                <w:color w:val="auto"/>
                <w:w w:val="83"/>
                <w:vertAlign w:val="subscript"/>
              </w:rPr>
              <w:t>2015</w:t>
            </w:r>
            <w:r>
              <w:rPr>
                <w:rFonts w:ascii="Arial" w:cs="Arial" w:eastAsia="Arial" w:hAnsi="Arial"/>
                <w:sz w:val="13"/>
                <w:szCs w:val="13"/>
                <w:b w:val="1"/>
                <w:bCs w:val="1"/>
                <w:color w:val="auto"/>
                <w:w w:val="83"/>
              </w:rPr>
              <w:t>(1)(7)(8)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36"/>
                <w:szCs w:val="36"/>
                <w:b w:val="1"/>
                <w:bCs w:val="1"/>
                <w:color w:val="auto"/>
                <w:w w:val="82"/>
                <w:vertAlign w:val="subscript"/>
              </w:rPr>
              <w:t>2014</w:t>
            </w:r>
            <w:r>
              <w:rPr>
                <w:rFonts w:ascii="Arial" w:cs="Arial" w:eastAsia="Arial" w:hAnsi="Arial"/>
                <w:sz w:val="13"/>
                <w:szCs w:val="13"/>
                <w:b w:val="1"/>
                <w:bCs w:val="1"/>
                <w:color w:val="auto"/>
                <w:w w:val="82"/>
              </w:rPr>
              <w:t>(9)(10)</w:t>
            </w:r>
          </w:p>
        </w:tc>
        <w:tc>
          <w:tcPr>
            <w:tcW w:w="0" w:type="dxa"/>
            <w:vAlign w:val="bottom"/>
          </w:tcPr>
          <w:p>
            <w:pPr>
              <w:spacing w:after="0"/>
              <w:rPr>
                <w:sz w:val="1"/>
                <w:szCs w:val="1"/>
                <w:color w:val="auto"/>
              </w:rPr>
            </w:pPr>
          </w:p>
        </w:tc>
      </w:tr>
      <w:tr>
        <w:trPr>
          <w:trHeight w:val="27"/>
        </w:trPr>
        <w:tc>
          <w:tcPr>
            <w:tcW w:w="3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610,530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586,539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570,168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615,942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551,970</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145,669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140,415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121,019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144,579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141,710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12,460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15,421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31,285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5,562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10,342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20,882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44,873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44,303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44,456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44,443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43,762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132,825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127,130</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123,714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149,075</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140,532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358,800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355,433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349,948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379,479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357,451</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29,876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26,552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27,364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25,420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197,616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198,286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201,067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212,039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203,119</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year 2015 consisted of 53 weeks. Each of the other fiscal years presented consisted of 52 weeks.</w:t>
      </w:r>
    </w:p>
    <w:p>
      <w:pPr>
        <w:spacing w:after="0" w:line="23" w:lineRule="exact"/>
        <w:rPr>
          <w:rFonts w:ascii="Arial" w:cs="Arial" w:eastAsia="Arial" w:hAnsi="Arial"/>
          <w:sz w:val="18"/>
          <w:szCs w:val="18"/>
          <w:color w:val="auto"/>
        </w:rPr>
      </w:pPr>
    </w:p>
    <w:p>
      <w:pPr>
        <w:ind w:left="900" w:right="20" w:firstLine="648"/>
        <w:spacing w:after="0" w:line="250" w:lineRule="auto"/>
        <w:tabs>
          <w:tab w:leader="none" w:pos="1845"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the sale of our non-digital division assets. See "Note 5. Sale of Non-Digital Division Assets" of the Notes to our Consolidated Financial Statements included in this Form 10-K for further information.</w:t>
      </w:r>
    </w:p>
    <w:p>
      <w:pPr>
        <w:ind w:left="900" w:firstLine="648"/>
        <w:spacing w:after="0" w:line="281" w:lineRule="auto"/>
        <w:tabs>
          <w:tab w:leader="none" w:pos="1814"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the effects of the U.S. Tax Cuts and Jobs Act, which impacted our deferred tax asset valuation and increased tax expense. See "Note 14. Income Taxes" of the Notes to our Consolidated Financial Statements included in this Form 10-K for further information.</w:t>
      </w:r>
    </w:p>
    <w:p>
      <w:pPr>
        <w:spacing w:after="0" w:line="1" w:lineRule="exact"/>
        <w:rPr>
          <w:rFonts w:ascii="Arial" w:cs="Arial" w:eastAsia="Arial" w:hAnsi="Arial"/>
          <w:sz w:val="16"/>
          <w:szCs w:val="16"/>
          <w:color w:val="auto"/>
        </w:rPr>
      </w:pPr>
    </w:p>
    <w:p>
      <w:pPr>
        <w:ind w:left="900" w:firstLine="648"/>
        <w:spacing w:after="0" w:line="250" w:lineRule="auto"/>
        <w:tabs>
          <w:tab w:leader="none" w:pos="1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an impairment loss on intangible assets. See "Note 6. Goodwill and Intangible Assets" of the Notes to our Consolidated Financial Statements included in this Form 10-K for further information.</w:t>
      </w:r>
    </w:p>
    <w:p>
      <w:pPr>
        <w:jc w:val="both"/>
        <w:ind w:left="900" w:firstLine="648"/>
        <w:spacing w:after="0" w:line="250" w:lineRule="auto"/>
        <w:tabs>
          <w:tab w:leader="none" w:pos="1817"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an additional warranty charge in our OOH product application in fiscal years 2018, 2017, and 2016 of $4.5 million, $1.8 million, and $9.2 million, respectively. See "Note 18. Commitments and Contingencies" of the Notes to our Consolidated Financial Statements included in this Form 10-K for further information.</w:t>
      </w:r>
    </w:p>
    <w:p>
      <w:pPr>
        <w:spacing w:after="0" w:line="1" w:lineRule="exact"/>
        <w:rPr>
          <w:rFonts w:ascii="Arial" w:cs="Arial" w:eastAsia="Arial" w:hAnsi="Arial"/>
          <w:sz w:val="18"/>
          <w:szCs w:val="18"/>
          <w:color w:val="auto"/>
        </w:rPr>
      </w:pPr>
    </w:p>
    <w:p>
      <w:pPr>
        <w:ind w:left="900" w:firstLine="648"/>
        <w:spacing w:after="0" w:line="250" w:lineRule="auto"/>
        <w:tabs>
          <w:tab w:leader="none" w:pos="182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the acquisition of ADFLOW Networks, Inc. in March 2016. See "Note 4. Business Combinations" of the Notes to our Consolidated Financial Statements included in this Form 10-K for further information.</w:t>
      </w:r>
    </w:p>
    <w:p>
      <w:pPr>
        <w:ind w:left="900" w:firstLine="648"/>
        <w:spacing w:after="0" w:line="265" w:lineRule="auto"/>
        <w:tabs>
          <w:tab w:leader="none" w:pos="1821"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Includes the acquisition of Data Display in August 2014. See "Note 4. Business Combinations" of the Notes to our Consolidated Financial Statements included in our Annual Report on Form 10-K for the fiscal year ended May 2, 2015 for further information.</w:t>
      </w:r>
    </w:p>
    <w:p>
      <w:pPr>
        <w:jc w:val="both"/>
        <w:ind w:left="900" w:firstLine="648"/>
        <w:spacing w:after="0" w:line="250" w:lineRule="auto"/>
        <w:tabs>
          <w:tab w:leader="none" w:pos="1809"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the sale of our automated rigging systems division for theatre applications. See "Note 5. Sale of Theatre Rigging Division" of the Notes to our Consolidated Financial Statements included in our Annual Report on Form 10-K for the fiscal year ended May 2, 2015 for further information.</w:t>
      </w:r>
    </w:p>
    <w:p>
      <w:pPr>
        <w:spacing w:after="0" w:line="1" w:lineRule="exact"/>
        <w:rPr>
          <w:rFonts w:ascii="Arial" w:cs="Arial" w:eastAsia="Arial" w:hAnsi="Arial"/>
          <w:sz w:val="18"/>
          <w:szCs w:val="18"/>
          <w:color w:val="auto"/>
        </w:rPr>
      </w:pPr>
    </w:p>
    <w:p>
      <w:pPr>
        <w:ind w:left="900" w:firstLine="648"/>
        <w:spacing w:after="0" w:line="281" w:lineRule="auto"/>
        <w:tabs>
          <w:tab w:leader="none" w:pos="1817"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the acquisition of OPEN Out-of-Home Solutions in May 2013. See "Note 4. Business Combinations" of the Notes to our Consolidated Financial Statements included in our Annual Report on Form 10-K for the fiscal year ended April 26, 2014 for further information.</w:t>
      </w:r>
    </w:p>
    <w:p>
      <w:pPr>
        <w:spacing w:after="0" w:line="1" w:lineRule="exact"/>
        <w:rPr>
          <w:sz w:val="20"/>
          <w:szCs w:val="20"/>
          <w:color w:val="auto"/>
        </w:rPr>
      </w:pPr>
    </w:p>
    <w:p>
      <w:pPr>
        <w:jc w:val="both"/>
        <w:ind w:left="900" w:hanging="325"/>
        <w:spacing w:after="0" w:line="255" w:lineRule="auto"/>
        <w:tabs>
          <w:tab w:leader="none" w:pos="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valuation allowance against our deferred tax asset for our equity investments booked in the fourth quarter of fiscal 2014. See "Note 12. Income Taxes" of the Notes to our Consolidated Financial Statements included in our Annual Report on Form 10-K for the fiscal year ended April 26, 2014 for further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communications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multimillion-dollar revenue potential also attract competition, which generally reduces profitability.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organize around customer segments and geographic regions as further described in "Note 2. Segment Reporting" of the Notes to our Consolidated Financial Statements included in this Form 10-K. Each business segment also has unique key growth drivers and challenges.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continued deployment of digital billboards as OOH companies continue developing new sites and replacing digital billboards which are reaching end of life. This is dependent on there being no adverse changes in the digital billboard regulatory environment restricting future deployments of billboards, as well as maintaining our current market share of the business concentrated in a few large OOH companies.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more sophisticated displays in school athletic facilities, such as large integrated video systems.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of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to manufacture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are based upon our consolidated financial statements, which have been prepared in accordance with generally accepted accounting principles in the United States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 Nature of Business and Summary of Significant Accounting Policies", the following discussion is intended to highlight and describe those accounting policies that are especially critical to the preparation of our consolidated financial statements. The MD&amp;A should be read in conjunction with the accompanying Consolidated Financial Statements and Notes to the Consolidated Financial Statements included in this Report.</w:t>
      </w:r>
    </w:p>
    <w:p>
      <w:pPr>
        <w:spacing w:after="0" w:line="178" w:lineRule="exact"/>
        <w:rPr>
          <w:sz w:val="20"/>
          <w:szCs w:val="20"/>
          <w:color w:val="auto"/>
        </w:rPr>
      </w:pPr>
    </w:p>
    <w:p>
      <w:pPr>
        <w:jc w:val="both"/>
        <w:ind w:firstLine="44"/>
        <w:spacing w:after="0" w:line="254" w:lineRule="auto"/>
        <w:rPr>
          <w:sz w:val="20"/>
          <w:szCs w:val="20"/>
          <w:color w:val="auto"/>
        </w:rPr>
      </w:pPr>
      <w:r>
        <w:rPr>
          <w:rFonts w:ascii="Arial" w:cs="Arial" w:eastAsia="Arial" w:hAnsi="Arial"/>
          <w:sz w:val="18"/>
          <w:szCs w:val="18"/>
          <w:color w:val="auto"/>
        </w:rPr>
        <w:t>A critical accounting policy is defined as a policy that is both very important to the portrayal of the company's financial condition and results, and requires management's most difficult, subjective or complex judgments. We regularly review for critical accounting policies and evaluate based on these factors. We believe the estimation process for long-term construction-type contracts, warranties, and income taxes are most material and critical. These areas contain estimates with a reasonable likelihood to change and those changes could have a materially impact to our financial condition and reported results. The estimation processes for these areas are also difficult, subjective and use complex judgments. Our critical accounting estimates are based on historical experience,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recognition on long-term construction-type contracts. </w:t>
      </w:r>
      <w:r>
        <w:rPr>
          <w:rFonts w:ascii="Arial" w:cs="Arial" w:eastAsia="Arial" w:hAnsi="Arial"/>
          <w:sz w:val="18"/>
          <w:szCs w:val="18"/>
          <w:color w:val="auto"/>
        </w:rPr>
        <w:t>Earnings on construction-type contracts are recognized on the percentage-of-completion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measured by the percentage of costs incurred to date to estimated total costs for each contract. Construction-type contracts include uniquely configured combinations of technical design services, equipment specified for the customer design, installation and integration services and other related services. Contract costs include all direct material, manufacturing, project management, and engineering labor, subcontracting and indirect costs related to contract design, production, integration, installation, delivery of all performance obligations, and any warranty reserve. Indirect costs include allocated charges for such items as facilities, equipment depreciation, and general overhead. Provisions for estimated losses on uncompleted contracts are made in the period such losses are capable of being estimated.</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policy and practice is to revise estimates as soon as such changes in estimates are known. While prior estimates have been materially correct, estimates can change based on specific project contractual scope of work understanding and ability to perform to those specifications, ability to hire qualified subcontractors for on-site construction type work, and our estimation process for the materials and production expenses,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we combine a group of contracts, revenue and profit are recognized uniformly over the performance of the combined projects. We segment revenues in accordance with the contract segmenting criteria in Accounting Standards Codification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xml:space="preserve"> Approximately 60.8 percent, 58.1 percent, and 59.7 percent of our fiscal 2018, 2017, and 2016 revenues were recorded under this method of accounting.</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an accrued liability for warranty obligations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contractual warranties. Warranty estimates include costs of direct material and labor estimates to repair products over their warranty coverage period. Generally, estimates are based on historical experience taking into account known or expected changes. If we would become aware of an increase in our estimated warranty costs, additional accruals may become necessary, resulting in an increase in cost of sales. While prior estimates have been materially correct, estimates for warranty liabilities can change based on the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65" w:lineRule="exact"/>
        <w:rPr>
          <w:sz w:val="20"/>
          <w:szCs w:val="20"/>
          <w:color w:val="auto"/>
        </w:rPr>
      </w:pPr>
    </w:p>
    <w:p>
      <w:pPr>
        <w:jc w:val="both"/>
        <w:ind w:firstLine="35"/>
        <w:spacing w:after="0" w:line="259" w:lineRule="auto"/>
        <w:rPr>
          <w:sz w:val="20"/>
          <w:szCs w:val="20"/>
          <w:color w:val="auto"/>
        </w:rPr>
      </w:pPr>
      <w:r>
        <w:rPr>
          <w:rFonts w:ascii="Arial" w:cs="Arial" w:eastAsia="Arial" w:hAnsi="Arial"/>
          <w:sz w:val="18"/>
          <w:szCs w:val="18"/>
          <w:color w:val="auto"/>
        </w:rPr>
        <w:t>As of April 28, 2018 and April 29, 2017, we had approximately $30.0 million and $27.9 million accrued for these costs, respectively. Due to the difficulty in estimating probable costs related to certain warranty obligations, there is a reasonable likelihood that the ultimate remaining costs to remediate the warranty claims could differ materially from the recorded accrued liabilities. See "Note 18. Commitments and Contingencies" of the Notes to our Consolidated Financial Statements included in this Form 10-K for further information on warranties.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record a tax provision for anticipated tax consequences of the reported results of operations. Deferred tax assets and liabilities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currently enacted tax rates that apply to taxable income in effect for the years in which those deferred tax assets and liabilities are expected to be realized or settled. These assets and liabilities are analyzed regularly, and we assess the likelihood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deferred tax assets will be recoverable from future taxable income. A valuation allowance is established if it is more likely than not the deferred tax asset will not be realized.</w:t>
      </w:r>
    </w:p>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For fiscal 2018, the U.S. tax law changed due to the adoption of the Tax Cuts and Jobs Act, requiring additional estimating processes and judgment in the application of the new laws. See "Note 14. Income Taxes" of the Notes to our Consolidated Financial Statements included in this Form 10-K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fiscal years ended April 28, 2018, April 29, 2017, and April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272415</wp:posOffset>
            </wp:positionV>
            <wp:extent cx="5196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28,</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29,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30,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3"/>
          </w:tcPr>
          <w:p>
            <w:pPr>
              <w:ind w:left="420"/>
              <w:spacing w:after="0"/>
              <w:rPr>
                <w:sz w:val="20"/>
                <w:szCs w:val="20"/>
                <w:color w:val="auto"/>
              </w:rPr>
            </w:pPr>
            <w:r>
              <w:rPr>
                <w:rFonts w:ascii="Arial" w:cs="Arial" w:eastAsia="Arial" w:hAnsi="Arial"/>
                <w:sz w:val="18"/>
                <w:szCs w:val="18"/>
                <w:b w:val="1"/>
                <w:bCs w:val="1"/>
                <w:color w:val="auto"/>
              </w:rPr>
              <w:t>2018 vs 2017</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2017 vs 2016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Dollar</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Change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236,333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213,982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22,351</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8,831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59,578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52,426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610,530</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23,991</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4.1 %</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16,371</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135,363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151,562</w:t>
            </w:r>
          </w:p>
        </w:tc>
        <w:tc>
          <w:tcPr>
            <w:tcW w:w="22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(16,199)</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135,824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15,738</w:t>
            </w:r>
          </w:p>
        </w:tc>
        <w:tc>
          <w:tcPr>
            <w:tcW w:w="112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222,965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87,243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83,605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3,638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76,485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7,120</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107,244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92,734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14,510</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71,266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21,468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583,467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613,504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560,786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52,718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as compared to Fiscal Year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fiscal 2018 compared to fiscal 2017 was primarily due to lower order volume in the on-premise niche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delivery of large projects in the spectacular niche, which was partially offset by an increase in sales in the OOH niche.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orders for fiscal 2018 compared to fiscal 2017 was primarily due to decreases in orders in the on-premise and spectacular focused niches due to a number of factors, including competitive market pricing, a timing difference in national account-based opportunities, and the natural volatility of large project timing, which was partially offset by an increase in orders in the OOH niche.</w:t>
      </w:r>
    </w:p>
    <w:p>
      <w:pPr>
        <w:spacing w:after="0" w:line="181" w:lineRule="exact"/>
        <w:rPr>
          <w:sz w:val="20"/>
          <w:szCs w:val="20"/>
          <w:color w:val="auto"/>
        </w:rPr>
      </w:pPr>
    </w:p>
    <w:p>
      <w:pPr>
        <w:jc w:val="both"/>
        <w:ind w:left="60"/>
        <w:spacing w:after="0" w:line="293" w:lineRule="auto"/>
        <w:rPr>
          <w:sz w:val="20"/>
          <w:szCs w:val="20"/>
          <w:color w:val="auto"/>
        </w:rPr>
      </w:pPr>
      <w:r>
        <w:rPr>
          <w:rFonts w:ascii="Arial" w:cs="Arial" w:eastAsia="Arial" w:hAnsi="Arial"/>
          <w:sz w:val="16"/>
          <w:szCs w:val="16"/>
          <w:color w:val="auto"/>
        </w:rPr>
        <w:t>We continue to see increased adoption of video solutions in our Commercial business unit marketplace. We see opportunity for orders and sales in our out of home, on-premise, and spectacular focused niches due to replacement cycles, expansion of dynamic messaging systems usage, and increased market size due to decline of digital pricing solutions over the years. A number of large custom video contract opportunities are available in the marketplace for unique facades throughout North America. Due to a number of factors, such as the discretionary nature of customers committing to a system, economic dependencies, regulatory environment, and competitive factors, it is difficult to predict orders and net sales for fiscal 2019. We expect growth in this business unit over the long-term, assuming favorable economic conditions and our success in counteracting competitive pressures.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fiscal 2018 compared to fiscal 2017 was primarily the timing of the demand for upgraded or new solutions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arenas, professional sports, and colleges and universities. These types of installations occur for new construction or refurbishment needs of the customer and can vary in timing and size in accordance with the needs of the customer. During fiscal 2018, we completed and recognized more than $21 million of sales for two specific significant customer orders contributing to the increase in sales.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orders for fiscal 2018 compared to fiscal 2017 was primarily the result of the size and timing of large contract order awards. During fiscal 2017, we were awarded five projects valued over five million dollars as compared to three in fiscal 2018 contributing to the change in orders.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 ongoing interest from venues at all levels to increase the size and capability of their display system and in the usage of dynamic messaging systems throughout facilities in our Live Events business unit marketplace. A number of factors, such as the discretionary nature of customers committing to upgrade systems, long replacement cycles, and competitive factors, make forecasting fiscal 2019 orders and net sales difficult. We expect similar results in fiscal 2019 and continued growth in this business unit over the long-term, assuming favorable economic conditions and our success in counteracting competitive pressures.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2018 compared to fiscal 2017 was primarily</w:t>
      </w:r>
      <w:r>
        <w:rPr>
          <w:rFonts w:ascii="Arial" w:cs="Arial" w:eastAsia="Arial" w:hAnsi="Arial"/>
          <w:sz w:val="18"/>
          <w:szCs w:val="18"/>
          <w:i w:val="1"/>
          <w:iCs w:val="1"/>
          <w:color w:val="auto"/>
        </w:rPr>
        <w:t xml:space="preserve"> </w:t>
      </w:r>
      <w:r>
        <w:rPr>
          <w:rFonts w:ascii="Arial" w:cs="Arial" w:eastAsia="Arial" w:hAnsi="Arial"/>
          <w:sz w:val="18"/>
          <w:szCs w:val="18"/>
          <w:color w:val="2C2C2C"/>
        </w:rPr>
        <w:t>due to continued success in winning orders</w:t>
      </w:r>
      <w:r>
        <w:rPr>
          <w:rFonts w:ascii="Arial" w:cs="Arial" w:eastAsia="Arial" w:hAnsi="Arial"/>
          <w:sz w:val="18"/>
          <w:szCs w:val="18"/>
          <w:i w:val="1"/>
          <w:iCs w:val="1"/>
          <w:color w:val="auto"/>
        </w:rPr>
        <w:t xml:space="preserve"> </w:t>
      </w:r>
      <w:r>
        <w:rPr>
          <w:rFonts w:ascii="Arial" w:cs="Arial" w:eastAsia="Arial" w:hAnsi="Arial"/>
          <w:sz w:val="18"/>
          <w:szCs w:val="18"/>
          <w:color w:val="2C2C2C"/>
        </w:rPr>
        <w:t xml:space="preserve">in the growing market and </w:t>
      </w:r>
      <w:r>
        <w:rPr>
          <w:rFonts w:ascii="Arial" w:cs="Arial" w:eastAsia="Arial" w:hAnsi="Arial"/>
          <w:sz w:val="18"/>
          <w:szCs w:val="18"/>
          <w:color w:val="000000"/>
        </w:rPr>
        <w:t>the timing of shipments of scoring systems and message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2018 compared to fiscal 2017 was primarily due to overall strong market demand and an increase in projects for larger video systems.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larger video systems and our classic scoring and message centers to remain in demand in fiscal 2019, primarily in high school facilities which benefit from our sports marketing services that generate advertising revenue to fund the display systems and because of schools' desire to communicate with students and parents. A number of factors, such as the discretionary nature of customers committing to upgrade systems and competitive factors, make forecasting fiscal 2019 orders and net sales difficult. We expect growth in this business unit over the long-term, assuming favorable economic conditions.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fiscal 2018 compared to fiscal 2017 was primarily due to the variability of large order production timing caused</w:t>
      </w:r>
      <w:r>
        <w:rPr>
          <w:rFonts w:ascii="Arial" w:cs="Arial" w:eastAsia="Arial" w:hAnsi="Arial"/>
          <w:sz w:val="18"/>
          <w:szCs w:val="18"/>
          <w:i w:val="1"/>
          <w:iCs w:val="1"/>
          <w:color w:val="auto"/>
        </w:rPr>
        <w:t xml:space="preserve"> </w:t>
      </w:r>
      <w:r>
        <w:rPr>
          <w:rFonts w:ascii="Arial" w:cs="Arial" w:eastAsia="Arial" w:hAnsi="Arial"/>
          <w:sz w:val="18"/>
          <w:szCs w:val="18"/>
          <w:color w:val="auto"/>
        </w:rPr>
        <w:t>by customer project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orders for fiscal 2018 compared to fiscal 2017 was primarily due to variability of size and large order timing.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number of factors, such as transportation funding, the competitive environment, and customer delivery changes, make forecasting orders and net sales difficult for fiscal 2019. However, the stability of long-term federal transportation funding and the number of capital projects for highways and public transit that include dynamic message signs and for advertising and way-finding use in public transport and airport terminals continues to rise. We expect continued growth in this business unit over the long-term, assuming favorable economic conditions and continued transportation funding.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fiscal 2018 compared to fiscal 2017 was primarily the result of increased demand in the OOH niche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demand and improved economic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2018 compared to fiscal 2017 was primarily due to variability caused by large order timing and included a number of orders for global OOH niche customers and professional soccer sports stadiums. In addition, we continued to market our solutions through multiple geographies to gain recognition and further our market-share.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2019, while our pipeline for large commercial, sports and OOH application, and transportation applications remains strong, macroeconomic factors may impact order bookings and timing, making it difficult to predict order and sales levels for fiscal 2019. For the long-term, we believe the International business unit has the potential for sales growth as we penetrate markets with our established sales networks to increase our International market share and to increase the use and adoption of our technology globally.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product order backlog as of April 28, 2018 was $170.8 million as compared to $203.2 million as of April 29, 2017. Historically, our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varies due to the seasonality of our business, the timing of large projects, and customer delivery schedules for these orders. The backlog increased from one year ago in our Commercial and International business units, decreased in our Live Events and Transportation business units, and remained relatively flat in our High School Park and Recreation business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fiscal 2017 compared to fiscal 2016 remained relatively flat. We had declines in billboard shipments in fiscal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due to the volatility in large custom video demand in our spectacular niche, which was offset by increased demand in our on-premise niche related to a full year of sales from ADFLOW, the company we acquired in the fourth quarter of fiscal 2016. ADFLOW sales in the Commercial business unit were $9.9 million during fiscal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orders for fiscal 2017 compared to fiscal 2016 was primarily due to the timing of an increase in our on-premise niche related to in-store media solutions due to ADFLOW and increases in the spectacular niche due to the timing of large customer projects. Although we estimate our market share held in the national operators billboard niche expanded in fiscal 2017 with independent billboard operators, we experienced a decline in billboard niche orders for the year as compared to fiscal 2016. Order activity in the billboard niche is impacted by customer capital allocation decisions and overall satisfaction with our product lifetime, leading to longer product replacement cycles.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fiscal 2017 compared to fiscal 2016 was primarily due to work completed for football stadiums and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for upgraded or new solutions throughout other sports venues for national sports leagues, minor league teams and colleges and universities.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the result of order timing variability of large professional sports projects in fiscal 2017 compared to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2017 compared to fiscal 2016 was primarily</w:t>
      </w:r>
      <w:r>
        <w:rPr>
          <w:rFonts w:ascii="Arial" w:cs="Arial" w:eastAsia="Arial" w:hAnsi="Arial"/>
          <w:sz w:val="18"/>
          <w:szCs w:val="18"/>
          <w:i w:val="1"/>
          <w:iCs w:val="1"/>
          <w:color w:val="auto"/>
        </w:rPr>
        <w:t xml:space="preserve"> </w:t>
      </w:r>
      <w:r>
        <w:rPr>
          <w:rFonts w:ascii="Arial" w:cs="Arial" w:eastAsia="Arial" w:hAnsi="Arial"/>
          <w:sz w:val="18"/>
          <w:szCs w:val="18"/>
          <w:color w:val="2C2C2C"/>
        </w:rPr>
        <w:t>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video project sizes with</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selling prices and more custom indoor video and audio demand in fiscal 2017 compared to fiscal 2016.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due to strong market demand for video in sporting applications with larger average selling prices than orders for scoring or message centers.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fiscal 2017 compared to fiscal 2016 remained relatively flat.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2017 compared to fiscal 2016 was primarily due to the variability caused by large order timing and increased state government procurement project activity. During fiscal 2017, we had an award of a multimillion-dollar project for an active traffic management system with no same sized projects in the prior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fiscal 2017 compared to fiscal 2016 was primarily the result of the variability of timing of conversion of orders to</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Our backlog increased at the end of fiscal 2017 and had been reduced at the end of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due to increased market activity in sports and spectacular projects and OOH application business. Global macroeconomic conditions also improved during fiscal 2017 as compared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Arial" w:cs="Arial" w:eastAsia="Arial" w:hAnsi="Arial"/>
                <w:sz w:val="18"/>
                <w:szCs w:val="18"/>
                <w:b w:val="1"/>
                <w:bCs w:val="1"/>
                <w:color w:val="auto"/>
              </w:rPr>
              <w:t>April 28, 2018</w:t>
            </w:r>
          </w:p>
        </w:tc>
        <w:tc>
          <w:tcPr>
            <w:tcW w:w="22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Arial" w:cs="Arial" w:eastAsia="Arial" w:hAnsi="Arial"/>
                <w:sz w:val="18"/>
                <w:szCs w:val="18"/>
                <w:b w:val="1"/>
                <w:bCs w:val="1"/>
                <w:color w:val="auto"/>
              </w:rPr>
              <w:t>April 29, 2017</w:t>
            </w:r>
          </w:p>
        </w:tc>
        <w:tc>
          <w:tcPr>
            <w:tcW w:w="22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 Percent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60" w:type="dxa"/>
            <w:vAlign w:val="bottom"/>
          </w:tcPr>
          <w:p>
            <w:pPr>
              <w:spacing w:after="0"/>
              <w:rPr>
                <w:sz w:val="16"/>
                <w:szCs w:val="16"/>
                <w:color w:val="auto"/>
              </w:rPr>
            </w:pPr>
          </w:p>
        </w:tc>
        <w:tc>
          <w:tcPr>
            <w:tcW w:w="2820" w:type="dxa"/>
            <w:vAlign w:val="bottom"/>
            <w:gridSpan w:val="3"/>
          </w:tcPr>
          <w:p>
            <w:pPr>
              <w:ind w:left="2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26,665</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7"/>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29,147</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19.7%</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49,755</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40,810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36,568</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17.8</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29,317</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26,388</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20,624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29.4</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21,247</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18,027</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16,572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31.7</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18,685</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18,108</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19.2</w:t>
            </w:r>
          </w:p>
        </w:tc>
      </w:tr>
      <w:tr>
        <w:trPr>
          <w:trHeight w:val="257"/>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145,669</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97"/>
              </w:rPr>
              <w:t>23.9%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140,415</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23.9%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121,019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21.2%</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as compared to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profit percentage remained flat for fiscal 2018 compared to fiscal 2017. The following describes the overall impact by business unit: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in the Commercial business unit for fiscal 2018 compared to fiscal 2017 was primarily the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expenses and lower sales volumes over relatively fixed infrastructure costs.</w:t>
      </w:r>
    </w:p>
    <w:p>
      <w:pPr>
        <w:spacing w:after="0" w:line="170"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gross profit percent increase in the Live Events business unit for fiscal 2018 compared to fiscal 2017 was the result of increased volume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over relatively fixed infrastructure costs and improved performance on large projects as compared to original estimates.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fiscal 2018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 was primarily due to a favorable sales mix and improved productivity.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2018 compared to fiscal 2017 was primarily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 of sales over relatively fixed infrastructure costs and improved productivity.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fiscal 2018 compared to fiscal 2017 was primarily the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expenses, which were offset by a $1.2 million gain from the sale of our non-digital division assets.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is difficult to project gross profit levels for fiscal 2019 because of the uncertainty regarding the level of sales, the sales mix and timing, and the competitive factors in our business. We are focused on improving our gross profit margins as we execute our strategies for improved profitability, which include releasing new product designs to lower overall costs of the product, improving reliability to reduce warranty expenses, global capacity capability and planning, meeting customer solution expectations, and continued improvements in operational effectiveness in manufacturing, installation, and services delivery areas.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profit percentage increase for fiscal 2017 compared to fiscal 2016 was primarily due to lower warranty charges, higher sales volumes, and the product mix of sales. The following describes the overall impact by business unit: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gross profit percent increase in the Commercial business unit for fiscal 2017 compared to fiscal 2016 was primarily the result of lower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charges, as fiscal 2016 had specific warranty obligations for particular projects, improved productivity at lower costs in manufacturing areas, and the non-recurrence of a licensing charge that negatively impacted fiscal 2016, offset by lower profitability on sales mix due to the competitive environment.</w:t>
      </w:r>
    </w:p>
    <w:p>
      <w:pPr>
        <w:spacing w:after="0" w:line="14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fiscal 2017 compared to fiscal 2016 was the result of a favorable sales mix</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project sizes and type, increased volumes of sales, and slight decline in manufacturing-related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fiscal 2017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2016 was primarily due to increased volumes of sales over our relatively fixed manufacturing cost infrastructure and lower production costs due to process improvements.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2017 compared to fiscal 2016 was primarily due to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sales mix and lower warranty costs as a percent of sales.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gross profit percent increase in the International business unit for fiscal 2017 compared to fiscal 2016 was primarily the result of lower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costs as a percent of sales, which were offset by a negative impact due to a $0.6 million non-digital technology intangible asset impairment.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April 28, 2018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April 29, 2017</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6"/>
                <w:szCs w:val="16"/>
                <w:color w:val="auto"/>
              </w:rPr>
            </w:pPr>
          </w:p>
        </w:tc>
        <w:tc>
          <w:tcPr>
            <w:tcW w:w="11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16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27,750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23,178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18,317</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16,114</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10,314</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r>
      <w:tr>
        <w:trPr>
          <w:trHeight w:val="243"/>
        </w:trPr>
        <w:tc>
          <w:tcPr>
            <w:tcW w:w="216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17,048</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13,465</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12,466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23.9</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3,353</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82,909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78,728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as compared to Fiscal Year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comprised of gross profit less selling expense.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Contribution margin is impacted by previously discussed sales and gross margin for each business unit. The impact of changes in selling expenses on each business unit contribution margin is as follows: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expense for fiscal 2018 compared to fiscal 2017 increased in in our Commercial, Live Events, and High School Park and Recreation business units and decreased in our Transportation and International business units. Live Events selling expense increased year over year primarily due to increased conventions/advertising expenses and bad debt expenses. Commercial and High School Park and Recreation business unit selling expense increased year over year primarily due to increased personnel expenses. Transportation business unit selling expense decreased primarily due to lower bad debt expense. International business unit selling expense decreased primarily due to lower bad debt expense and personnel expenses.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2019, we plan to invest in areas to enable order growth, but we continue to expect constraints in selling expenses. We expect selling expenses will increase slightly in dollars for fiscal 2019 as compared to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 in the Commercial business unit increased in fiscal 2017 compared to fiscal 2016 primarily due to a full year of expenses from ADFLOW, the company we acquired in the fourth quarter of fiscal 2016. Selling expense remained relatively flat in dollars for fiscal 2017 compared to fiscal 2016 in our Live Events, High School Park and Recreation, Transportation, and International business units. International business unit selling expenses included a $0.2 million intangible asset impairment related to a customer list. Bad debt expense Company-wide was $1.4 million for fiscal 2017 as compared to $1.3 million for fiscal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April 28, 2018</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April 29, 2017</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4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34,226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w w:val="91"/>
              </w:rPr>
              <w:t>Product design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35,530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29,081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as compared to Fiscal Year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fiscal 2018 increased as compared to fiscal 2017 primarily due to increases in personnel expenses and information technology software and hardware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in dollars primarily for personnel related expenses and investments in information technology software and hardware expenses for fiscal 2019 as compared to fiscal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materials costs and the overhead of our engineering departments. Generally, a significant portion of our engineering time is spent on product design and development, while the rest is allocated to large contract work and is included in cost of sales.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design and development expenses in fiscal 2018 increased compared to fiscal 2017 primarily due to increased labor costs and professional services assigned to product design and development projects relating to our strategy to accelerate the deployment of products and solutions to our markets. To deliver value to our customers and serve the markets' expectations we expect similar level of expenditures for new or enhanced customer solutions in fiscal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expenses in fiscal 2017 increased as compared to fiscal 2016 primarily due to increases in personnel expenses and professional fees, partially offset by declines in information technology software and hardware expenses. Professional fees have increased due to defensive work to protect our patent portfolio.</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Product design and development expenses in fiscal 2017 increased compared to fiscal 2016 primarily due to increased labor costs and professional services assigned to product design and development projects relating to our strategy to accelerate the deployment of our products and solutions to the market.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and Expenses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April 28, 2018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29, 2017</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w:t>
            </w:r>
          </w:p>
        </w:tc>
      </w:tr>
      <w:tr>
        <w:trPr>
          <w:trHeight w:val="194"/>
        </w:trPr>
        <w:tc>
          <w:tcPr>
            <w:tcW w:w="2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as compared to Fiscal Year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decreased in fiscal 2018 as compared to fiscal 2017 as a result of lower long-term receivables which bear imputed interest rates.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2018 as compared to fiscal 2017 was primarily due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the losses recorded from an equity method affiliate.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income, net decreased in fiscal 2017 as compared to fiscal 2016 as a result of lower long-term receivables which bear imputed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and lower interest rates realized on lower average invested cash during the same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2017 as compared to fiscal 2016 was primarily due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offset by the losses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approximately 55.2 percent, 33.7 percent and 34.1 percent for fiscal 2018, fiscal 2017, and fiscal 2016, respectively.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current-year tax rate was significantly impacted by the Tax Cuts and Jobs Act of 2017 (the “Tax Act”), which was signed into law on December 22, 2017. Most notably, the Tax Act reduced the statutory U.S. federal corporate income tax rate from 35% to 21%. Because we file our tax return based on our fiscal year, the statutory tax rate for our fiscal 2018 tax return will be a blended rate of 30.4%. In addition to the effect of the lower overall federal tax rate, the Tax Act resulted in a provisional $3.5 million one-time expense for the estimated re-measurement of our net deferred tax asset and a $0.3 million estimated one-time transition tax on certain undistributed earnings of our foreign subsidiaries in fiscal 2018. The actual impact of the Tax Act may differ materially from our provisional amounts due to further refinement of our calculations as allowed by SAB 118, changes in interpretations and assumptions we have made, or actions we may take as a result of the Tax Act. The provisional amounts will be finalized within the one-year measurement period as we gather and analyze the additional documentation necessary for the calculations. See "Note 14. Income Taxes" of the Notes to our Consolidated Financial Statements included in this Form 10-K for further information.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effective tax rate is impacted by the statutory income tax rates applicable to each of the jurisdictions in which we operate. Due to various factors and operating in multiple state and foreign jurisdictions, our effective tax is subject to fluctuation; however, with the lower U.S. statutory tax rate enacted by the Tax Act, we expect our fiscal 2019 effective tax rate to be approximately 21%.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fiscal 2017 and 2016 includes the impact of benefits from increased research and development tax credits, which was offset by valuation allowances in certain foreign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(18,180)</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$30.4 million for fiscal 2018 compared to $39.4 million in fiscal 2017. The decrease in net cash provided by operating activities of $9.0 million was the net result of a decrease in net operating assets and liabilities of $5.3 million, a decrease of $4.8 million in net income, a $0.8 million decrease in depreciation and amortization, a $0.8 million decrease in an impairment loss of intangible assets, a $1.3 million gain on the sale of property, equipment and other assets mostly related to the sale of our non-digital division assets, and a $1.2 million decrease in other non-cash items, net, adjusted by an increase of $5.2 million in our deferred income taxes, net.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and seasonal fluctuations in inventory, accounts receivables, accounts payable, customer deposits, costs and earnings in excess of billings and billings in excess of costs and earnings, and various other operating assets and liabilities. Variability in costs and earnings in excess of billings and billings in excess of costs and earnings ("Net over/underbillings") relates to the timing of billings on construction-type contracts and revenue recognition, which can vary significantly depending on contractual payment terms and build and installation</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schedules. Balances are also impacted by the seasonality of the sports markets. The primary change in operating assets and liabilities were the timing of large projects orders and the work in process including their billings and work performed at the end of fiscal 2018 as compared to fiscal 2017. This timing differences created an outflow of cash for inventory, from accounts payable, and from Net over/underbillings. For specific quantitative changes in operating assets and liabilities, see "Note 15. Cash Flow Information" of the Notes to our Consolidated Financial Statements included in this Form 10-K.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totaled $19.6 million for fiscal 2018 compared to $18.2 million in fiscal 2017.</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property and equipment totaled $18.1 million in fiscal 2018 compared to $8.5 million in fiscal 2017, offset by a net increase in marketable securities of $6.1 million for fiscal 2018 as compared to fiscal 2017. Proceeds from the sale of property, equipment and other assets totaled $2.2 million for fiscal 2018 compared to $0.2 million for fiscal 2017; this was mostly related to the sale of our non-digital division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$13.3 million for fiscal 2018 compared to $16.3 million in fiscal 2017.</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of $12.4 million, or $0.28 per share, were paid to Daktronics shareholders during fiscal 2018 compared to $13.7 million, or $0.31 per share, paid to Daktronics shareholders during fiscal 2017. In fiscal 2017, we used $1.8 million to purchase our common shares as part of the $40.0 million share repurchase plan authorized by our Board of Directors, and there were no purchases in fiscal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$5.8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April 28, 2018, which we expect to collect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$132.8 million at April 28, 2018 and $127.1 million at April 29, 2017. The changes in working capital, particularly changes in accounts receivable, accounts payable, inventory, and costs in excess of billings and billings in excess of costs,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 For additional information on financing agreements, see, "Note 10. Financing Agreements" of the Notes to our Consolidated Financial Statements included in this Form 10-K.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and/or paid since the prior fiscal year end of April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tcPr>
          <w:p>
            <w:pPr>
              <w:ind w:left="640"/>
              <w:spacing w:after="0"/>
              <w:rPr>
                <w:sz w:val="20"/>
                <w:szCs w:val="20"/>
                <w:color w:val="auto"/>
              </w:rPr>
            </w:pPr>
            <w:r>
              <w:rPr>
                <w:rFonts w:ascii="Arial" w:cs="Arial" w:eastAsia="Arial" w:hAnsi="Arial"/>
                <w:sz w:val="18"/>
                <w:szCs w:val="18"/>
                <w:b w:val="1"/>
                <w:bCs w:val="1"/>
                <w:color w:val="auto"/>
              </w:rPr>
              <w:t>Record Date</w:t>
            </w:r>
          </w:p>
        </w:tc>
        <w:tc>
          <w:tcPr>
            <w:tcW w:w="3000" w:type="dxa"/>
            <w:vAlign w:val="bottom"/>
          </w:tcPr>
          <w:p>
            <w:pPr>
              <w:ind w:left="640"/>
              <w:spacing w:after="0"/>
              <w:rPr>
                <w:sz w:val="20"/>
                <w:szCs w:val="20"/>
                <w:color w:val="auto"/>
              </w:rPr>
            </w:pPr>
            <w:r>
              <w:rPr>
                <w:rFonts w:ascii="Arial" w:cs="Arial" w:eastAsia="Arial" w:hAnsi="Arial"/>
                <w:sz w:val="18"/>
                <w:szCs w:val="18"/>
                <w:b w:val="1"/>
                <w:bCs w:val="1"/>
                <w:color w:val="auto"/>
              </w:rPr>
              <w:t>Payment Date</w:t>
            </w:r>
          </w:p>
        </w:tc>
        <w:tc>
          <w:tcPr>
            <w:tcW w:w="29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2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June 13, 2017</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June 23, 2017</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43"/>
        </w:trPr>
        <w:tc>
          <w:tcPr>
            <w:tcW w:w="2100" w:type="dxa"/>
            <w:vAlign w:val="bottom"/>
          </w:tcPr>
          <w:p>
            <w:pPr>
              <w:ind w:left="40"/>
              <w:spacing w:after="0"/>
              <w:rPr>
                <w:sz w:val="20"/>
                <w:szCs w:val="20"/>
                <w:color w:val="auto"/>
              </w:rPr>
            </w:pPr>
            <w:r>
              <w:rPr>
                <w:rFonts w:ascii="Arial" w:cs="Arial" w:eastAsia="Arial" w:hAnsi="Arial"/>
                <w:sz w:val="18"/>
                <w:szCs w:val="18"/>
                <w:color w:val="auto"/>
              </w:rPr>
              <w:t>August 31, 2017</w:t>
            </w:r>
          </w:p>
        </w:tc>
        <w:tc>
          <w:tcPr>
            <w:tcW w:w="2700" w:type="dxa"/>
            <w:vAlign w:val="bottom"/>
          </w:tcPr>
          <w:p>
            <w:pPr>
              <w:ind w:left="640"/>
              <w:spacing w:after="0"/>
              <w:rPr>
                <w:sz w:val="20"/>
                <w:szCs w:val="20"/>
                <w:color w:val="auto"/>
              </w:rPr>
            </w:pPr>
            <w:r>
              <w:rPr>
                <w:rFonts w:ascii="Arial" w:cs="Arial" w:eastAsia="Arial" w:hAnsi="Arial"/>
                <w:sz w:val="18"/>
                <w:szCs w:val="18"/>
                <w:color w:val="auto"/>
              </w:rPr>
              <w:t>September 11, 2017</w:t>
            </w:r>
          </w:p>
        </w:tc>
        <w:tc>
          <w:tcPr>
            <w:tcW w:w="3000" w:type="dxa"/>
            <w:vAlign w:val="bottom"/>
          </w:tcPr>
          <w:p>
            <w:pPr>
              <w:ind w:left="640"/>
              <w:spacing w:after="0"/>
              <w:rPr>
                <w:sz w:val="20"/>
                <w:szCs w:val="20"/>
                <w:color w:val="auto"/>
              </w:rPr>
            </w:pPr>
            <w:r>
              <w:rPr>
                <w:rFonts w:ascii="Arial" w:cs="Arial" w:eastAsia="Arial" w:hAnsi="Arial"/>
                <w:sz w:val="18"/>
                <w:szCs w:val="18"/>
                <w:color w:val="auto"/>
              </w:rPr>
              <w:t>September 21, 2017</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30, 2017</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December 11, 2017</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December 21, 2017</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43"/>
        </w:trPr>
        <w:tc>
          <w:tcPr>
            <w:tcW w:w="2100" w:type="dxa"/>
            <w:vAlign w:val="bottom"/>
          </w:tcPr>
          <w:p>
            <w:pPr>
              <w:ind w:left="40"/>
              <w:spacing w:after="0"/>
              <w:rPr>
                <w:sz w:val="20"/>
                <w:szCs w:val="20"/>
                <w:color w:val="auto"/>
              </w:rPr>
            </w:pPr>
            <w:r>
              <w:rPr>
                <w:rFonts w:ascii="Arial" w:cs="Arial" w:eastAsia="Arial" w:hAnsi="Arial"/>
                <w:sz w:val="18"/>
                <w:szCs w:val="18"/>
                <w:color w:val="auto"/>
              </w:rPr>
              <w:t>March 1, 2018</w:t>
            </w:r>
          </w:p>
        </w:tc>
        <w:tc>
          <w:tcPr>
            <w:tcW w:w="2700" w:type="dxa"/>
            <w:vAlign w:val="bottom"/>
          </w:tcPr>
          <w:p>
            <w:pPr>
              <w:ind w:left="640"/>
              <w:spacing w:after="0"/>
              <w:rPr>
                <w:sz w:val="20"/>
                <w:szCs w:val="20"/>
                <w:color w:val="auto"/>
              </w:rPr>
            </w:pPr>
            <w:r>
              <w:rPr>
                <w:rFonts w:ascii="Arial" w:cs="Arial" w:eastAsia="Arial" w:hAnsi="Arial"/>
                <w:sz w:val="18"/>
                <w:szCs w:val="18"/>
                <w:color w:val="auto"/>
              </w:rPr>
              <w:t>March 12, 2018</w:t>
            </w:r>
          </w:p>
        </w:tc>
        <w:tc>
          <w:tcPr>
            <w:tcW w:w="3000" w:type="dxa"/>
            <w:vAlign w:val="bottom"/>
          </w:tcPr>
          <w:p>
            <w:pPr>
              <w:ind w:left="640"/>
              <w:spacing w:after="0"/>
              <w:rPr>
                <w:sz w:val="20"/>
                <w:szCs w:val="20"/>
                <w:color w:val="auto"/>
              </w:rPr>
            </w:pPr>
            <w:r>
              <w:rPr>
                <w:rFonts w:ascii="Arial" w:cs="Arial" w:eastAsia="Arial" w:hAnsi="Arial"/>
                <w:sz w:val="18"/>
                <w:szCs w:val="18"/>
                <w:color w:val="auto"/>
              </w:rPr>
              <w:t>March 22, 2018</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31, 2018</w:t>
            </w:r>
          </w:p>
        </w:tc>
        <w:tc>
          <w:tcPr>
            <w:tcW w:w="2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11, 2018</w:t>
            </w: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21, 2018</w:t>
            </w:r>
          </w:p>
        </w:tc>
        <w:tc>
          <w:tcPr>
            <w:tcW w:w="29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1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 In addition, our credit facility imposes limitations on our ability to pay dividends as further described in "Note 10. Financing Agreements" of the Notes to our Consolidated Financial Statements included in this Form 10-K.</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2017, the Board of Directors authorized a share repurchase program for the purchase of shares from the open market. During fiscal 2017, we repurchased 0.3 million shares. Although we have authorization for additional share repurchases, any and all subsequent purchases are reviewed regularly for market conditions and are made to comply with the various regulations for company share repurchase programs. For additional information on the share repurchase program, see, "Note 11. Share Repurchase Program" of the Notes to our Consolidated Financial Statements included in this Form 10-K.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would call upon the bond for payment, the surety company would subrogate its loss to Daktronics. At April 28, 2018, we had $16.5 million of bonded work outstanding against this line.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$20 million for fiscal 2019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various lease, purchase and long-term obligations that require payments in future periods. Operating lease obligations relate primarily to leased manufacturing space, office space, furniture, and vehicles. Conditional and unconditional purchase obligations represent future payments for inventory, advertising rights and various other products and services purchase commitments.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Long-term obligations also consist of payments owed for a business combination if certain conditions in the business performance are met.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standby letters of credit and surety bonds with financial institutions relating to the guarantee of future performance on contracts, primarily construction-type contracts. Performance guarantees are issued to certain customers to guarantee the operation and installation of equipment and our ability to complete a contract. These performance guarantees have various terms, which are typically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2018,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4-5 Years</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After 5 Years</w:t>
            </w: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commitments: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obligations and accrued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Conditional purchase obligations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9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92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563</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Standby letters of credit and bank guarantees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Surety bonds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ind w:left="660" w:right="1720" w:hanging="4"/>
        <w:spacing w:after="0" w:line="255" w:lineRule="auto"/>
        <w:tabs>
          <w:tab w:leader="none" w:pos="9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not able to reasonably estimate the timing of future payments relating to these non-current tax benefits. This obligation is retired when the uncertain tax position is settled or applicable tax year is no longer subject to examination by the tax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Brazilian reais or other currencies. For fiscal 2018, 18% of net sales were derived in currencies other than U.S. dollars. We have expenses in currencies other than U.S. dollars relating to our sales, service, and manufacturing operations. The cost of raw materials derived from international sources can be impacted by fluctuations in foreign currency. We have foreign currency cash accounts to operate our global business. These accounts are also impacted by changes in foreign currency rates. As of April 28, 2018, we had $5.4 million denominated in currencies outside the U.S. dollar.</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believe currency risk in any foreign location or specific sales or purchase transaction is significant, we utilize foreign exchange hedging contracts to manage our exposure to the currency fluctuations. The notional amount of the foreign currency agreements as of April 28, 2018 is $8.5 million, and all contracts mature within 16 months. These contracts are marked to market each balance sheet date and are not designated as hedges. See "Note 17. Derivative Financial Instruments" of the Notes to our Consolidated Financial Statements included in this Form 10-K for further details.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 We estimate that a 10 percent change in all foreign exchange rates would impact our reported income before taxes by approximately $1.2 million. This sensitivity analysis disregards the possibilities that rates can move in opposite directions and that losses from one geographic area may be offset by gains from another geographic area.</w:t>
      </w:r>
    </w:p>
    <w:p>
      <w:pPr>
        <w:sectPr>
          <w:pgSz w:w="11900" w:h="16838" w:orient="portrait"/>
          <w:cols w:equalWidth="0" w:num="1">
            <w:col w:w="11420"/>
          </w:cols>
          <w:pgMar w:left="240" w:top="121"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April 28, 2018, our outstanding marketing obligations were $0.5 million, all of which were in fixed rate obligations.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April 28, 2018, our outstanding long-term receivables were $3.4 million. Each 25 basis point increase in interest rates would have an associated immaterial annual opportunity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34290</wp:posOffset>
            </wp:positionV>
            <wp:extent cx="4545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97"/>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obligations: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 our $29.7 million in cash balances at April 28, 2018, $24.3 million were denominated in U.S. dollars of which $4.9 million is held by our foreign subsidiaries. We have an additional $5.4 million in cash balances denominated in foreign currencies, of which $4.9 million are maintained in accounts of our foreign subsidiaries. A portion of the cash held in foreign accounts is used to collateralize outstanding bank guarantees issued by our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dependent on basic raw materials, sub-assemblies, components, and other supplies used in our production operations. Our financial results could be affected by changes in the availability, prices, and global tariff regulations of these materials. Some of these materials are sourced from one or a limited number of suppliers.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impact our ability to produce products and satisfy incoming sales orders on a timely basis. Our sourcing and materials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however, we believe that we have adequate sources of supply for our key materials in the near-term.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Daktronics, Inc. and subsidiaries (the "Company") as of April 28, 2018, the related consolidated statements of operations, comprehensive income, shareholders' equity, and cash flows, for the fiscal year ended April 28, 2018, and the related notes and the schedule listed in the Index at Item 15 (collectively referred to as the "financial statements"). We also have audited the Company’s internal control over financial reporting as of April 28, 2018, based on criteria established in Internal Control - Integrated Framework (2013) issued by the Committee of Sponsoring Organizations of the Treadway Commission (COSO).</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April 28, 2018, and the results of its operations and its cash flows for the fiscal year ended April 28, 2018, in conformity with accounting principles generally accepted in the United States of America. Also, in our opinion, the Company maintained, in all material respects, effective internal control over financial reporting as of April 28, 2018, based on criteria established in Internal Control - Integrated Framework (2013) issued by COSO.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Daktronics, Inc. and subsidiaries (the Company) as of April 29, 2017, and the related consolidated statements of operations, comprehensive income, shareholders' equity and cash flows for each of the two years in the period ended April 29, 2017.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Daktronics, Inc. and subsidiaries at April 29, 2017, and the consolidated results of their operations and their cash flows for each of the two years in the period ended April 29,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78,846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264,133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257,725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66,749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358,800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48,845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131,308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26,552</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44,779,534 and 44,372,357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440"/>
              <w:spacing w:after="0"/>
              <w:rPr>
                <w:sz w:val="20"/>
                <w:szCs w:val="20"/>
                <w:color w:val="auto"/>
              </w:rPr>
            </w:pPr>
            <w:r>
              <w:rPr>
                <w:rFonts w:ascii="Arial" w:cs="Arial" w:eastAsia="Arial" w:hAnsi="Arial"/>
                <w:sz w:val="18"/>
                <w:szCs w:val="18"/>
                <w:color w:val="auto"/>
              </w:rPr>
              <w:t>issued at April 28, 2018 and April 29, 2017, respectively</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54,731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52,530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113,967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and 303,957 shares at April 28, 2018 and April 29, 2017,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358,800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366"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 w:right="239" w:bottom="366"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28,</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610,530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570,168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464,861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446,124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449,149</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140,415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121,019</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62,760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61,687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58,812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26,911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133,209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118,524</w:t>
            </w: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15,421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2,495</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7"/>
        </w:trPr>
        <w:tc>
          <w:tcPr>
            <w:tcW w:w="7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6,867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5,246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44,457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43,990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44,873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44,456</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28,</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7,229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6"/>
              </w:rPr>
              <w:t>Comprehensive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212,039</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w w:val="97"/>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 ($0.40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(17,556)</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201,067</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($0.31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Treasury stock purchase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($0.28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54,731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197,616</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28,</w:t>
            </w:r>
          </w:p>
        </w:tc>
        <w:tc>
          <w:tcPr>
            <w:tcW w:w="12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30,</w:t>
            </w: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equity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Equity in loss of affiliate</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3,148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37"/>
        </w:trPr>
        <w:tc>
          <w:tcPr>
            <w:tcW w:w="738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30,361</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39,407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15,273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15,928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equity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Purchases of equity investment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37"/>
        </w:trPr>
        <w:tc>
          <w:tcPr>
            <w:tcW w:w="738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(19,563)</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(23,818)</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183"/>
        </w:trPr>
        <w:tc>
          <w:tcPr>
            <w:tcW w:w="7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color w:val="auto"/>
                <w:w w:val="99"/>
              </w:rPr>
              <w:t>NET (DECREASE) INCREASE IN CASH, CASH EQUIVALENTS AND RESTRICTED CASH</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(29,254)</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97"/>
        </w:trPr>
        <w:tc>
          <w:tcPr>
            <w:tcW w:w="73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29,755</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32,839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28,526</w:t>
            </w: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923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240" w:top="122" w:right="4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80"/>
          </w:cols>
          <w:pgMar w:left="240" w:top="122" w:right="47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years ended April 28, 2018, April 29, 2017, and April 30, 2016 contained operating results for 52 weeks.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Daktronics, Inc. and its subsidiaries. All intercompany accounts and transactions are eliminated in consolidation.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Investments in affiliates</w:t>
      </w:r>
      <w:r>
        <w:rPr>
          <w:rFonts w:ascii="Arial" w:cs="Arial" w:eastAsia="Arial" w:hAnsi="Arial"/>
          <w:sz w:val="18"/>
          <w:szCs w:val="18"/>
          <w:color w:val="auto"/>
        </w:rPr>
        <w:t>: 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amount of investments accounted for under the equity method was $3,647 and $2,678 at April 28, 2018 and April 29, 2017, respectively. The equity method requires us to report our share of losses up to our equity investment amount. Cash paid for investments in affiliates is included in the "Purchases of equity investment" line item in our consolidated statements of cash flows. Our proportional share of the respective affiliate’s earnings or losses is included in the "Other (expense) income, net" line item in our consolidated statements of operations. For the fiscal years ended April 28, 2018 and April 29, 2017, our share of the losses of our affiliates was $481 and $136, respectively.</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amount of investments accounted for under the cost method was $42 at each of April 28, 2018 and April 29, 2017. There have not been any identified events or changes in circumstances that may have a significant adverse effect on their fair value, and it is not practical to estimate their fair value.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The preparation of financial statements in conformity with generally accepted accounting principles in the United States ("GAAP") requires us to make estimates and judgments that affect the reported amounts of assets and liabilities; the disclosure of contingent assets and liabilities at the date of the financial statements; the reported amounts of revenues and expenses during the reporting period; and our ability to continue as a going concern. Actual results could differ significantly from those estimates. Material estimates that are particularly susceptible to significant change in the near-term relate to the determination of the estimated total costs on long-term construction-type contracts, estimated costs to be incurred for product warranties and income taxes. Estimation processes are also used in inventory valuation, the allowance for doubtful accounts, share-based compensation, goodwill impairment, and extended warranty and product maintenance agreements. Changes in estimates are reflected in the periods in which they become known.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Restricted cash consists of cash and cash equivalents held in bank deposit accounts to secure issuances of foreign bank guarantees.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total of the same amounts showing in the statement of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28,</w:t>
            </w:r>
          </w:p>
        </w:tc>
        <w:tc>
          <w:tcPr>
            <w:tcW w:w="26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32,839</w:t>
            </w:r>
          </w:p>
        </w:tc>
      </w:tr>
      <w:tr>
        <w:trPr>
          <w:trHeight w:val="20"/>
        </w:trPr>
        <w:tc>
          <w:tcPr>
            <w:tcW w:w="8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 accordance with Accounting Standards Codification (“ASC”) 330,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When we estimate net realizable value to be lower than cost, any necessary adjustments are charged to cost of sales in that period. In determining net realizable value, we review various factors such as current inventory levels, forecasted demand, and technological obsolescence.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Allowance for doubtful accounts:</w:t>
      </w:r>
      <w:r>
        <w:rPr>
          <w:rFonts w:ascii="Arial" w:cs="Arial" w:eastAsia="Arial" w:hAnsi="Arial"/>
          <w:sz w:val="18"/>
          <w:szCs w:val="18"/>
          <w:color w:val="auto"/>
        </w:rPr>
        <w:t xml:space="preserve"> 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in accordance with ASC 310, </w:t>
      </w:r>
      <w:r>
        <w:rPr>
          <w:rFonts w:ascii="Arial" w:cs="Arial" w:eastAsia="Arial" w:hAnsi="Arial"/>
          <w:sz w:val="18"/>
          <w:szCs w:val="18"/>
          <w:i w:val="1"/>
          <w:iCs w:val="1"/>
          <w:color w:val="auto"/>
        </w:rPr>
        <w:t>Receivables</w:t>
      </w:r>
      <w:r>
        <w:rPr>
          <w:rFonts w:ascii="Arial" w:cs="Arial" w:eastAsia="Arial" w:hAnsi="Arial"/>
          <w:sz w:val="18"/>
          <w:szCs w:val="18"/>
          <w:color w:val="auto"/>
        </w:rPr>
        <w: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Net sales are reported net of estimated sales returns and discounts and exclude sales taxes. We estimate our sales returns reserve based on historical return rates and analysis of specific accounts. Our sales returns reserve was $39 and $42 at April 28, 2018 and April 29, 2017, respectively.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Long-term construction-type contracts: </w:t>
      </w:r>
      <w:r>
        <w:rPr>
          <w:rFonts w:ascii="Arial" w:cs="Arial" w:eastAsia="Arial" w:hAnsi="Arial"/>
          <w:sz w:val="16"/>
          <w:szCs w:val="16"/>
          <w:color w:val="auto"/>
        </w:rPr>
        <w:t>Earnings on construction-type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percentage of costs incurred to date to estimated total costs for each contract. Construction-type contracts include uniquely configured combinations of technical design services, equipment specified for the customer design, installation and integration services and other related services. Contract costs include all direct material, manufacturing, project management, engineering labor, subcontracting and indirect costs related to contract design, production, integration, installation, delivery of all performance obligations, and any warranty reserve. Indirect costs include allocated charges for such items as facilities, equipment depreciation, and general overhead. Provisions for estimated losses on uncompleted contracts are made in the period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policy and practice is to revise estimates as soon as such changes in estimates are known.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we combine a group of contracts, revenue and profit are recognized uniformly over the performance of the combined projects. We segment revenues in accordance with the contract segmenting criteria in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xml:space="preserve"> Approximately 60.8 percent, 58.1 percent, and 59.7 percent of our fiscal 2018, 2017, and 2016 revenues were recorded under this method of accounting.</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Equipment contracts: </w:t>
      </w:r>
      <w:r>
        <w:rPr>
          <w:rFonts w:ascii="Arial" w:cs="Arial" w:eastAsia="Arial" w:hAnsi="Arial"/>
          <w:sz w:val="18"/>
          <w:szCs w:val="18"/>
          <w:color w:val="auto"/>
        </w:rPr>
        <w:t>In accordance with ASC 605,</w:t>
      </w:r>
      <w:r>
        <w:rPr>
          <w:rFonts w:ascii="Arial" w:cs="Arial" w:eastAsia="Arial" w:hAnsi="Arial"/>
          <w:sz w:val="18"/>
          <w:szCs w:val="18"/>
          <w:i w:val="1"/>
          <w:iCs w:val="1"/>
          <w:color w:val="auto"/>
        </w:rPr>
        <w:t xml:space="preserve"> Revenue Recognition</w:t>
      </w:r>
      <w:r>
        <w:rPr>
          <w:rFonts w:ascii="Arial" w:cs="Arial" w:eastAsia="Arial" w:hAnsi="Arial"/>
          <w:sz w:val="18"/>
          <w:szCs w:val="18"/>
          <w:color w:val="auto"/>
        </w:rPr>
        <w:t>, we recognize revenue on standard equipment and replacement part orders when</w:t>
      </w:r>
      <w:r>
        <w:rPr>
          <w:rFonts w:ascii="Arial" w:cs="Arial" w:eastAsia="Arial" w:hAnsi="Arial"/>
          <w:sz w:val="18"/>
          <w:szCs w:val="18"/>
          <w:i w:val="1"/>
          <w:iCs w:val="1"/>
          <w:color w:val="auto"/>
        </w:rPr>
        <w:t xml:space="preserve"> </w:t>
      </w:r>
      <w:r>
        <w:rPr>
          <w:rFonts w:ascii="Arial" w:cs="Arial" w:eastAsia="Arial" w:hAnsi="Arial"/>
          <w:sz w:val="18"/>
          <w:szCs w:val="18"/>
          <w:color w:val="auto"/>
        </w:rPr>
        <w:t>title passes and the related installation services are substantially complete. We recognize the revenue only if the terms of the arrangement are fixed and determinable and collectability is reasonably assured. We record estimated sales returns and discounts as a reduction of net sales in the same period revenue is recognized. Approximately 31.1 percent, 34.0 percent, and 33.0 percent of our fiscal 2018, 2017, and 2016 revenues were recorded under this method of accounting.</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In accordance with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we recognize deferred revenue related to separately priced</w:t>
      </w:r>
      <w:r>
        <w:rPr>
          <w:rFonts w:ascii="Arial" w:cs="Arial" w:eastAsia="Arial" w:hAnsi="Arial"/>
          <w:sz w:val="17"/>
          <w:szCs w:val="17"/>
          <w:i w:val="1"/>
          <w:iCs w:val="1"/>
          <w:color w:val="auto"/>
        </w:rPr>
        <w:t xml:space="preserve"> </w:t>
      </w:r>
      <w:r>
        <w:rPr>
          <w:rFonts w:ascii="Arial" w:cs="Arial" w:eastAsia="Arial" w:hAnsi="Arial"/>
          <w:sz w:val="17"/>
          <w:szCs w:val="17"/>
          <w:color w:val="auto"/>
        </w:rPr>
        <w:t>extended warranty and product maintenance agreements. The deferred revenue is recognized ratably over the contractual term, which vary up to 10 years. If we would become aware of an increase in our estimated costs under these agreements in excess of our deferred revenue, additional charges may be necessary, resulting in an increase in cost of sales. In determining if additional charges are necessary, we examine cost trends on the contracts and other information and compare them to the deferred revenue. We do not believe there is a reasonable likelihood there will be a material change in the future estimates or assumptions we use to determine estimated costs under these agreements. As of April 28, 2018 and April 29, 2017, we had $20,127 and $17,571 of deferred revenue related to separately priced extended warranty and product maintenance agreements,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upgrades, content creation, on-site training, equipment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support sold after the completion of an initial long-term construction-type contract or equipment contract or that are considered a separate unit of accounting under these types of sales, are recognized as net sales when the services are performed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Net sales from services, extended warranty and product maintenance was approximately 8.0 percent, 7.8 percent and 7.3 percent for fiscal 2018, 2017, and 2016,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follow ASC 985-605,</w:t>
      </w:r>
      <w:r>
        <w:rPr>
          <w:rFonts w:ascii="Arial" w:cs="Arial" w:eastAsia="Arial" w:hAnsi="Arial"/>
          <w:sz w:val="18"/>
          <w:szCs w:val="18"/>
          <w:i w:val="1"/>
          <w:iCs w:val="1"/>
          <w:color w:val="auto"/>
        </w:rPr>
        <w:t xml:space="preserve"> Software-Revenue Recognition</w:t>
      </w:r>
      <w:r>
        <w:rPr>
          <w:rFonts w:ascii="Arial" w:cs="Arial" w:eastAsia="Arial" w:hAnsi="Arial"/>
          <w:sz w:val="18"/>
          <w:szCs w:val="18"/>
          <w:color w:val="auto"/>
        </w:rPr>
        <w:t>. Revenues from software license fees on sales, other than construction-type contracts,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persuasive evidence of an arrangement exists, delivery of the product has occurred, the fee is fixed or determinable, and collectability is probable. Subscription-based licenses include the right for a customer to use our licenses and receive related support for a specified term and revenue is recognized ratably over the term of the arrangement.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Multiple-element arrangements: </w:t>
      </w:r>
      <w:r>
        <w:rPr>
          <w:rFonts w:ascii="Arial" w:cs="Arial" w:eastAsia="Arial" w:hAnsi="Arial"/>
          <w:sz w:val="18"/>
          <w:szCs w:val="18"/>
          <w:color w:val="auto"/>
        </w:rPr>
        <w:t>We often contract some or all equipment and services to our customers under the terms of a bundled multiple-element sales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also contract to deliver multiple pieces of equipment over time rather than at a single point in time.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and ASC 605-35</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they represent separate units of accounting. We perform this evaluation at the inception of an arrangement and as we deliver each item in the arrangement. We first consider the separation criteria of ASC 605-35. Deliverables not within the scope of ASC 605-35 are evaluated for separation under ASC 605-25. For those elements falling under the guidance of ASC 605-25, we generally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items included in a multiple-element arrangement represent separate units of accounting, we allocate the arrangement consideration to the individual items based on their relative fair values. The amount of arrangement consideration allocated to the delivered item(s) is limited to the amount not contingent on us delivering additional products or services. Once we have determined the amount, if any, of arrangement consideration allocable to the delivered item(s), we apply the applicable revenue recognition policy to determine when and by which method such amount may be recognized as revenue.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 If neither VSOE nor third party evidence is available, we use our best estimate of the selling price for that deliverable.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equal to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lesser of the useful life of the asset or the term of the lease.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we assess long-lived tangible assets and definite-lived intangible assets for impairment whenever events or changes in circumstances indicate the carrying value may not be recoverable.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we recognized an impairment loss of $830 on intangible assets related to a technology and customer list. No intangible asset impairment was recognized for fiscal 2018. See "Note 6. Goodwill and Intangible Assets" for further information.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xml:space="preserve">: We account for goodwill and other intangible assets with indefinite lives in accordance with ASC 350,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 manufacturing equipment needs, and to keep our information technology infrastructure robust. These assumptions could deviate materially from actual results.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Software costs to be sold, leased, or marketed:</w:t>
      </w:r>
      <w:r>
        <w:rPr>
          <w:rFonts w:ascii="Arial" w:cs="Arial" w:eastAsia="Arial" w:hAnsi="Arial"/>
          <w:sz w:val="17"/>
          <w:szCs w:val="17"/>
          <w:color w:val="auto"/>
        </w:rPr>
        <w:t xml:space="preserve"> We follow the provisions of ASC 985, </w:t>
      </w:r>
      <w:r>
        <w:rPr>
          <w:rFonts w:ascii="Arial" w:cs="Arial" w:eastAsia="Arial" w:hAnsi="Arial"/>
          <w:sz w:val="17"/>
          <w:szCs w:val="17"/>
          <w:i w:val="1"/>
          <w:iCs w:val="1"/>
          <w:color w:val="auto"/>
        </w:rPr>
        <w:t>Software</w:t>
      </w:r>
      <w:r>
        <w:rPr>
          <w:rFonts w:ascii="Arial" w:cs="Arial" w:eastAsia="Arial" w:hAnsi="Arial"/>
          <w:sz w:val="17"/>
          <w:szCs w:val="17"/>
          <w:color w:val="auto"/>
        </w:rPr>
        <w:t>, which states software development costs are expensed as incurred until technological feasibility has been established. At such time, such costs are capitalized until the product is made available for release to customers. Additionally, costs incurred after release to customers are expensed as research and development expenses. As of April 28, 2018 and April 29, 2017, capitalized software to be sold, leased, or otherwise marketed had a net book value of $869 and $1,759,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xml:space="preserve">: We follow the provisions of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We record a tax provision for anticipated tax consequences of the reported results of operations. Deferred tax assets and liabilities are measured using currently enacted tax rates that apply to taxable income in effect for the years in which those deferred tax assets and liabilities are expected to be realized or settled. These assets and liabilities are analyzed regularly, and we assess the likelihood that deferred tax assets will be recoverable from future taxable income. A valuation allowance is established if it is more likely than not the deferred tax asset will not be realized.</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these uncertainties in a manner inconsistent with our expectations could have a material impact on our financial condition and operating results. See "Note 14. Income Taxes" for further information.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 xml:space="preserve">: 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which establishes standards for reporting and displaying comprehensive income and its components, and disclose these components in the consolidated statements of comprehensive income. Comprehensive income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 comprehensive income calculation has not been tax affected, as the investments in foreign affiliates are deemed to be permanent.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We follow the provisions of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In accordance with ASC 720-35, </w:t>
      </w:r>
      <w:r>
        <w:rPr>
          <w:rFonts w:ascii="Arial" w:cs="Arial" w:eastAsia="Arial" w:hAnsi="Arial"/>
          <w:sz w:val="18"/>
          <w:szCs w:val="18"/>
          <w:i w:val="1"/>
          <w:iCs w:val="1"/>
          <w:color w:val="auto"/>
        </w:rPr>
        <w:t>Advertising Costs</w:t>
      </w:r>
      <w:r>
        <w:rPr>
          <w:rFonts w:ascii="Arial" w:cs="Arial" w:eastAsia="Arial" w:hAnsi="Arial"/>
          <w:sz w:val="18"/>
          <w:szCs w:val="18"/>
          <w:color w:val="auto"/>
        </w:rPr>
        <w:t>, we expense advertising costs as incurred. Advertising expenses were $2,855, $2,125 and $2,209 for the fiscal years 2018, 2017 and 2016,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color w:val="auto"/>
        </w:rPr>
        <w:t>: In accordance with ASC 605-45, S</w:t>
      </w:r>
      <w:r>
        <w:rPr>
          <w:rFonts w:ascii="Arial" w:cs="Arial" w:eastAsia="Arial" w:hAnsi="Arial"/>
          <w:sz w:val="18"/>
          <w:szCs w:val="18"/>
          <w:i w:val="1"/>
          <w:iCs w:val="1"/>
          <w:color w:val="auto"/>
        </w:rPr>
        <w:t>hipping and Handling Fees and Costs</w:t>
      </w:r>
      <w:r>
        <w:rPr>
          <w:rFonts w:ascii="Arial" w:cs="Arial" w:eastAsia="Arial" w:hAnsi="Arial"/>
          <w:sz w:val="18"/>
          <w:szCs w:val="18"/>
          <w:color w:val="auto"/>
        </w:rPr>
        <w:t>, shipping and handling costs collected from our customers in connection with our sales are recorded as revenue. We record shipping and handling costs as a component of cost of sales at the time the product is shipped.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xml:space="preserve">: We follow the provisions of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fiscal years ended 2018,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28, 2018:</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44,457</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29, 2017:</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44,114</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44,303</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30, 2016:</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43,990</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44,456</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1,548, 2,112 and 2,122 shares of common stock with a weighted average exercise price of $11.69, $13.30 and $15.04 for the fiscal years ended April 28, 2018, April 29, 2017 and April 30, 2016, respectively, were not included in the computation of diluted earnings per share because the effects would be anti-dilutive.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Share-based compensation</w:t>
      </w:r>
      <w:r>
        <w:rPr>
          <w:rFonts w:ascii="Arial" w:cs="Arial" w:eastAsia="Arial" w:hAnsi="Arial"/>
          <w:sz w:val="17"/>
          <w:szCs w:val="17"/>
          <w:color w:val="auto"/>
        </w:rPr>
        <w:t xml:space="preserve">: We account for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12. Shareholders’ Equity and Share-Based Compensation" for additional information and the assumptions we use to calculate the fair value of share-based employee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230) Classification of Certain Cash Receipts and Cash Payments, </w:t>
      </w:r>
      <w:r>
        <w:rPr>
          <w:rFonts w:ascii="Arial" w:cs="Arial" w:eastAsia="Arial" w:hAnsi="Arial"/>
          <w:sz w:val="18"/>
          <w:szCs w:val="18"/>
          <w:color w:val="auto"/>
        </w:rPr>
        <w:t>which reduces the diversity in practice in how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presented and classified in the statement of cash flows. We early adopted ASU 2016-15 during the second quarter of fiscal 2018. Adoption of ASU 2016-15 did not have a material impact on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requires that the statements of cash flows explain the change during the period in the total of cash, cash equivalents, and restricted cash. Accordingly, restricted cash will be included with cash and cash equivalents when reconciling the beginning-of-period and end-of-period total amounts presented on the statements of cash flows. We early adopted ASU 2016-18 during the second quarter of fiscal 2018 and applied its provisions retrospectively. Other than the change in presentation within the statements of cash flows, the adoption of ASU 2016-18 did not have an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from Accumulated Other Comprehensive Income</w:t>
      </w:r>
      <w:r>
        <w:rPr>
          <w:rFonts w:ascii="Arial" w:cs="Arial" w:eastAsia="Arial" w:hAnsi="Arial"/>
          <w:sz w:val="17"/>
          <w:szCs w:val="17"/>
          <w:color w:val="auto"/>
        </w:rPr>
        <w:t>, which allows a reclassification from accumulated other comprehensive income to retained earnings for</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tax effects resulting from the newly enacted federal corporate income tax rate under the U.S. Tax Cuts and Jobs Act (the "Tax Act"). ASU 2018-02 is effective for interim and annual periods beginning after December 15, 2018, with early adoption permitted. We are currently evaluating the effect that adopting ASU 2018-02 will have on our consolidated financial statements and related disclosures.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consolidated financial statements and related disclosures.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is intended to improve the accounting for the income tax consequences of intra-entity transfers of assets other than inventory. Current 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We will adopt ASU 2016-16 and related guidance during the first quarter of fiscal 2019 and apply its provisions on a modified retrospective basis. We are currently evaluating the effect that adopting ASU 2016-16 will have on our consolidated financial statements and related disclosures.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will have on our consolidated financial statements and related disclosures.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ASU 2016-02 is effective for interim and annual periods beginning after December 15, 2018, with early adoption permitted and will require adoption on a modified retrospective basis. We are currently evaluating the effect that adopting ASU 2016-02 will have on our consolidated financial statements and related disclosures.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Subsequently, the FASB also issued ASUs 2016-08, 2016-10, 2016-12, and 2016-20 to give further guidance to revenue recognition matters. ASU 2014-09 and related guidance supersedes revenue recognition requirements under FASB ASC Topic 605 and related industry specific revenue recognition guidance. This new standard defines a comprehensive revenue recognition model, requiring a company to recognize revenue from the transfer of goods or services to customers in an amount that reflects the consideration that the entity expects to receive in exchange for those goods or services. It defines a five-step process to achieve this core principle and allows companies to use more judgment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make more estimates than under current guidance and requires additional disclosures about the nature, amount, timing, and uncertainty of revenue and cash flows arising from the customer contracts. It provides guidance on transition requirements.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adopt ASU 2014-09 and related guidance under the modified retrospective method during the first quarter of fiscal 2019. We have completed our evaluation of our revenue arrangements under the new standard and have assessed that the adoption will not materially change the timing or amount of revenue recognized, based upon our current assessment of "point in time" and "over time" revenue recognition. No adjustment to beginning retained earnings will be recorded upon adoption. We will make additional disclosures related to revenue from contracts with customers as required by the new standard upon adoption.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customer type or geography and are the same as our business units.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Our Commercial business unit primarily consists of sales of our integrated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and dynamic messaging systems to resellers (primarily sign companies), out-of-home ("OOH") companies, national retailers, quick-serve restaurants, casinos,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and resellers (primarily sign companies). Our Transportation business unit primarily consists of sales of intelligent transportation system dynamic messaging signs for road management, mass transit, and aviation applications and other electronic signage for advertising and way-finding needs, which includes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to the related type of company, including sports and commercial business facilities, OOH companies, and governmental transportation agencies.</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evaluate segment performance based on operating results through contribution margin, which is comprised of gross profit less selling expense. Gross profit is net sales less cost of sales. Cost of sales consists primarily of inventory and components, consumables, salaries, other employee-related costs, facilities-related costs for manufacturing locations, machinery and equipment maintenance and depreciation, site sub-contractors, warranty costs, enterprise resource and service management systems, inventory obsolescence and write-downs, inventory procurement and handling costs, and other manufacturing, installation, and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 Contribution margin excludes general and administration expense, product design and development expense, non-operating income and expense and income tax expense. 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w:t>
      </w:r>
    </w:p>
    <w:p>
      <w:pPr>
        <w:spacing w:after="0" w:line="6" w:lineRule="exact"/>
        <w:rPr>
          <w:sz w:val="20"/>
          <w:szCs w:val="20"/>
          <w:color w:val="auto"/>
        </w:rPr>
      </w:pPr>
    </w:p>
    <w:p>
      <w:pPr>
        <w:jc w:val="both"/>
        <w:ind w:firstLine="8"/>
        <w:spacing w:after="0" w:line="252" w:lineRule="auto"/>
        <w:tabs>
          <w:tab w:leader="none" w:pos="1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some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236,333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213,982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59,578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52,426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610,530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40,810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16,572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145,669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140,415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78,728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62,207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35,530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29,081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26,911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color w:val="auto"/>
              </w:rPr>
              <w:t>(1) Contribution margin consists of gross profit less selling expense.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502,701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465,598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107,829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99,966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104,570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570,168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68,233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and no customers accounted for 10% or more of net sales; therefore, we are not economically dependent on a limited number of customers for the sale of our products and services except with respect to our dependence on two major digital billboard customers in our Commercial business unit.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on the balance sheet. As it relates to fixed income marketable securities, it is not likely we will be required to sell any of these investments before recovery of the entire amortized cost basis. In addition, as of April 28, 2018,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2018 and April 29, 2017,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4,936</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34,676</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7,574</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32,721</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fiscal years ended April 28, 2018 and April 29, 2017, the reclassifications from accumulated other comprehensive loss to net earnings were immaterial.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April 28,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3,248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1,664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4,912</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acquired 100 percent ownership in ADFLOW Networks, Inc. ("ADFLOW"), a Canadian company, on March 15, 2016 for an undisclosed amount. The results of its operations and its assets and liabilities have been included in our consolidated financial statements since the date of acquisition. We have not made pro forma disclosures because the results of its operations are not material to our consolidated financial statements.</w:t>
      </w:r>
    </w:p>
    <w:p>
      <w:pPr>
        <w:spacing w:after="0" w:line="3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included deferred payments of $1,833 to be made over three years unless certain conditions in the business are not met. We have included the payment obligation in other long-term obligations in our consolidated balance sheets. The fair value of such contingent consideration is estimated as of the acquisition date, and subsequently at the end of each reporting period, using forecasted cash flows. Projecting future cash flows requires us to make significant estimates and assumptions regarding future events, conditions, or revenues being achieved under the subject contingent agreement as well as the appropriate discount rate. Such valuation techniques include one or more significant inputs that are not observable. See "Note 16. Fair Value Measurement"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Sale of Non-Digital Division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2018,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sales in the International business unit.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we recognized an impairment loss of $830 on intangible assets related to the technology and customer list. See "Note 6. Goodwill and Intangible Assets"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account for goodwill and intangible assets in accordance with ASC 350, </w:t>
      </w:r>
      <w:r>
        <w:rPr>
          <w:rFonts w:ascii="Arial" w:cs="Arial" w:eastAsia="Arial" w:hAnsi="Arial"/>
          <w:sz w:val="18"/>
          <w:szCs w:val="18"/>
          <w:i w:val="1"/>
          <w:iCs w:val="1"/>
          <w:color w:val="auto"/>
        </w:rPr>
        <w:t>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April 28,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 The result of the analysis indicated no goodwill impairment existed for fiscal years 2018, 2017, and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expected market demand and our ability to grow or maintain market share,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and expected expenditures for capital and operating expenses. Assets shared or not directly attributed to a reportable segment's activities are allocated to the reportable segment based on sales and other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net, as of April 28, 2018 and April 29,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April 28, 2018</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Life (in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66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14"/>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April 29, 2017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Life (in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66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Registered trademarks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Software</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1,759</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4,705</w:t>
            </w: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fiscal 2017, we chose to transition out of the non-digital market in our International business unit. We identified certain technology and customer lists with carrying values deemed to not be recoverable. Based on this evaluation, we recognized an impairment loss of $830 for non-digital related technology and customer list intangible assets. This was included in cost of sales and selling expense in the consolidated statement of operations. The impairment loss was calculated based on expected future cash flows using level 3 inputs. The level 3 inputs included weighted average estimated future cash flows from non-digital product sales and estimated selling value of non-digital intellectual property. See "Note 5. Sale of Non-Digital Division Assets"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the fiscal years 2018, 2017, and 2016, amortization expense including impairment related to intangible assets was $1,330, $2,546, and $295,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expenses are included primarily in product design and development and selling expense in the consolidated statement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2018, amortization expenses for future periods were estimated to be as follows:</w:t>
      </w:r>
    </w:p>
    <w:p>
      <w:pPr>
        <w:spacing w:after="0" w:line="383" w:lineRule="exact"/>
        <w:rPr>
          <w:sz w:val="20"/>
          <w:szCs w:val="20"/>
          <w:color w:val="auto"/>
        </w:rPr>
      </w:pPr>
    </w:p>
    <w:tbl>
      <w:tblPr>
        <w:tblLayout w:type="fixed"/>
        <w:tblInd w:w="2400" w:type="dxa"/>
        <w:tblCellMar>
          <w:top w:w="0" w:type="dxa"/>
          <w:left w:w="0" w:type="dxa"/>
          <w:bottom w:w="0" w:type="dxa"/>
          <w:right w:w="0" w:type="dxa"/>
        </w:tblCellMar>
      </w:tblP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2020</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2022</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expected amortization expense</w:t>
            </w:r>
          </w:p>
        </w:tc>
        <w:tc>
          <w:tcPr>
            <w:tcW w:w="2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670"/>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7. Selected Financial Statement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75,335</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66,486</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67,773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84,189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237,209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223,941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169,150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157,192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expense was $16,273, $16,732, and $16,561 for the fiscal years 2018, 2017, and 2016, respectively.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fiscal years 2018, 2017, and 2016, the pretax impairment charges for property and equipment were immaterial. The impairment charges were related to equipment obsoleted due to technology improvements or to custom demonstration equipment with no resale value. These impairment charges were included primarily in product design and development and selling expense in the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Short-term accrued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April 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Equity in losses of affiliates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8. Uncompleted Contracts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Uncompleted contracts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524,453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508,993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168,731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161,611</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693,184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670,604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674,411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645,098</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(12,195)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(10,897)</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$2,151 and $2,610 at April 28, 2018 and April 29, 2017, respectively. Included in accounts receivable as of April 28, 2018 and April 29, 2017 was $964 and $1,857, respectively, of retainage on construction-type contracts, all of which is expected to be collected within one year.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12 months and sales-type leases.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$3,393 and $4,890 as of April 28, 2018 and April 29, 2017, respectively. Contract and lease receivables bearing annual interest rates of 4.8 to 10.0 percent are due in varying annual installments through 2024. The face amount of long-term receivables was $3,733 as of April 28, 2018 and $5,201 as of April 29,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Financing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2016, we entered into a credit agreement and a related revolving note with a U.S. bank. The agreement and note have a maturity date of November 15, 2019. The revolving amount of the agreement and note is $35,000, including up to $15,000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3.4 percent at April 28, 2018. We are assessed a loan fee equal to 0.125 percent per annum on any unused portion of the loan. As of April 28, 2018, there were no advances to us under the loan portion of the line of credit, and the balance of letters of credit outstanding was approximately $6,495.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minimum fixed charge coverage ratio of at least 2 to 1 at the end of any fiscal year. The ratio is equal to (a) EBITDA minus the sum of dividends or other distributions (unless the bank approves), share repurchases, a maintenance capital expenditure reserve in the amount of $6,000, and income tax to (b) all principal and interest payments with respect to indebtedness, excluding principal payments on the line of credit; and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ratio of funded debt, excluding any marketing obligations, to EBITDA of less than 1 to 1 at the end of any fiscal quarter.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$20,000.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$55,000. The interest rate is equal to LIBOR plus 1.5 percent. As of April 28, 2018, there were no advances outstanding under the loan agreement and approximately $1,211 in bank guarantees under this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2018, we were in compliance with all applicable bank loan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2018, we had no repurchases of shares of our outstanding common stock. During fiscal 2017, we repurchased 284 shares of common stock at a total cost of $1,825. As of April 28, 2018, we had $38,175 of remaining capacity under our current share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 Equity and 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120,000 authorized shares consist of 115,000 shares of common stock and 5,000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outstanding share of our common stock includes one common share purchase right. Each right entitles the registered holder to purchase from us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percent or more of our outstanding common shares. The rights expire on November 19, 2018, which date may be extended by our Board of Directors subject to certain additional conditions.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Stock incentive plans</w:t>
      </w:r>
      <w:r>
        <w:rPr>
          <w:rFonts w:ascii="Arial" w:cs="Arial" w:eastAsia="Arial" w:hAnsi="Arial"/>
          <w:sz w:val="18"/>
          <w:szCs w:val="18"/>
          <w:color w:val="auto"/>
        </w:rPr>
        <w:t>: During fiscal 2016, we established the 2015 Stock Incentive Plan (“2015 Plan”) and ceased granting options under the 2007 Stock Incentive Plan ("2007 Plan"). The 2015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 vesting period. Stock options granted to independent directors under these plans have a seven-year life and an exercise price equal to the fair market value on the date of grant. Stock options granted to independent directors vest in one year.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April 28, 2018, the aggregate number of shares available for future grant under the 2015 Plan for stock options and restricted stock awards was 1,870 shares. Shares of common stock subject to all stock awards granted under the 2015 Plan are counted as one share of stock for each share of stock subject to the award. Although the 2007 Plan remains in effect for options outstanding, no new options can be granted under this plan.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We issue restricted stock to our non-employee directors and restricted stock units to employees.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$1,226 at April 28, 2018, which is expected to be recognized over a weighted-average period of 2.8 years. The total fair value of restricted stock vested was $1,274, $1,214, and $1,191 for fiscal years 2018, 2017, and 2016,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and restricted stock units for fiscal years 2018, 2017, and 2016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00"/>
              <w:spacing w:after="0"/>
              <w:rPr>
                <w:sz w:val="20"/>
                <w:szCs w:val="20"/>
                <w:color w:val="auto"/>
              </w:rPr>
            </w:pPr>
            <w:r>
              <w:rPr>
                <w:rFonts w:ascii="Arial" w:cs="Arial" w:eastAsia="Arial" w:hAnsi="Arial"/>
                <w:sz w:val="18"/>
                <w:szCs w:val="18"/>
                <w:b w:val="1"/>
                <w:bCs w:val="1"/>
                <w:color w:val="auto"/>
              </w:rPr>
              <w:t>April 28, 2018</w:t>
            </w:r>
          </w:p>
        </w:tc>
        <w:tc>
          <w:tcPr>
            <w:tcW w:w="2720" w:type="dxa"/>
            <w:vAlign w:val="bottom"/>
            <w:gridSpan w:val="5"/>
          </w:tcPr>
          <w:p>
            <w:pPr>
              <w:ind w:left="780"/>
              <w:spacing w:after="0"/>
              <w:rPr>
                <w:sz w:val="20"/>
                <w:szCs w:val="20"/>
                <w:color w:val="auto"/>
              </w:rPr>
            </w:pPr>
            <w:r>
              <w:rPr>
                <w:rFonts w:ascii="Arial" w:cs="Arial" w:eastAsia="Arial" w:hAnsi="Arial"/>
                <w:sz w:val="18"/>
                <w:szCs w:val="18"/>
                <w:b w:val="1"/>
                <w:bCs w:val="1"/>
                <w:color w:val="auto"/>
              </w:rPr>
              <w:t>April 29, 2017</w:t>
            </w: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30"/>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10.69</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all stock option plans during the fiscal year ended April 28, 2018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Aggregate</w:t>
            </w:r>
          </w:p>
        </w:tc>
      </w:tr>
      <w:tr>
        <w:trPr>
          <w:trHeight w:val="230"/>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29, 2017</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28, 2018</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Exercisable at April 28, 2018</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April 28, 2018 as options having exercise prices lower than the $9.01 per share market price of our common stock on that date. There were in-the-money options to purchase 594 shares exercisable at April 28, 2018. The total intrinsic value of options exercised during fiscal years 2018, 2017, and 2016 was $65, $64, and $132, respectively. The total fair value of stock options vested was $977, $1,102, and $1,190 for fiscal years 2018, 2017, and 2016,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7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and Exchange Commission ("SEC") 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historical dividend yield pattern.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April 28,</w:t>
            </w:r>
          </w:p>
        </w:tc>
        <w:tc>
          <w:tcPr>
            <w:tcW w:w="24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April 29,</w:t>
            </w:r>
          </w:p>
        </w:tc>
        <w:tc>
          <w:tcPr>
            <w:tcW w:w="240" w:type="dxa"/>
            <w:vAlign w:val="bottom"/>
          </w:tcPr>
          <w:p>
            <w:pPr>
              <w:spacing w:after="0"/>
              <w:rPr>
                <w:sz w:val="18"/>
                <w:szCs w:val="18"/>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w w:val="97"/>
              </w:rPr>
              <w:t>1.95%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1.31 - 1.44%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1.70 - 1.90%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7"/>
              </w:rPr>
              <w:t>3.27%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42.51%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44.12 - 44.51%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42.71 - 48.32%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3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6.83 years</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5.78 - 6.98 years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5.78 - 6.98 years</w:t>
            </w:r>
          </w:p>
        </w:tc>
      </w:tr>
      <w:tr>
        <w:trPr>
          <w:trHeight w:val="27"/>
        </w:trPr>
        <w:tc>
          <w:tcPr>
            <w:tcW w:w="4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2,500. The number of shares of common stock issued under the ESPP totaled 223, 118, and 227 shares in fiscal 2018, 2017, and 2016, respectively. The number of shares of common stock reserved for future employee purchases under the ESPP totaled 173 shares at April 28, 2018. The ESPP is intended to qualify under Section 423 of the Internal Revenue Code of 1986 (the "Code").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April 28, 2018, there was $3,752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2.9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share-based compensation expenses for stock options, restricted stock, restricted stock units and shares issued under the ESPP for fiscal years 2018, 2017, and 2016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$519 in cash from option exercises under all share-based payment arrangements for the fiscal year ended April 28, 2018. The tax benefit (expense) related to non-qualified options and restricted stock units under all share-based payment arrangements totaled $9, $2, and $(69) for fiscal years 2018,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Benefits</w:t>
      </w:r>
    </w:p>
    <w:p>
      <w:pPr>
        <w:sectPr>
          <w:pgSz w:w="11900" w:h="16838" w:orient="portrait"/>
          <w:cols w:equalWidth="0" w:num="1">
            <w:col w:w="11420"/>
          </w:cols>
          <w:pgMar w:left="240" w:top="122"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sponsor a 401(k) savings plan providing benefits for substantially all United States based employees of both Daktronics, Inc. and its subsidiaries, subject to certain Internal Revenue Service ("IRS") limits. We make matching cash contributions equal to 50 percent of the employee's qualifying contribution up to six percent of such employee's compensation. Employees are eligible to participate upon completion of three months of continuous service if they have attained the age of 21. We contributed $2,612, $2,463 and $2,382 to the plan for fiscal years 2018,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President Trump signed the Tax Act into law. The Tax Act makes broad and complex changes to the Code. Some of the most significant provisions of the Tax Act impacting us include a reduction of the U.S. federal corporate income tax rate from 35% to 21%, a one-time "deemed repatriation" tax on previously untaxed accumulated earnings and profits of subsidiaries in non-U.S. jurisdictions, and a transition of U.S. international taxation from a worldwide tax system to a territorial tax system. Because we file our tax return based on our fiscal year, the federal statutory tax rate for our fiscal 2018 tax return will be a blended rate of 30.4%.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Tax Act, we have recorded a provisional reduction to our net U.S. deferred tax assets of $3,534, which resulted in a corresponding increase to income tax expense for fiscal 2018. Additionally, we have recorded a provisional increase to income tax expense of $285 for the one-time deemed repatriation tax.</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SEC issued Staff Accounting Bulletin No. 118 which allows the recording of provisional amounts during a measurement period, not to exceed one year from the enactment date of the Tax Act, to account for the impacts of the Tax Act in companies' financial statements when companies do not have the necessary information available, prepared or analyzed in reasonable detail to complete their accounting for the effects of the changes in the Tax Act. Since the Tax Act was passed late in the fourth quarter of calendar 2018, ongoing guidance and accounting interpretation are expected over the next year, and significant data and analysis is required to finalize amounts recorded pursuant to the Tax Act. We will continue to refine any estimates throughout the measurement period or until the accounting is complete, and the impact of the Tax Act may differ from these estimates, possibly materially, due to, among other things, changes in estimates and assumptions that we have made.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Tax Act includes a provision designed to currently tax global intangible low-taxed income ("GILTI") starting in fiscal 2019. Due to the complexity of the new GILTI tax rules, we are continuing to evaluate this provision of the Tax Act and the application of ASC 740, and we are considering available accounting policy alternatives to adopt to either record the U.S. income tax effect of future GILTI inclusions in the period in which they arise or establish deferred taxes with respect to the expected future tax liabilities associated with future GILTI inclusions. In addition, we are awaiting further interpretive guidance in connection with the computation of the GILTI tax. For these reasons, we have not yet determined a policy for the effect of this provision of the Tax Act. We expect to complete our analysis within the measurement period in accordance with Staff Accounting Bulletin No.118.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fiscal 2018 effective rate was higher than the federal statutory rate primarily due to the impacts of the new tax law totaling $3,819.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fiscal 2017 included the impact of benefits from increased research and development tax credits, which was offset by valuation allowances recorded during the current year in certain foreign jurisdictions.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fiscal 2016 included the impact of the Protecting Americans from Tax Hikes Act of 2015 (“PATH Act”) signed in December 2015, which retroactively reinstated as well as permanently extended the research and development tax credit. This provided a recognition of approximately $2,015 in tax benefits during fiscal 2016. The benefit is largely offset by pre-tax losses with no tax benefit due to valuation allowances and the current year establishment of valuation allowances in certain jurisdictions of $1,265 that were recognized during fiscal 2016.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the significant components of our income tax provision. The pretax income attributable to domestic and foreign operations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5,268</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Computed income tax expense at federal, state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local jurisdiction statutory rates</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Impact of Tax Act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Change in valuation allowances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components of the net deferred tax asset were as follows: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24"/>
                <w:szCs w:val="24"/>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April 29,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7,282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10,469</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maintenance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Allowance for excess and obsolete inventory</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1,376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1,254</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foreign currency exchange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tax credit carry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15,532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21,845</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(2,061)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14,026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19,784</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(4,881)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(6,762)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(1,809)</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(6,710)</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(9,328)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7,316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10,456</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5"/>
          </w:tcPr>
          <w:p>
            <w:pPr>
              <w:spacing w:after="0"/>
              <w:rPr>
                <w:sz w:val="20"/>
                <w:szCs w:val="20"/>
                <w:color w:val="auto"/>
              </w:rPr>
            </w:pPr>
            <w:r>
              <w:rPr>
                <w:rFonts w:ascii="Arial" w:cs="Arial" w:eastAsia="Arial" w:hAnsi="Arial"/>
                <w:sz w:val="18"/>
                <w:szCs w:val="18"/>
                <w:color w:val="auto"/>
                <w:w w:val="99"/>
              </w:rPr>
              <w:t>The classification of net deferred tax assets in the accompanying consolidated balance sheets is: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24"/>
                <w:szCs w:val="24"/>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April 29,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7,930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11,292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7,316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10,456</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5"/>
          </w:tcPr>
          <w:p>
            <w:pPr>
              <w:spacing w:after="0"/>
              <w:rPr>
                <w:sz w:val="20"/>
                <w:szCs w:val="20"/>
                <w:color w:val="auto"/>
              </w:rPr>
            </w:pPr>
            <w:r>
              <w:rPr>
                <w:rFonts w:ascii="Arial" w:cs="Arial" w:eastAsia="Arial" w:hAnsi="Arial"/>
                <w:sz w:val="18"/>
                <w:szCs w:val="18"/>
                <w:color w:val="auto"/>
              </w:rPr>
              <w:t>The summary of changes in the amounts related to unrecognized uncertain tax benefits are:</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April 28, 2018</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April 29, 2017</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Lapse of statute of limitations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in the next 12 months: expiring statutes, audit activity, tax payments, or competent authority proceedings. A statute relating to $2,569 of the unrecognized tax benefits (including interest) expires in the next 12 months. The benefit will be recognized if the statute lapses with no further action taken by regulators.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penalties incurred associated with uncertain tax positions are included in the "Income tax expense" line item in our consolidated statement of operations. Accrued interest and penalties are included in the related tax liability line item in our consolidated balance sheet of $238 and $170 as of April 28, 2018 and April 29, 2017, respectively.</w:t>
      </w:r>
    </w:p>
    <w:p>
      <w:pPr>
        <w:sectPr>
          <w:pgSz w:w="11900" w:h="16838" w:orient="portrait"/>
          <w:cols w:equalWidth="0" w:num="1">
            <w:col w:w="11420"/>
          </w:cols>
          <w:pgMar w:left="240" w:top="122" w:right="239" w:bottom="1054"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054"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April 28, 2018, we had foreign net operating loss (“NOL”) carryforwards of approximately $7,223 primarily related to our operations in Belgium and Ireland, which have indefinite lives, and $62 is related to other international operations that expires in fiscal 2019. A deferred tax asset has been recorded for all NOL carryforwards totaling approximately $1,286. However, due to uncertainty in future taxable income, a valuation allowance totaling approximately $1,279 has been recorded in Belgium and Ireland.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U.S. federal income tax as well as income taxes of multiple state and foreign jurisdictions. Due to various factors and operating in multiple state and foreign jurisdictions, our effective tax is subject to fluctuation. As a result of the expiration of statutes of limitations, our fiscal years 2015, 2016, and 2017 are the remaining years open under statutes of limitations for federal and state income tax examinations. Certain subsidiaries are also subject to income tax in several foreign jurisdictions which have open tax years varying by jurisdiction beginning in fiscal 2008.</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April 28, 2018, we have no deferred tax liability recognized relating to our investment in foreign subsidiaries where the earnings have been indefinitely reinvested. The Tax Act generally eliminates U.S. federal income taxes on dividends from foreign subsidiaries, and as a result, the accumulated undistributed earnings would only be subject to other taxes, such as withholding taxes and state income taxes, on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non-U.S. jurisdictions.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15. Cash Flow Information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 receivable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Long-term receivables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taxes receivables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marketing obligations and other payables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Long-term marketing obligations and other payables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Supplemental disclosures of cash flow information consisted of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28,</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ESPP</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Contingent consideration related to acquisition of ADFLOW</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April 28, 2018 and April 29, 2017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Fair Value Measurements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8,669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19,949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Contingent liability</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33,335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Contingent liability</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63,448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80" w:type="dxa"/>
            <w:vAlign w:val="bottom"/>
            <w:gridSpan w:val="8"/>
          </w:tcPr>
          <w:p>
            <w:pPr>
              <w:spacing w:after="0"/>
              <w:rPr>
                <w:sz w:val="20"/>
                <w:szCs w:val="20"/>
                <w:color w:val="auto"/>
              </w:rPr>
            </w:pPr>
            <w:r>
              <w:rPr>
                <w:rFonts w:ascii="Arial" w:cs="Arial" w:eastAsia="Arial" w:hAnsi="Arial"/>
                <w:sz w:val="18"/>
                <w:szCs w:val="18"/>
                <w:color w:val="auto"/>
                <w:w w:val="93"/>
              </w:rPr>
              <w:t>A roll forward of the Level 3 contingent liability, both short- and long-term, for the year ended April 28, 2018 is as follows: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29, 2017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28, 2018</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Consists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17. Derivative Financial Instruments" for more information regarding our derivatives.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the fair value of a liability measured on an expected future payment in fiscal 2019 relating to a business acquisition if future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measures are achieved. The contingent liability was calculated by estimating the discounted present value of expected future payments for estimated performance measure attainment. To estimate future performance measure attainment, we utilized significant unobservable inputs as of April 28, 2018 and April 29, 2017. The unobservable inputs included management expectations and forecasts for business sales and profits performance and an estimated discount rate based on current borrowing interest rates. To the extent that these assumptions changed or actual results differed from these estimates, the fair value of the contingent consideration liability could change from $1,000 to $0 or increase in proportion to increased business performance from this estimate. The contingent liability is presented in other long-term obligations in our consolidated balance sheets.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Non-recurring measurements: </w:t>
      </w:r>
      <w:r>
        <w:rPr>
          <w:rFonts w:ascii="Arial" w:cs="Arial" w:eastAsia="Arial" w:hAnsi="Arial"/>
          <w:sz w:val="18"/>
          <w:szCs w:val="18"/>
          <w:color w:val="auto"/>
        </w:rPr>
        <w:t>The fair value measurement standard also applies to certain non-financial assets and liabilities measured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 We used Level 3 inputs to measure and record a technology and customer list intangible asset impairment of $830 during fiscal 2017. See "Note 6. Goodwill and Intangible Assets" for more information.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Some of our financial instruments, such as accounts receivable, long-term receivables, prepaid expense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costs and earnings in excess of billings and billings in excess of costs, accounts payable, warranty obligations, customer deposits, deferred revenue, and other long-term obligations, are reflected in the balance sheet at carrying value, which approximates fair value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April 28, 2018 and April 29, 2017, we had not designated any of our derivative instruments as accounting hedges, and thus we recorded the changes in fair value in "Other (expense) income, net."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April 28, 2018 and April 29,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60"/>
              <w:spacing w:after="0"/>
              <w:rPr>
                <w:sz w:val="20"/>
                <w:szCs w:val="20"/>
                <w:color w:val="auto"/>
              </w:rPr>
            </w:pPr>
            <w:r>
              <w:rPr>
                <w:rFonts w:ascii="Arial" w:cs="Arial" w:eastAsia="Arial" w:hAnsi="Arial"/>
                <w:sz w:val="18"/>
                <w:szCs w:val="18"/>
                <w:b w:val="1"/>
                <w:bCs w:val="1"/>
                <w:color w:val="auto"/>
              </w:rPr>
              <w:t>April 28, 2018</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29, 2017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April 28, 2018, there was an asset and liability of $41 and $236, respectively, and, as of April 29, 2017, there was an asset and liability of $64 and $277, respectively, representing the fair value of foreign currency exchange forward contracts, which were determined using Level 2 inputs from a third-party bank.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April 28, 2018, we recorded a liability and related other receivable of $1,904 for a net claim from a customer against work performed by one of our subcontractors during installation which damaged our customer's property. The amount recorded is for probable and reasonably estimated cost to remediate the damage. Our subcontractor has full insurance for such matters, we have claims to a performance bond as additional collateral, and we carry insurance to cover such matters. In the opinion of management, the ultimate liability of this claim is not expected to have a material effect on our financial position, liquidity or capital resources.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28, 2018, a customer was withholding $2,224 of payment claiming we did not perform to the customer's specifications. We believe we have performed to the agreed-upon written specifications, have strong contractual documentation to support our position, and a customer with wherewithal to pay. We believe that we will ultimately prevail in collections. Although our assessment of the loss is remote, a number of factors could change the outcome.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did not believe there was a reasonable probability that any material loss for other various claims or legal actions, including reviews, inspections or other legal proceedings, if any, would be incurred. Accordingly, no material accrual or disclosure of a potential range of loss has been made related to these matters. We do not expect the ultimate liability of these unresolved legal proceedings to have a material effect on our financial position, liquidity or capital resources.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April 29, 2017, we did not believe there was a reasonable probability that any material loss for various claims or legal actions, including reviews, inspections or other legal proceedings, if any, would be incurred. Accordingly, no material accrual or disclosure of a potential range of loss has been made.</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fiscal 2016, we discovered a warranty issue caused by a mechanical device failure within a module for displays primarily in our OOH applications built prior to fiscal 2013. The device failure causes a visual defect in the display. Over the past three years, we have deployed preventative maintenance to impacted sites and repaired the defective devices in our repair center. When certain site locations have exceeded an acceptable failure rate, we have refurbished the display to meet customers’ expectations under contractual obligations. During fiscal 2018, 2017, and 2016, we recognized warranty expense for probable and reasonably estimated costs to remediate this issue of $4,539, $1,766, and $9,174, respectively. The decision to incur additional warranty expense in fiscal 2018 is primarily based on our decision to preserve our market leadership and, in certain cases, customer relationship by providing coverage beyond our contractual obligations. As of April 28, 2018, we had $1,555 remaining in accrued warranty obligations for the estimate of probable future claims related to this issue. Although many of our contractual warranty arrangements are nearing expiration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fiscal years ended April 28, 2018 and April 29,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28, 2018</w:t>
            </w: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29, 2017</w:t>
            </w: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April 30, 2016</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26,481</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10,528</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w:t>
            </w:r>
          </w:p>
        </w:tc>
      </w:tr>
      <w:tr>
        <w:trPr>
          <w:trHeight w:val="229"/>
        </w:trPr>
        <w:tc>
          <w:tcPr>
            <w:tcW w:w="5480" w:type="dxa"/>
            <w:vAlign w:val="bottom"/>
          </w:tcPr>
          <w:p>
            <w:pPr>
              <w:ind w:left="420"/>
              <w:spacing w:after="0"/>
              <w:rPr>
                <w:sz w:val="20"/>
                <w:szCs w:val="20"/>
                <w:color w:val="auto"/>
              </w:rPr>
            </w:pPr>
            <w:r>
              <w:rPr>
                <w:rFonts w:ascii="Arial" w:cs="Arial" w:eastAsia="Arial" w:hAnsi="Arial"/>
                <w:sz w:val="18"/>
                <w:szCs w:val="18"/>
                <w:color w:val="auto"/>
                <w:w w:val="93"/>
              </w:rPr>
              <w:t>Changes in accrued warranty obligations for pre-existing warranties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48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11,864</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27,899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April 28, 2018, we had outstanding letters of credit and surety bonds in the amount of $7,706 and $16,522, respectively. Performance guarantees are issued to certain customers to guarantee the operation and installation of the equipment and our ability to complete a contract. These performance guarantees have various terms, but are generally one year.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We lease vehicles, office space and equipment for various global sales and service locations, including manufacturing space in the United States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$3,477, $3,175 and $3,031 for the fiscal years 2018, 2017, and 2016,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April 28,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April 28, 2018, we were obligated under the following conditional and unconditional purchase commitments, which included $350 in conditional purchase commitments: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obligations: </w:t>
      </w:r>
      <w:r>
        <w:rPr>
          <w:rFonts w:ascii="Arial" w:cs="Arial" w:eastAsia="Arial" w:hAnsi="Arial"/>
          <w:sz w:val="18"/>
          <w:szCs w:val="18"/>
          <w:color w:val="auto"/>
        </w:rPr>
        <w:t>We are obligated to pay the following payments for acquisitions and for other various obligations: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April 28, 2018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29, 2017</w:t>
            </w:r>
          </w:p>
        </w:tc>
      </w:tr>
      <w:tr>
        <w:trPr>
          <w:trHeight w:val="27"/>
        </w:trPr>
        <w:tc>
          <w:tcPr>
            <w:tcW w:w="4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Deferred purchase price</w:t>
            </w:r>
          </w:p>
        </w:tc>
        <w:tc>
          <w:tcPr>
            <w:tcW w:w="1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1,844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2,479</w:t>
            </w:r>
          </w:p>
        </w:tc>
      </w:tr>
      <w:tr>
        <w:trPr>
          <w:trHeight w:val="27"/>
        </w:trPr>
        <w:tc>
          <w:tcPr>
            <w:tcW w:w="4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outstanding</w:t>
            </w:r>
          </w:p>
        </w:tc>
        <w:tc>
          <w:tcPr>
            <w:tcW w:w="16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2,408</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w:t>
            </w:r>
          </w:p>
        </w:tc>
      </w:tr>
      <w:tr>
        <w:trPr>
          <w:trHeight w:val="27"/>
        </w:trPr>
        <w:tc>
          <w:tcPr>
            <w:tcW w:w="4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liability</w:t>
            </w:r>
          </w:p>
        </w:tc>
        <w:tc>
          <w:tcPr>
            <w:tcW w:w="16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1,187</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1,221</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31, 2018, our Board of Directors declared a regular quarterly dividend of $0.07 per share on our common stock payable on June 21, 2018 to holders of record of our common stock on June 11,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4"/>
              </w:rPr>
              <w:t>Fiscal Year 2018</w:t>
            </w:r>
            <w:r>
              <w:rPr>
                <w:rFonts w:ascii="Arial" w:cs="Arial" w:eastAsia="Arial" w:hAnsi="Arial"/>
                <w:sz w:val="25"/>
                <w:szCs w:val="25"/>
                <w:b w:val="1"/>
                <w:bCs w:val="1"/>
                <w:color w:val="auto"/>
                <w:w w:val="84"/>
                <w:vertAlign w:val="superscript"/>
              </w:rPr>
              <w:t>(1)(2)(3)</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27,</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138,177</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44,646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29,852</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554"/>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7"/>
              </w:rPr>
              <w:t>Fiscal Year 2017</w:t>
            </w:r>
            <w:r>
              <w:rPr>
                <w:rFonts w:ascii="Arial" w:cs="Arial" w:eastAsia="Arial" w:hAnsi="Arial"/>
                <w:sz w:val="25"/>
                <w:szCs w:val="25"/>
                <w:b w:val="1"/>
                <w:bCs w:val="1"/>
                <w:color w:val="auto"/>
                <w:w w:val="87"/>
                <w:vertAlign w:val="superscript"/>
              </w:rPr>
              <w:t>(4)</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143,682</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33,724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4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900" w:hanging="325"/>
        <w:spacing w:after="0" w:line="258" w:lineRule="auto"/>
        <w:tabs>
          <w:tab w:leader="none" w:pos="8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data for the quarter ended October 28, 2017 includes the sale of our non-digital division assets. See "Note 5. Sale of Non-Digital Division Assets" for further information.</w:t>
      </w:r>
    </w:p>
    <w:p>
      <w:pPr>
        <w:spacing w:after="0" w:line="1" w:lineRule="exact"/>
        <w:rPr>
          <w:rFonts w:ascii="Arial" w:cs="Arial" w:eastAsia="Arial" w:hAnsi="Arial"/>
          <w:sz w:val="18"/>
          <w:szCs w:val="18"/>
          <w:color w:val="auto"/>
        </w:rPr>
      </w:pPr>
    </w:p>
    <w:p>
      <w:pPr>
        <w:ind w:left="900" w:hanging="325"/>
        <w:spacing w:after="0" w:line="250" w:lineRule="auto"/>
        <w:tabs>
          <w:tab w:leader="none" w:pos="8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data for the quarters ended October 28, 2017 and April 28, 2018 includes additional warranty charges due to specific site issues of $3,179 and $2,354, respectively. See "Note 18. Commitments and Contingencies" for further information.</w:t>
      </w:r>
    </w:p>
    <w:p>
      <w:pPr>
        <w:ind w:left="900" w:hanging="325"/>
        <w:spacing w:after="0" w:line="250" w:lineRule="auto"/>
        <w:tabs>
          <w:tab w:leader="none" w:pos="8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data for the quarters ended January 27, 2018 and April 28, 2018 includes the effects of the Tax Act, which impacted our deferred tax asset valuation and the impact of deemed repatriation of foreign earnings with an increase to tax expense of $4,280 and a decrease to tax expense of $461. See "Note 14. Income Taxes" for further information.</w:t>
      </w:r>
    </w:p>
    <w:p>
      <w:pPr>
        <w:spacing w:after="0" w:line="1" w:lineRule="exact"/>
        <w:rPr>
          <w:rFonts w:ascii="Arial" w:cs="Arial" w:eastAsia="Arial" w:hAnsi="Arial"/>
          <w:sz w:val="18"/>
          <w:szCs w:val="18"/>
          <w:color w:val="auto"/>
        </w:rPr>
      </w:pPr>
    </w:p>
    <w:p>
      <w:pPr>
        <w:ind w:left="900" w:hanging="325"/>
        <w:spacing w:after="0" w:line="261" w:lineRule="auto"/>
        <w:tabs>
          <w:tab w:leader="none" w:pos="8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data for the quarter ended October 29, 2016 includes an impairment loss on intangible assets. See "Note 6. Goodwill and Intangible Assets" for further information.</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reported on the Company’s Current Report on Form 8-K filed on September 15, 2017, effective on September 12, 2017, the Audit Committee dismissed Ernst &amp; Young LLP as the Company’s independent registered public accounting firm and appointed Deloitte &amp; Touche, LLP to serve in this role for the fiscal year ended April 28, 2018. For more information, see the Current Report on Form 8-K filed on September 15, 2017, as amended by the Current Report on Form 8-K/A (Amendment No. 1) filed on December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under the Securities Exchange Act of 1934. As of April 28, 2018,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28, 2018,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April 28, 2018,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April 28,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April 28, 2018 has been audited by Deloitte &amp; Touche, LLP, our independent registered public accounting firm, which is included in this Annual Report on Form 10-K.</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w w:val="91"/>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June 8, 2018</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June 8, 2018</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67</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this Item 10 will be included under the captions “Proposal One - Election of Directors” and “Corporate Governance” in our Proxy Statement for our 2018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April 28, 2018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right="4860"/>
        <w:spacing w:after="0" w:line="271" w:lineRule="auto"/>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Report of Independent Registered Public Accounting Firm - Deloitte &amp; Touche LLP</w:t>
        </w:r>
      </w:hyperlink>
      <w:r>
        <w:rPr>
          <w:rFonts w:ascii="Arial" w:cs="Arial" w:eastAsia="Arial" w:hAnsi="Arial"/>
          <w:sz w:val="17"/>
          <w:szCs w:val="17"/>
          <w:u w:val="single" w:color="auto"/>
          <w:color w:val="0000EE"/>
        </w:rPr>
        <w:t xml:space="preserve"> </w:t>
      </w:r>
      <w:hyperlink w:anchor="page38">
        <w:r>
          <w:rPr>
            <w:rFonts w:ascii="Arial" w:cs="Arial" w:eastAsia="Arial" w:hAnsi="Arial"/>
            <w:sz w:val="17"/>
            <w:szCs w:val="17"/>
            <w:u w:val="single" w:color="auto"/>
            <w:color w:val="0000EE"/>
          </w:rPr>
          <w:t>Report of Independent Registered Public Accounting Firm - Ernst &amp; Young LLP</w:t>
        </w:r>
      </w:hyperlink>
      <w:r>
        <w:rPr>
          <w:rFonts w:ascii="Arial" w:cs="Arial" w:eastAsia="Arial" w:hAnsi="Arial"/>
          <w:sz w:val="17"/>
          <w:szCs w:val="17"/>
          <w:u w:val="single" w:color="auto"/>
          <w:color w:val="0000EE"/>
        </w:rPr>
        <w:t xml:space="preserve"> </w:t>
      </w:r>
      <w:hyperlink w:anchor="page39">
        <w:r>
          <w:rPr>
            <w:rFonts w:ascii="Arial" w:cs="Arial" w:eastAsia="Arial" w:hAnsi="Arial"/>
            <w:sz w:val="17"/>
            <w:szCs w:val="17"/>
            <w:u w:val="single" w:color="auto"/>
            <w:color w:val="0000EE"/>
          </w:rPr>
          <w:t>Consolidated Balance Sheets as of April 28, 2018 and April 29, 2017</w:t>
        </w:r>
      </w:hyperlink>
    </w:p>
    <w:p>
      <w:pPr>
        <w:ind w:left="5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Operations for each of the three fiscal years ended April 28, 2018, April 29, 2017, and April 30, 2016</w:t>
        </w:r>
      </w:hyperlink>
    </w:p>
    <w:p>
      <w:pPr>
        <w:spacing w:after="0" w:line="9" w:lineRule="exact"/>
        <w:rPr>
          <w:rFonts w:ascii="Arial" w:cs="Arial" w:eastAsia="Arial" w:hAnsi="Arial"/>
          <w:sz w:val="17"/>
          <w:szCs w:val="17"/>
          <w:u w:val="single" w:color="auto"/>
          <w:color w:val="0000EE"/>
        </w:rPr>
      </w:pPr>
    </w:p>
    <w:p>
      <w:pPr>
        <w:ind w:left="500"/>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Consolidated Statements of Comprehensive Income for each of the three fiscal years ended April 28, 2018, April 29, 2017, and April 30, 2016</w:t>
        </w:r>
      </w:hyperlink>
    </w:p>
    <w:p>
      <w:pPr>
        <w:spacing w:after="0" w:line="21" w:lineRule="exact"/>
        <w:rPr>
          <w:rFonts w:ascii="Arial" w:cs="Arial" w:eastAsia="Arial" w:hAnsi="Arial"/>
          <w:sz w:val="17"/>
          <w:szCs w:val="17"/>
          <w:u w:val="single" w:color="auto"/>
          <w:color w:val="0000EE"/>
        </w:rPr>
      </w:pPr>
    </w:p>
    <w:p>
      <w:pPr>
        <w:ind w:left="500"/>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Consolidated Statements of Shareholders’ Equity for each of the three fiscal years ended April 28, 2018, April 29, 2017, and April 30, 2016</w:t>
        </w:r>
      </w:hyperlink>
    </w:p>
    <w:p>
      <w:pPr>
        <w:spacing w:after="0" w:line="21" w:lineRule="exact"/>
        <w:rPr>
          <w:rFonts w:ascii="Arial" w:cs="Arial" w:eastAsia="Arial" w:hAnsi="Arial"/>
          <w:sz w:val="17"/>
          <w:szCs w:val="17"/>
          <w:u w:val="single" w:color="auto"/>
          <w:color w:val="0000EE"/>
        </w:rPr>
      </w:pPr>
    </w:p>
    <w:p>
      <w:pPr>
        <w:ind w:left="5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Cash Flows for each of the three fiscal years ended April 28, 2018, April 29, 2017, and April 30, 2016</w:t>
        </w:r>
      </w:hyperlink>
    </w:p>
    <w:p>
      <w:pPr>
        <w:spacing w:after="0" w:line="9" w:lineRule="exact"/>
        <w:rPr>
          <w:rFonts w:ascii="Arial" w:cs="Arial" w:eastAsia="Arial" w:hAnsi="Arial"/>
          <w:sz w:val="17"/>
          <w:szCs w:val="17"/>
          <w:u w:val="single" w:color="auto"/>
          <w:color w:val="0000EE"/>
        </w:rPr>
      </w:pPr>
    </w:p>
    <w:p>
      <w:pPr>
        <w:ind w:left="5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Notes to the Consolidated Financial Statements</w:t>
        </w:r>
      </w:hyperlink>
    </w:p>
    <w:p>
      <w:pPr>
        <w:spacing w:after="0" w:line="211" w:lineRule="exact"/>
        <w:rPr>
          <w:rFonts w:ascii="Arial" w:cs="Arial" w:eastAsia="Arial" w:hAnsi="Arial"/>
          <w:sz w:val="17"/>
          <w:szCs w:val="17"/>
          <w:u w:val="single" w:color="auto"/>
          <w:color w:val="0000EE"/>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180"/>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74">
        <w:r>
          <w:rPr>
            <w:rFonts w:ascii="Arial" w:cs="Arial" w:eastAsia="Arial" w:hAnsi="Arial"/>
            <w:sz w:val="18"/>
            <w:szCs w:val="18"/>
            <w:u w:val="single" w:color="auto"/>
            <w:color w:val="0000EE"/>
          </w:rPr>
          <w:t>Schedule II – Valuation and Qualifying Accounts</w:t>
        </w:r>
      </w:hyperlink>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rFonts w:ascii="Arial" w:cs="Arial" w:eastAsia="Arial" w:hAnsi="Arial"/>
          <w:sz w:val="18"/>
          <w:szCs w:val="18"/>
          <w:color w:val="auto"/>
        </w:rPr>
      </w:pPr>
    </w:p>
    <w:p>
      <w:pPr>
        <w:jc w:val="both"/>
        <w:ind w:left="500"/>
        <w:spacing w:after="0" w:line="197" w:lineRule="auto"/>
        <w:rPr>
          <w:rFonts w:ascii="Arial" w:cs="Arial" w:eastAsia="Arial" w:hAnsi="Arial"/>
          <w:sz w:val="18"/>
          <w:szCs w:val="18"/>
          <w:color w:val="auto"/>
        </w:rPr>
      </w:pPr>
      <w:r>
        <w:rPr>
          <w:rFonts w:ascii="Arial" w:cs="Arial" w:eastAsia="Arial" w:hAnsi="Arial"/>
          <w:sz w:val="18"/>
          <w:szCs w:val="18"/>
          <w:color w:val="auto"/>
        </w:rPr>
        <w:t>ADFLOW</w:t>
      </w:r>
      <w:r>
        <w:rPr>
          <w:rFonts w:ascii="Arial" w:cs="Arial" w:eastAsia="Arial" w:hAnsi="Arial"/>
          <w:sz w:val="25"/>
          <w:szCs w:val="25"/>
          <w:color w:val="auto"/>
          <w:vertAlign w:val="superscript"/>
        </w:rPr>
        <w:t>®</w:t>
      </w:r>
      <w:r>
        <w:rPr>
          <w:rFonts w:ascii="Arial" w:cs="Arial" w:eastAsia="Arial" w:hAnsi="Arial"/>
          <w:sz w:val="18"/>
          <w:szCs w:val="18"/>
          <w:color w:val="auto"/>
        </w:rPr>
        <w:t>, 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Go Digital</w:t>
      </w:r>
      <w:r>
        <w:rPr>
          <w:rFonts w:ascii="Arial" w:cs="Arial" w:eastAsia="Arial" w:hAnsi="Arial"/>
          <w:sz w:val="25"/>
          <w:szCs w:val="25"/>
          <w:color w:val="auto"/>
          <w:vertAlign w:val="superscript"/>
        </w:rPr>
        <w:t>®</w:t>
      </w:r>
      <w:r>
        <w:rPr>
          <w:rFonts w:ascii="Arial" w:cs="Arial" w:eastAsia="Arial" w:hAnsi="Arial"/>
          <w:sz w:val="18"/>
          <w:szCs w:val="18"/>
          <w:color w:val="auto"/>
        </w:rPr>
        <w:t>, Hoffend</w:t>
      </w:r>
      <w:r>
        <w:rPr>
          <w:rFonts w:ascii="Arial" w:cs="Arial" w:eastAsia="Arial" w:hAnsi="Arial"/>
          <w:sz w:val="25"/>
          <w:szCs w:val="25"/>
          <w:color w:val="auto"/>
          <w:vertAlign w:val="superscript"/>
        </w:rPr>
        <w:t>®</w:t>
      </w:r>
      <w:r>
        <w:rPr>
          <w:rFonts w:ascii="Arial" w:cs="Arial" w:eastAsia="Arial" w:hAnsi="Arial"/>
          <w:sz w:val="18"/>
          <w:szCs w:val="18"/>
          <w:color w:val="auto"/>
        </w:rPr>
        <w:t>, Keyframe</w:t>
      </w:r>
      <w:r>
        <w:rPr>
          <w:rFonts w:ascii="Arial" w:cs="Arial" w:eastAsia="Arial" w:hAnsi="Arial"/>
          <w:sz w:val="25"/>
          <w:szCs w:val="25"/>
          <w:color w:val="auto"/>
          <w:vertAlign w:val="superscript"/>
        </w:rPr>
        <w:t>®</w:t>
      </w:r>
      <w:r>
        <w:rPr>
          <w:rFonts w:ascii="Arial" w:cs="Arial" w:eastAsia="Arial" w:hAnsi="Arial"/>
          <w:sz w:val="18"/>
          <w:szCs w:val="18"/>
          <w:color w:val="auto"/>
        </w:rPr>
        <w:t>, Matside</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Replay</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Statvision</w:t>
      </w:r>
      <w:r>
        <w:rPr>
          <w:rFonts w:ascii="Arial" w:cs="Arial" w:eastAsia="Arial" w:hAnsi="Arial"/>
          <w:sz w:val="25"/>
          <w:szCs w:val="25"/>
          <w:color w:val="auto"/>
          <w:vertAlign w:val="superscript"/>
        </w:rPr>
        <w:t>®</w:t>
      </w:r>
      <w:r>
        <w:rPr>
          <w:rFonts w:ascii="Arial" w:cs="Arial" w:eastAsia="Arial" w:hAnsi="Arial"/>
          <w:sz w:val="18"/>
          <w:szCs w:val="18"/>
          <w:color w:val="auto"/>
        </w:rPr>
        <w:t>, Tuff Sport</w:t>
      </w:r>
      <w:r>
        <w:rPr>
          <w:rFonts w:ascii="Arial" w:cs="Arial" w:eastAsia="Arial" w:hAnsi="Arial"/>
          <w:sz w:val="25"/>
          <w:szCs w:val="25"/>
          <w:color w:val="auto"/>
          <w:vertAlign w:val="superscript"/>
        </w:rPr>
        <w:t>®</w:t>
      </w:r>
      <w:r>
        <w:rPr>
          <w:rFonts w:ascii="Arial" w:cs="Arial" w:eastAsia="Arial" w:hAnsi="Arial"/>
          <w:sz w:val="18"/>
          <w:szCs w:val="18"/>
          <w:color w:val="auto"/>
        </w:rPr>
        <w:t>, Uniview</w:t>
      </w:r>
      <w:r>
        <w:rPr>
          <w:rFonts w:ascii="Arial" w:cs="Arial" w:eastAsia="Arial" w:hAnsi="Arial"/>
          <w:sz w:val="25"/>
          <w:szCs w:val="25"/>
          <w:color w:val="auto"/>
          <w:vertAlign w:val="superscript"/>
        </w:rPr>
        <w:t>®</w:t>
      </w:r>
      <w:r>
        <w:rPr>
          <w:rFonts w:ascii="Arial" w:cs="Arial" w:eastAsia="Arial" w:hAnsi="Arial"/>
          <w:sz w:val="18"/>
          <w:szCs w:val="18"/>
          <w:color w:val="auto"/>
        </w:rPr>
        <w:t>, Vac</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V-Link</w:t>
      </w:r>
      <w:r>
        <w:rPr>
          <w:rFonts w:ascii="Arial" w:cs="Arial" w:eastAsia="Arial" w:hAnsi="Arial"/>
          <w:sz w:val="25"/>
          <w:szCs w:val="25"/>
          <w:color w:val="auto"/>
          <w:vertAlign w:val="superscript"/>
        </w:rPr>
        <w:t>®</w:t>
      </w:r>
      <w:r>
        <w:rPr>
          <w:rFonts w:ascii="Arial" w:cs="Arial" w:eastAsia="Arial" w:hAnsi="Arial"/>
          <w:sz w:val="18"/>
          <w:szCs w:val="18"/>
          <w:color w:val="auto"/>
        </w:rPr>
        <w:t>, and Web-Sync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30"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8, 2018.</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10"/>
          </w:tcPr>
          <w:p>
            <w:pPr>
              <w:ind w:left="40"/>
              <w:spacing w:after="0"/>
              <w:rPr>
                <w:sz w:val="20"/>
                <w:szCs w:val="20"/>
                <w:color w:val="auto"/>
              </w:rPr>
            </w:pPr>
            <w:r>
              <w:rPr>
                <w:rFonts w:ascii="Arial" w:cs="Arial" w:eastAsia="Arial" w:hAnsi="Arial"/>
                <w:sz w:val="18"/>
                <w:szCs w:val="18"/>
                <w:b w:val="1"/>
                <w:bCs w:val="1"/>
                <w:color w:val="auto"/>
              </w:rPr>
              <w:t>Signature</w:t>
            </w:r>
          </w:p>
        </w:tc>
        <w:tc>
          <w:tcPr>
            <w:tcW w:w="2000" w:type="dxa"/>
            <w:vAlign w:val="bottom"/>
          </w:tcPr>
          <w:p>
            <w:pPr>
              <w:ind w:left="1060"/>
              <w:spacing w:after="0"/>
              <w:rPr>
                <w:sz w:val="20"/>
                <w:szCs w:val="20"/>
                <w:color w:val="auto"/>
              </w:rPr>
            </w:pPr>
            <w:r>
              <w:rPr>
                <w:rFonts w:ascii="Arial" w:cs="Arial" w:eastAsia="Arial" w:hAnsi="Arial"/>
                <w:sz w:val="18"/>
                <w:szCs w:val="18"/>
                <w:b w:val="1"/>
                <w:bCs w:val="1"/>
                <w:color w:val="auto"/>
              </w:rPr>
              <w:t>Title</w:t>
            </w:r>
          </w:p>
        </w:tc>
        <w:tc>
          <w:tcPr>
            <w:tcW w:w="2120" w:type="dxa"/>
            <w:vAlign w:val="bottom"/>
          </w:tcPr>
          <w:p>
            <w:pPr>
              <w:ind w:left="1220"/>
              <w:spacing w:after="0"/>
              <w:rPr>
                <w:sz w:val="20"/>
                <w:szCs w:val="20"/>
                <w:color w:val="auto"/>
              </w:rPr>
            </w:pPr>
            <w:r>
              <w:rPr>
                <w:rFonts w:ascii="Arial" w:cs="Arial" w:eastAsia="Arial" w:hAnsi="Arial"/>
                <w:sz w:val="18"/>
                <w:szCs w:val="18"/>
                <w:b w:val="1"/>
                <w:bCs w:val="1"/>
                <w:color w:val="auto"/>
              </w:rPr>
              <w:t>Date</w:t>
            </w:r>
          </w:p>
        </w:tc>
      </w:tr>
      <w:tr>
        <w:trPr>
          <w:trHeight w:val="500"/>
        </w:trPr>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By /s/ Byron J. Anderson</w:t>
            </w:r>
          </w:p>
        </w:tc>
        <w:tc>
          <w:tcPr>
            <w:tcW w:w="140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Byron J. Anderson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Robert G. Dutcher</w:t>
            </w:r>
          </w:p>
        </w:tc>
        <w:tc>
          <w:tcPr>
            <w:tcW w:w="1420" w:type="dxa"/>
            <w:vAlign w:val="bottom"/>
            <w:gridSpan w:val="4"/>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Robert G. Dutcher</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Nancy D. Frame</w:t>
            </w:r>
          </w:p>
        </w:tc>
        <w:tc>
          <w:tcPr>
            <w:tcW w:w="1560" w:type="dxa"/>
            <w:vAlign w:val="bottom"/>
            <w:gridSpan w:val="7"/>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Nancy D. Frame</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By /s/ Reece A. Kurtenbach</w:t>
            </w:r>
          </w:p>
        </w:tc>
        <w:tc>
          <w:tcPr>
            <w:tcW w:w="1220" w:type="dxa"/>
            <w:vAlign w:val="bottom"/>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Reece A. Kurtenbach</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James B. Morgan</w:t>
            </w:r>
          </w:p>
        </w:tc>
        <w:tc>
          <w:tcPr>
            <w:tcW w:w="1500" w:type="dxa"/>
            <w:vAlign w:val="bottom"/>
            <w:gridSpan w:val="5"/>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James B. Morgan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By /s/ John L. Mulligan</w:t>
            </w:r>
          </w:p>
        </w:tc>
        <w:tc>
          <w:tcPr>
            <w:tcW w:w="1520" w:type="dxa"/>
            <w:vAlign w:val="bottom"/>
            <w:gridSpan w:val="6"/>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L. Mulligan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John P. Friel</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P. Friel</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54"/>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Kevin P. McDermott</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8, 2018</w:t>
            </w:r>
          </w:p>
        </w:tc>
      </w:tr>
      <w:tr>
        <w:trPr>
          <w:trHeight w:val="20"/>
        </w:trPr>
        <w:tc>
          <w:tcPr>
            <w:tcW w:w="40" w:type="dxa"/>
            <w:vAlign w:val="bottom"/>
          </w:tcPr>
          <w:p>
            <w:pPr>
              <w:spacing w:after="0" w:line="20" w:lineRule="exact"/>
              <w:rPr>
                <w:sz w:val="1"/>
                <w:szCs w:val="1"/>
                <w:color w:val="auto"/>
              </w:rPr>
            </w:pPr>
          </w:p>
        </w:tc>
        <w:tc>
          <w:tcPr>
            <w:tcW w:w="1960" w:type="dxa"/>
            <w:vAlign w:val="bottom"/>
            <w:gridSpan w:val="7"/>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Kevin P. McDermott</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18"/>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ind w:left="840"/>
              <w:spacing w:after="0"/>
              <w:rPr>
                <w:sz w:val="20"/>
                <w:szCs w:val="20"/>
                <w:color w:val="auto"/>
              </w:rPr>
            </w:pPr>
            <w:r>
              <w:rPr>
                <w:rFonts w:ascii="Arial" w:cs="Arial" w:eastAsia="Arial" w:hAnsi="Arial"/>
                <w:sz w:val="18"/>
                <w:szCs w:val="18"/>
                <w:b w:val="1"/>
                <w:bCs w:val="1"/>
                <w:color w:val="auto"/>
              </w:rPr>
              <w:t>Additions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5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8"/>
              </w:rPr>
              <w:t>Balance at</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Charged to</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Charged to</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5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Beginning</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Costs and</w:t>
            </w: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of Year</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Expenses</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Accounts</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Deductions</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April 28, 2018:</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Deducted from asset accounts: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r>
      <w:tr>
        <w:trPr>
          <w:trHeight w:val="243"/>
        </w:trPr>
        <w:tc>
          <w:tcPr>
            <w:tcW w:w="2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For the year ended April 29, 2017:</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Deducted from asset accounts: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(2,683)</w:t>
            </w: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2,610</w:t>
            </w: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April 30, 2016:</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Deducted from asset accounts: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  Write-off of uncollected accounts, net of collections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7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gridSpan w:val="4"/>
            <w:shd w:val="clear" w:color="auto" w:fill="CCEEFF"/>
          </w:tcPr>
          <w:p>
            <w:pPr>
              <w:ind w:left="40"/>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500" w:type="dxa"/>
            <w:vAlign w:val="bottom"/>
            <w:shd w:val="clear" w:color="auto" w:fill="CCEEFF"/>
          </w:tcPr>
          <w:p>
            <w:pPr>
              <w:spacing w:after="0"/>
              <w:rPr>
                <w:sz w:val="17"/>
                <w:szCs w:val="17"/>
                <w:color w:val="auto"/>
              </w:rPr>
            </w:pPr>
          </w:p>
        </w:tc>
        <w:tc>
          <w:tcPr>
            <w:tcW w:w="10580" w:type="dxa"/>
            <w:vAlign w:val="bottom"/>
            <w:gridSpan w:val="37"/>
            <w:shd w:val="clear" w:color="auto" w:fill="CCEEFF"/>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Amended and Restated Articles of Incorporation of the Company (Incorporated by reference to Exhibit 3.1 filed with our Quarterly Report on</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Form 10-Q on August 30, 2013).</w:t>
              </w:r>
            </w:hyperlink>
          </w:p>
        </w:tc>
        <w:tc>
          <w:tcPr>
            <w:tcW w:w="360" w:type="dxa"/>
            <w:vAlign w:val="bottom"/>
            <w:tcBorders>
              <w:top w:val="single" w:sz="8" w:color="CCEEFF"/>
            </w:tcBorders>
            <w:gridSpan w:val="11"/>
            <w:shd w:val="clear" w:color="auto" w:fill="CCEEFF"/>
          </w:tcPr>
          <w:p>
            <w:pPr>
              <w:spacing w:after="0"/>
              <w:rPr>
                <w:sz w:val="17"/>
                <w:szCs w:val="17"/>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9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03"/>
        </w:trPr>
        <w:tc>
          <w:tcPr>
            <w:tcW w:w="340" w:type="dxa"/>
            <w:vAlign w:val="bottom"/>
            <w:gridSpan w:val="4"/>
          </w:tcPr>
          <w:p>
            <w:pPr>
              <w:ind w:left="40"/>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500" w:type="dxa"/>
            <w:vAlign w:val="bottom"/>
          </w:tcPr>
          <w:p>
            <w:pPr>
              <w:spacing w:after="0"/>
              <w:rPr>
                <w:sz w:val="17"/>
                <w:szCs w:val="17"/>
                <w:color w:val="auto"/>
              </w:rPr>
            </w:pPr>
          </w:p>
        </w:tc>
        <w:tc>
          <w:tcPr>
            <w:tcW w:w="10580" w:type="dxa"/>
            <w:vAlign w:val="bottom"/>
            <w:gridSpan w:val="37"/>
          </w:tcPr>
          <w:p>
            <w:pPr>
              <w:spacing w:after="0" w:line="202"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Bylaws of the Company (Incorporated by reference to Exhibit 3.4 filed with our Annual Report on Form 10-K on June 12,</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2013).</w:t>
              </w:r>
            </w:hyperlink>
          </w:p>
        </w:tc>
        <w:tc>
          <w:tcPr>
            <w:tcW w:w="8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9"/>
        </w:trPr>
        <w:tc>
          <w:tcPr>
            <w:tcW w:w="3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9"/>
                <w:szCs w:val="19"/>
                <w:color w:val="auto"/>
              </w:rPr>
            </w:pPr>
          </w:p>
        </w:tc>
        <w:tc>
          <w:tcPr>
            <w:tcW w:w="10580" w:type="dxa"/>
            <w:vAlign w:val="bottom"/>
            <w:gridSpan w:val="37"/>
            <w:shd w:val="clear" w:color="auto" w:fill="CCEEFF"/>
          </w:tcPr>
          <w:p>
            <w:pPr>
              <w:spacing w:after="0"/>
              <w:rPr>
                <w:sz w:val="20"/>
                <w:szCs w:val="20"/>
                <w:color w:val="auto"/>
              </w:rPr>
            </w:pPr>
            <w:r>
              <w:rPr>
                <w:rFonts w:ascii="Arial" w:cs="Arial" w:eastAsia="Arial" w:hAnsi="Arial"/>
                <w:sz w:val="18"/>
                <w:szCs w:val="18"/>
                <w:color w:val="auto"/>
                <w:w w:val="93"/>
              </w:rPr>
              <w:t>Form of Stock Certificate Evidencing Common Stock, without par value, of the Company (Incorporated by reference to Exhibit 4.1 filed with our</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gridSpan w:val="37"/>
            <w:shd w:val="clear" w:color="auto" w:fill="CCEEFF"/>
          </w:tcPr>
          <w:p>
            <w:pPr>
              <w:spacing w:after="0"/>
              <w:rPr>
                <w:sz w:val="20"/>
                <w:szCs w:val="20"/>
                <w:color w:val="auto"/>
              </w:rPr>
            </w:pPr>
            <w:r>
              <w:rPr>
                <w:rFonts w:ascii="Arial" w:cs="Arial" w:eastAsia="Arial" w:hAnsi="Arial"/>
                <w:sz w:val="18"/>
                <w:szCs w:val="18"/>
                <w:color w:val="auto"/>
              </w:rPr>
              <w:t>Amendment No. 1 to the Registration Statement on Form S-1 on January 12, 1994 as Commission File No. 33-72466).</w:t>
            </w:r>
          </w:p>
        </w:tc>
      </w:tr>
      <w:tr>
        <w:trPr>
          <w:trHeight w:val="203"/>
        </w:trPr>
        <w:tc>
          <w:tcPr>
            <w:tcW w:w="340" w:type="dxa"/>
            <w:vAlign w:val="bottom"/>
            <w:gridSpan w:val="4"/>
          </w:tcPr>
          <w:p>
            <w:pPr>
              <w:ind w:left="40"/>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500" w:type="dxa"/>
            <w:vAlign w:val="bottom"/>
          </w:tcPr>
          <w:p>
            <w:pPr>
              <w:spacing w:after="0"/>
              <w:rPr>
                <w:sz w:val="17"/>
                <w:szCs w:val="17"/>
                <w:color w:val="auto"/>
              </w:rPr>
            </w:pPr>
          </w:p>
        </w:tc>
        <w:tc>
          <w:tcPr>
            <w:tcW w:w="10580" w:type="dxa"/>
            <w:vAlign w:val="bottom"/>
            <w:gridSpan w:val="37"/>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Rights Agreement (Incorporated by reference to Exhibit 4.1 filed with our Form 8-A on August 29, 2008).</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500" w:type="dxa"/>
            <w:vAlign w:val="bottom"/>
            <w:shd w:val="clear" w:color="auto" w:fill="CCEEFF"/>
          </w:tcPr>
          <w:p>
            <w:pPr>
              <w:spacing w:after="0"/>
              <w:rPr>
                <w:sz w:val="17"/>
                <w:szCs w:val="17"/>
                <w:color w:val="auto"/>
              </w:rPr>
            </w:pPr>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Daktronics, Inc. 2007 Incentive Stock Plan (Incorporated by reference to Exhibit 10.1 filed with our Quarterly Report on Form 10-Q on August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20, 2007).*</w:t>
              </w:r>
            </w:hyperlink>
          </w:p>
        </w:tc>
        <w:tc>
          <w:tcPr>
            <w:tcW w:w="84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88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0000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19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340" w:type="dxa"/>
            <w:vAlign w:val="bottom"/>
            <w:gridSpan w:val="4"/>
          </w:tcPr>
          <w:p>
            <w:pPr>
              <w:ind w:left="40"/>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500" w:type="dxa"/>
            <w:vAlign w:val="bottom"/>
          </w:tcPr>
          <w:p>
            <w:pPr>
              <w:spacing w:after="0"/>
              <w:rPr>
                <w:sz w:val="17"/>
                <w:szCs w:val="17"/>
                <w:color w:val="auto"/>
              </w:rPr>
            </w:pPr>
          </w:p>
        </w:tc>
        <w:tc>
          <w:tcPr>
            <w:tcW w:w="10580" w:type="dxa"/>
            <w:vAlign w:val="bottom"/>
            <w:gridSpan w:val="37"/>
          </w:tcPr>
          <w:p>
            <w:pPr>
              <w:spacing w:after="0" w:line="202"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Daktronics, Inc. 2015 Incentive Stock Plan ("2015 Plan") (Incorporated by reference to Exhibit A to the Company's Definitive Proxy Statement</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on Schedule 14A filed on July 14, 2015).*</w:t>
              </w:r>
            </w:hyperlink>
          </w:p>
        </w:tc>
        <w:tc>
          <w:tcPr>
            <w:tcW w:w="240" w:type="dxa"/>
            <w:vAlign w:val="bottom"/>
            <w:gridSpan w:val="7"/>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500" w:type="dxa"/>
            <w:vAlign w:val="bottom"/>
            <w:shd w:val="clear" w:color="auto" w:fill="CCEEFF"/>
          </w:tcPr>
          <w:p>
            <w:pPr>
              <w:spacing w:after="0"/>
              <w:rPr>
                <w:sz w:val="17"/>
                <w:szCs w:val="17"/>
                <w:color w:val="auto"/>
              </w:rPr>
            </w:pPr>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Form of Restricted Stock Award Agreement under the 2015 Plan (Incorporated by reference to Exhibit 10.2 filed with our Current Report on</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Form 8-K on September 3, 2015).*</w:t>
              </w:r>
            </w:hyperlink>
          </w:p>
        </w:tc>
        <w:tc>
          <w:tcPr>
            <w:tcW w:w="762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13"/>
            <w:shd w:val="clear" w:color="auto" w:fill="CCEEFF"/>
          </w:tcPr>
          <w:p>
            <w:pPr>
              <w:spacing w:after="0"/>
              <w:rPr>
                <w:sz w:val="21"/>
                <w:szCs w:val="21"/>
                <w:color w:val="auto"/>
              </w:rPr>
            </w:pPr>
          </w:p>
        </w:tc>
      </w:tr>
      <w:tr>
        <w:trPr>
          <w:trHeight w:val="203"/>
        </w:trPr>
        <w:tc>
          <w:tcPr>
            <w:tcW w:w="340" w:type="dxa"/>
            <w:vAlign w:val="bottom"/>
            <w:gridSpan w:val="4"/>
          </w:tcPr>
          <w:p>
            <w:pPr>
              <w:ind w:left="40"/>
              <w:spacing w:after="0" w:line="202" w:lineRule="exact"/>
              <w:rPr>
                <w:rFonts w:ascii="Arial" w:cs="Arial" w:eastAsia="Arial" w:hAnsi="Arial"/>
                <w:sz w:val="18"/>
                <w:szCs w:val="18"/>
                <w:color w:val="0000FF"/>
              </w:rPr>
            </w:pPr>
            <w:hyperlink r:id="rId21">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500" w:type="dxa"/>
            <w:vAlign w:val="bottom"/>
          </w:tcPr>
          <w:p>
            <w:pPr>
              <w:spacing w:after="0"/>
              <w:rPr>
                <w:sz w:val="17"/>
                <w:szCs w:val="17"/>
                <w:color w:val="auto"/>
              </w:rPr>
            </w:pPr>
          </w:p>
        </w:tc>
        <w:tc>
          <w:tcPr>
            <w:tcW w:w="10580" w:type="dxa"/>
            <w:vAlign w:val="bottom"/>
            <w:gridSpan w:val="37"/>
          </w:tcPr>
          <w:p>
            <w:pPr>
              <w:spacing w:after="0" w:line="202"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Form of Non-Qualified Stock Option Agreement Terms and Conditions under the 2015 Plan (Incorporated by reference to Exhibit 10.3 filed with</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8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our Current Report on Form 8-K on September 3, 2015).*</w:t>
              </w:r>
            </w:hyperlink>
          </w:p>
        </w:tc>
        <w:tc>
          <w:tcPr>
            <w:tcW w:w="100" w:type="dxa"/>
            <w:vAlign w:val="bottom"/>
            <w:gridSpan w:val="3"/>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22">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500" w:type="dxa"/>
            <w:vAlign w:val="bottom"/>
            <w:shd w:val="clear" w:color="auto" w:fill="CCEEFF"/>
          </w:tcPr>
          <w:p>
            <w:pPr>
              <w:spacing w:after="0"/>
              <w:rPr>
                <w:sz w:val="17"/>
                <w:szCs w:val="17"/>
                <w:color w:val="auto"/>
              </w:rPr>
            </w:pPr>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Form of Incentive Stock Option Terms and Conditions under the 2015 Plan (Incorporated by reference to Exhibit 10.4 filed with our Current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Report on Form 8-K on September 3, 2015).*</w:t>
              </w:r>
            </w:hyperlink>
          </w:p>
        </w:tc>
        <w:tc>
          <w:tcPr>
            <w:tcW w:w="6840" w:type="dxa"/>
            <w:vAlign w:val="bottom"/>
            <w:tcBorders>
              <w:top w:val="single" w:sz="8" w:color="0000FF"/>
              <w:bottom w:val="single" w:sz="8" w:color="CCEEFF"/>
            </w:tcBorders>
            <w:gridSpan w:val="12"/>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14"/>
            <w:shd w:val="clear" w:color="auto" w:fill="CCEEFF"/>
          </w:tcPr>
          <w:p>
            <w:pPr>
              <w:spacing w:after="0"/>
              <w:rPr>
                <w:sz w:val="21"/>
                <w:szCs w:val="21"/>
                <w:color w:val="auto"/>
              </w:rPr>
            </w:pPr>
          </w:p>
        </w:tc>
      </w:tr>
      <w:tr>
        <w:trPr>
          <w:trHeight w:val="203"/>
        </w:trPr>
        <w:tc>
          <w:tcPr>
            <w:tcW w:w="340" w:type="dxa"/>
            <w:vAlign w:val="bottom"/>
            <w:gridSpan w:val="4"/>
          </w:tcPr>
          <w:p>
            <w:pPr>
              <w:ind w:left="40"/>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500" w:type="dxa"/>
            <w:vAlign w:val="bottom"/>
          </w:tcPr>
          <w:p>
            <w:pPr>
              <w:spacing w:after="0"/>
              <w:rPr>
                <w:sz w:val="17"/>
                <w:szCs w:val="17"/>
                <w:color w:val="auto"/>
              </w:rPr>
            </w:pPr>
          </w:p>
        </w:tc>
        <w:tc>
          <w:tcPr>
            <w:tcW w:w="10580" w:type="dxa"/>
            <w:vAlign w:val="bottom"/>
            <w:gridSpan w:val="37"/>
          </w:tcPr>
          <w:p>
            <w:pPr>
              <w:spacing w:after="0" w:line="202"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Form of Restricted Stock Unit Terms and Conditions under the 2015 Plan (Incorporated by reference to Exhibit 10.5 filed with our Current Report</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4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on Form 8-K on September 3, 2015).*</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2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Amended and Restated Deferred Compensation Agreement Between the Company and Aelred Kurtenbach (Incorporated by reference to Exhibit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0000FF"/>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filed with our Annual Report on Form 10-K on June 28, 2004).*</w:t>
              </w:r>
            </w:hyperlink>
          </w:p>
        </w:tc>
        <w:tc>
          <w:tcPr>
            <w:tcW w:w="544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140" w:type="dxa"/>
            <w:vAlign w:val="bottom"/>
            <w:tcBorders>
              <w:top w:val="single" w:sz="8" w:color="CCEEFF"/>
              <w:bottom w:val="single" w:sz="8" w:color="CCEEFF"/>
            </w:tcBorders>
            <w:gridSpan w:val="5"/>
            <w:shd w:val="clear" w:color="auto" w:fill="CCEEFF"/>
          </w:tcPr>
          <w:p>
            <w:pPr>
              <w:spacing w:after="0"/>
              <w:rPr>
                <w:sz w:val="21"/>
                <w:szCs w:val="21"/>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r:id="rId2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580" w:type="dxa"/>
            <w:vAlign w:val="bottom"/>
            <w:gridSpan w:val="37"/>
          </w:tcPr>
          <w:p>
            <w:pPr>
              <w:spacing w:after="0" w:line="202"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Credit Agreement dated November 15, 2016 by and between the Company and U.S. Bank National Association (Incorporated by reference to</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10.1 filed with our Current Report on Form 8-K filed on November 16, 2016).</w:t>
              </w:r>
            </w:hyperlink>
          </w:p>
        </w:tc>
        <w:tc>
          <w:tcPr>
            <w:tcW w:w="380" w:type="dxa"/>
            <w:vAlign w:val="bottom"/>
            <w:gridSpan w:val="1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2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Revolving Note dated November 15, 2016 issued by the Company to U.S. Bank National Association (Incorporated by reference to Exhibit 10.2</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420" w:type="dxa"/>
            <w:vAlign w:val="bottom"/>
            <w:tcBorders>
              <w:top w:val="single" w:sz="8" w:color="0000FF"/>
            </w:tcBorders>
            <w:gridSpan w:val="31"/>
            <w:shd w:val="clear" w:color="auto" w:fill="CCEEFF"/>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filed with our Current Report on Form 8-K filed on November 16, 2016).</w:t>
              </w:r>
            </w:hyperlink>
          </w:p>
        </w:tc>
        <w:tc>
          <w:tcPr>
            <w:tcW w:w="160" w:type="dxa"/>
            <w:vAlign w:val="bottom"/>
            <w:tcBorders>
              <w:top w:val="single" w:sz="8" w:color="CCEEFF"/>
            </w:tcBorders>
            <w:gridSpan w:val="6"/>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580" w:type="dxa"/>
            <w:vAlign w:val="bottom"/>
            <w:gridSpan w:val="37"/>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Amended and Restated Loan Agreement dated November 15, 2016 by and between the Company and Bank of America, N.A. (Incorporated by</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reference to Exhibit 10.3 filed with our Current Report on Form 8-K filed on November 16, 2016).</w:t>
              </w:r>
            </w:hyperlink>
          </w:p>
        </w:tc>
        <w:tc>
          <w:tcPr>
            <w:tcW w:w="260" w:type="dxa"/>
            <w:vAlign w:val="bottom"/>
            <w:gridSpan w:val="8"/>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2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Continuing and Unconditional Guaranty dated November 15, 2016 by and between the Company and Bank of America, N.A.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7120" w:type="dxa"/>
            <w:vAlign w:val="bottom"/>
            <w:tcBorders>
              <w:top w:val="single" w:sz="8" w:color="0000FF"/>
              <w:bottom w:val="single" w:sz="8" w:color="0000FF"/>
            </w:tcBorders>
            <w:gridSpan w:val="19"/>
            <w:shd w:val="clear" w:color="auto" w:fill="CCEEFF"/>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reference to Exhibit 10.4 filed with our Current Report on Form 8-K filed on November 16, 2016).</w:t>
              </w:r>
            </w:hyperlink>
          </w:p>
        </w:tc>
        <w:tc>
          <w:tcPr>
            <w:tcW w:w="316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9"/>
            <w:shd w:val="clear" w:color="auto" w:fill="CCEEFF"/>
          </w:tcPr>
          <w:p>
            <w:pPr>
              <w:spacing w:after="0"/>
              <w:rPr>
                <w:sz w:val="21"/>
                <w:szCs w:val="21"/>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580" w:type="dxa"/>
            <w:vAlign w:val="bottom"/>
            <w:gridSpan w:val="37"/>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Loan Agreement dated May 5, 2017 by and between the Company and Bank of America, N.A. (Incorporated by reference</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to Exhibit 10.6 filed with our Annual Report on Form 10-K filed on June 9, 2017).</w:t>
              </w:r>
            </w:hyperlink>
          </w:p>
        </w:tc>
        <w:tc>
          <w:tcPr>
            <w:tcW w:w="8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16.</w:t>
              </w:r>
              <w:r>
                <w:rPr>
                  <w:rFonts w:ascii="Arial" w:cs="Arial" w:eastAsia="Arial" w:hAnsi="Arial"/>
                  <w:sz w:val="18"/>
                  <w:szCs w:val="18"/>
                  <w:u w:val="single" w:color="auto"/>
                  <w:color w:val="0000FF"/>
                </w:rPr>
                <w:t>1</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Letter from Ernst &amp; Young LLP, dated September 14, 2017, to the Securities and Exchange Commission (Incorporated by reference to Exhibit</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0000FF"/>
            </w:tcBorders>
            <w:gridSpan w:val="27"/>
            <w:shd w:val="clear" w:color="auto" w:fill="CCEEFF"/>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16.</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filed with our Current Report on Form 8-K filed on September 15, 2017).</w:t>
              </w:r>
            </w:hyperlink>
          </w:p>
        </w:tc>
        <w:tc>
          <w:tcPr>
            <w:tcW w:w="320" w:type="dxa"/>
            <w:vAlign w:val="bottom"/>
            <w:tcBorders>
              <w:top w:val="single" w:sz="8" w:color="CCEEFF"/>
            </w:tcBorders>
            <w:gridSpan w:val="10"/>
            <w:shd w:val="clear" w:color="auto" w:fill="CCEEFF"/>
          </w:tcPr>
          <w:p>
            <w:pPr>
              <w:spacing w:after="0"/>
              <w:rPr>
                <w:sz w:val="17"/>
                <w:szCs w:val="17"/>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24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9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0580" w:type="dxa"/>
            <w:vAlign w:val="bottom"/>
            <w:gridSpan w:val="37"/>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Subsidiaries of the Company. (1)</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Consent of Deloitte &amp; Touche LLP.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23.</w:t>
              </w:r>
              <w:r>
                <w:rPr>
                  <w:rFonts w:ascii="Arial" w:cs="Arial" w:eastAsia="Arial" w:hAnsi="Arial"/>
                  <w:sz w:val="18"/>
                  <w:szCs w:val="18"/>
                  <w:u w:val="single" w:color="auto"/>
                  <w:color w:val="0000FF"/>
                </w:rPr>
                <w:t>2</w:t>
              </w:r>
            </w:hyperlink>
          </w:p>
        </w:tc>
        <w:tc>
          <w:tcPr>
            <w:tcW w:w="10580" w:type="dxa"/>
            <w:vAlign w:val="bottom"/>
            <w:gridSpan w:val="37"/>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Consent of Ernst &amp; Young LLP. (1)</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20" w:type="dxa"/>
            <w:vAlign w:val="bottom"/>
            <w:gridSpan w:val="2"/>
            <w:shd w:val="clear" w:color="auto" w:fill="CCEEFF"/>
          </w:tcPr>
          <w:p>
            <w:pPr>
              <w:ind w:left="40"/>
              <w:spacing w:after="0" w:line="202" w:lineRule="exact"/>
              <w:rPr>
                <w:rFonts w:ascii="Arial" w:cs="Arial" w:eastAsia="Arial" w:hAnsi="Arial"/>
                <w:sz w:val="18"/>
                <w:szCs w:val="18"/>
                <w:color w:val="0000FF"/>
                <w:w w:val="79"/>
              </w:rPr>
            </w:pPr>
            <w:hyperlink w:anchor="page80">
              <w:r>
                <w:rPr>
                  <w:rFonts w:ascii="Arial" w:cs="Arial" w:eastAsia="Arial" w:hAnsi="Arial"/>
                  <w:sz w:val="18"/>
                  <w:szCs w:val="18"/>
                  <w:color w:val="0000FF"/>
                  <w:w w:val="79"/>
                </w:rPr>
                <w:t>24</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580" w:type="dxa"/>
            <w:vAlign w:val="bottom"/>
            <w:gridSpan w:val="37"/>
            <w:shd w:val="clear" w:color="auto" w:fill="CCEEFF"/>
          </w:tcPr>
          <w:p>
            <w:pPr>
              <w:spacing w:after="0" w:line="202" w:lineRule="exact"/>
              <w:rPr>
                <w:rFonts w:ascii="Arial" w:cs="Arial" w:eastAsia="Arial" w:hAnsi="Arial"/>
                <w:sz w:val="18"/>
                <w:szCs w:val="18"/>
                <w:color w:val="0000FF"/>
              </w:rPr>
            </w:pPr>
            <w:hyperlink w:anchor="page80">
              <w:r>
                <w:rPr>
                  <w:rFonts w:ascii="Arial" w:cs="Arial" w:eastAsia="Arial" w:hAnsi="Arial"/>
                  <w:sz w:val="18"/>
                  <w:szCs w:val="18"/>
                  <w:color w:val="0000FF"/>
                </w:rPr>
                <w:t>Power of Attorney.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580" w:type="dxa"/>
            <w:vAlign w:val="bottom"/>
            <w:gridSpan w:val="37"/>
          </w:tcPr>
          <w:p>
            <w:pPr>
              <w:spacing w:after="0" w:line="202" w:lineRule="exact"/>
              <w:rPr>
                <w:rFonts w:ascii="Arial" w:cs="Arial" w:eastAsia="Arial" w:hAnsi="Arial"/>
                <w:sz w:val="18"/>
                <w:szCs w:val="18"/>
                <w:color w:val="0000FF"/>
                <w:w w:val="92"/>
              </w:rPr>
            </w:pPr>
            <w:hyperlink w:anchor="page82">
              <w:r>
                <w:rPr>
                  <w:rFonts w:ascii="Arial" w:cs="Arial" w:eastAsia="Arial" w:hAnsi="Arial"/>
                  <w:sz w:val="18"/>
                  <w:szCs w:val="18"/>
                  <w:color w:val="0000FF"/>
                  <w:w w:val="92"/>
                </w:rPr>
                <w:t>Certification of the Chief Executive Officer required by Rule 13a-14(a) or Rule 15d-14(a) under the Securities Exchange Act of 1934, as adopted</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46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pursuant to Section 302 of the Sarbanes-Oxley Act of 2002. (1)</w:t>
              </w:r>
            </w:hyperlink>
          </w:p>
        </w:tc>
        <w:tc>
          <w:tcPr>
            <w:tcW w:w="120" w:type="dxa"/>
            <w:vAlign w:val="bottom"/>
            <w:gridSpan w:val="4"/>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the Chief Financial Officer required by Rule 13a-14(a) or Rule 15d-14(a) under the Securities Exchange Act of 1934, as adopted</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420" w:type="dxa"/>
            <w:vAlign w:val="bottom"/>
            <w:tcBorders>
              <w:top w:val="single" w:sz="8" w:color="0000FF"/>
            </w:tcBorders>
            <w:gridSpan w:val="31"/>
            <w:shd w:val="clear" w:color="auto" w:fill="CCEEFF"/>
          </w:tcPr>
          <w:p>
            <w:pPr>
              <w:spacing w:after="0" w:line="196" w:lineRule="exact"/>
              <w:rPr>
                <w:rFonts w:ascii="Arial" w:cs="Arial" w:eastAsia="Arial" w:hAnsi="Arial"/>
                <w:sz w:val="18"/>
                <w:szCs w:val="18"/>
                <w:color w:val="0000FF"/>
              </w:rPr>
            </w:pPr>
            <w:hyperlink w:anchor="page83">
              <w:r>
                <w:rPr>
                  <w:rFonts w:ascii="Arial" w:cs="Arial" w:eastAsia="Arial" w:hAnsi="Arial"/>
                  <w:sz w:val="18"/>
                  <w:szCs w:val="18"/>
                  <w:color w:val="0000FF"/>
                </w:rPr>
                <w:t>pursuant to Section 302 of the Sarbanes-Oxley Act of 2002. (1)</w:t>
              </w:r>
            </w:hyperlink>
          </w:p>
        </w:tc>
        <w:tc>
          <w:tcPr>
            <w:tcW w:w="160" w:type="dxa"/>
            <w:vAlign w:val="bottom"/>
            <w:tcBorders>
              <w:top w:val="single" w:sz="8" w:color="CCEEFF"/>
            </w:tcBorders>
            <w:gridSpan w:val="6"/>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580" w:type="dxa"/>
            <w:vAlign w:val="bottom"/>
            <w:gridSpan w:val="37"/>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Certification of the Chief Executive Officer pursuant to Section 906 of the Sarbanes-Oxley Act of 2002 (18 U.S.C. Section 1350). (1)</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580" w:type="dxa"/>
            <w:vAlign w:val="bottom"/>
            <w:gridSpan w:val="37"/>
            <w:shd w:val="clear" w:color="auto" w:fill="CCEEFF"/>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Certification of the Chief Financial Officer pursuant to Section 906 of the Sarbanes-Oxley Act of 2002 (18 U.S.C. Section 1350).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840" w:right="60" w:hanging="805"/>
        <w:spacing w:after="0" w:line="279"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April 28, 2018,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300" w:hanging="45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7" w:lineRule="exact"/>
        <w:rPr>
          <w:sz w:val="20"/>
          <w:szCs w:val="20"/>
          <w:color w:val="auto"/>
        </w:rPr>
      </w:pPr>
    </w:p>
    <w:p>
      <w:pPr>
        <w:ind w:left="1300" w:hanging="45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Canada,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GmbH</w:t>
            </w:r>
          </w:p>
        </w:tc>
        <w:tc>
          <w:tcPr>
            <w:tcW w:w="56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UK,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Britain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Shanghai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France SARL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Australia Pty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Installation,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Dakota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Japan, Inc.</w:t>
            </w:r>
          </w:p>
        </w:tc>
        <w:tc>
          <w:tcPr>
            <w:tcW w:w="56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HK Limited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(International) Limited</w:t>
            </w:r>
          </w:p>
        </w:tc>
        <w:tc>
          <w:tcPr>
            <w:tcW w:w="568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Singapore Pte.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Spain S.L.</w:t>
            </w:r>
          </w:p>
        </w:tc>
        <w:tc>
          <w:tcPr>
            <w:tcW w:w="56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Brazil, Ltda.</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Belgium N.V.</w:t>
            </w:r>
          </w:p>
        </w:tc>
        <w:tc>
          <w:tcPr>
            <w:tcW w:w="568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Ireland Co.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Ireland</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Ireland Holdings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ADFLOW Networks, Inc.</w:t>
            </w: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7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333-100842, 333-109962, 333-146768, 333-169568, 333-206750, and 333-221862 on Form S-8 and 333-54006 and 333-221901 on Form S-3 of our report dated June 8, 2018, relating to the financial statements and financial statement schedule of Daktronics, Inc. and subsidiaries, and the effectiveness of Daktronics, Inc. and subsidiaries internal control over financial reporting, appearing in this Annual Report on Form 10-K of Daktronics, Inc. for the year ended April 28,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8, 2018</w:t>
      </w:r>
    </w:p>
    <w:p>
      <w:pPr>
        <w:sectPr>
          <w:pgSz w:w="11900" w:h="16838" w:orient="portrait"/>
          <w:cols w:equalWidth="0" w:num="1">
            <w:col w:w="11420"/>
          </w:cols>
          <w:pgMar w:left="240" w:top="58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333-206750, 333-169568, 333-146768, 333-109962, 333-100842, 333-221862) and the Registration Statement on Form S-3 (No. 333-54006, 333-221901) of Daktronics, Inc., respectively, of our report dated June 9, 2017, with respect to the consolidated financial statements and schedule of Daktronics, Inc., included in this Annual Report (Form 10-K) of Daktronics, Inc. for the year ended April 28,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2018</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28, 2018,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ectPr>
          <w:pgSz w:w="11900" w:h="16838" w:orient="portrait"/>
          <w:cols w:equalWidth="0" w:num="1">
            <w:col w:w="11420"/>
          </w:cols>
          <w:pgMar w:left="240" w:top="58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350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rPr>
              <w:t>Title</w:t>
            </w:r>
          </w:p>
        </w:tc>
        <w:tc>
          <w:tcPr>
            <w:tcW w:w="180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Byron J. Anderson</w:t>
            </w:r>
          </w:p>
        </w:tc>
        <w:tc>
          <w:tcPr>
            <w:tcW w:w="164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Byron J. Anderson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Robert G. Dutcher</w:t>
            </w:r>
          </w:p>
        </w:tc>
        <w:tc>
          <w:tcPr>
            <w:tcW w:w="166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Robert G. Dutcher</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By /s/ Nancy D. Frame</w:t>
            </w:r>
          </w:p>
        </w:tc>
        <w:tc>
          <w:tcPr>
            <w:tcW w:w="1800" w:type="dxa"/>
            <w:vAlign w:val="bottom"/>
            <w:gridSpan w:val="7"/>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Nancy D. Frame</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By /s/ Reece A. Kurtenbach</w:t>
            </w:r>
          </w:p>
        </w:tc>
        <w:tc>
          <w:tcPr>
            <w:tcW w:w="144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Reece A. Kurtenbach</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James B. Morgan</w:t>
            </w:r>
          </w:p>
        </w:tc>
        <w:tc>
          <w:tcPr>
            <w:tcW w:w="172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James B. Morgan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By /s/ John L. Mulligan</w:t>
            </w:r>
          </w:p>
        </w:tc>
        <w:tc>
          <w:tcPr>
            <w:tcW w:w="1740" w:type="dxa"/>
            <w:vAlign w:val="bottom"/>
            <w:gridSpan w:val="6"/>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L. Mulligan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3500" w:type="dxa"/>
            <w:vAlign w:val="bottom"/>
            <w:gridSpan w:val="9"/>
          </w:tcPr>
          <w:p>
            <w:pPr>
              <w:spacing w:after="0"/>
              <w:rPr>
                <w:sz w:val="20"/>
                <w:szCs w:val="20"/>
                <w:color w:val="auto"/>
              </w:rPr>
            </w:pPr>
            <w:r>
              <w:rPr>
                <w:rFonts w:ascii="Arial" w:cs="Arial" w:eastAsia="Arial" w:hAnsi="Arial"/>
                <w:sz w:val="18"/>
                <w:szCs w:val="18"/>
                <w:color w:val="auto"/>
              </w:rPr>
              <w:t>By /s/ John P. Friel</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P. Friel</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9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By /s/ Kevin P. McDermott</w:t>
            </w:r>
          </w:p>
        </w:tc>
        <w:tc>
          <w:tcPr>
            <w:tcW w:w="154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8, 2018</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Kevin P. McDermott</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179"/>
          </w:cols>
          <w:pgMar w:left="280" w:top="742"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28, 2018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June 8, 2018</w:t>
      </w:r>
    </w:p>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28, 2018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8, 2018</w:t>
      </w:r>
    </w:p>
    <w:p>
      <w:pPr>
        <w:sectPr>
          <w:pgSz w:w="11900" w:h="16838" w:orient="portrait"/>
          <w:cols w:equalWidth="0" w:num="1">
            <w:col w:w="11420"/>
          </w:cols>
          <w:pgMar w:left="240" w:top="58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April 28, 2018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June 8, 2018</w:t>
      </w:r>
    </w:p>
    <w:p>
      <w:pPr>
        <w:sectPr>
          <w:pgSz w:w="11900" w:h="16838" w:orient="portrait"/>
          <w:cols w:equalWidth="0" w:num="1">
            <w:col w:w="11420"/>
          </w:cols>
          <w:pgMar w:left="240" w:top="58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 connection with the Annual Report on Form 10-K of Daktronics, Inc. (the “Company”) for the annual period ended April 28, 2018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8, 2018</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lvl w:ilvl="1">
      <w:lvlJc w:val="left"/>
      <w:lvlText w:val="(%2)"/>
      <w:numFmt w:val="decimal"/>
      <w:start w:val="2"/>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1" Type="http://schemas.openxmlformats.org/officeDocument/2006/relationships/image" Target="media/image8.png"/><Relationship Id="rId15" Type="http://schemas.openxmlformats.org/officeDocument/2006/relationships/hyperlink" Target="http://www.sec.gov/Archives/edgar/data/915779/000091577913000093/dakt-20130427_ex31xaoi.htm" TargetMode="External"/><Relationship Id="rId16" Type="http://schemas.openxmlformats.org/officeDocument/2006/relationships/hyperlink" Target="http://www.sec.gov/Archives/edgar/data/915779/000091577913000026/dakt_exx34x10-kx2013.htm" TargetMode="External"/><Relationship Id="rId17" Type="http://schemas.openxmlformats.org/officeDocument/2006/relationships/hyperlink" Target="http://www.sec.gov/Archives/edgar/data/915779/000091577908000058/agreement.htm" TargetMode="External"/><Relationship Id="rId18" Type="http://schemas.openxmlformats.org/officeDocument/2006/relationships/hyperlink" Target="http://www.sec.gov/Archives/edgar/data/915779/000091577907000084/exhibit10-5.htm" TargetMode="External"/><Relationship Id="rId19" Type="http://schemas.openxmlformats.org/officeDocument/2006/relationships/hyperlink" Target="http://www.sec.gov/Archives/edgar/data/915779/000091577915000046/dakt-20150501_defx14a.htm#s4b4ce7db85924a1dba35b799a722a4cd" TargetMode="External"/><Relationship Id="rId20" Type="http://schemas.openxmlformats.org/officeDocument/2006/relationships/hyperlink" Target="http://www.sec.gov/Archives/edgar/data/915779/000091577915000068/dakt_ex102x8-kxsomx2015.htm" TargetMode="External"/><Relationship Id="rId21" Type="http://schemas.openxmlformats.org/officeDocument/2006/relationships/hyperlink" Target="http://www.sec.gov/Archives/edgar/data/915779/000091577915000068/dakt_ex103x8-kxsomx2015.htm" TargetMode="External"/><Relationship Id="rId22" Type="http://schemas.openxmlformats.org/officeDocument/2006/relationships/hyperlink" Target="http://www.sec.gov/Archives/edgar/data/915779/000091577915000068/dakt_ex104x8-kxsomx2015.htm" TargetMode="External"/><Relationship Id="rId23" Type="http://schemas.openxmlformats.org/officeDocument/2006/relationships/hyperlink" Target="http://www.sec.gov/Archives/edgar/data/915779/000091577915000068/dakt_ex105x8-kxsomx2015.htm" TargetMode="External"/><Relationship Id="rId24" Type="http://schemas.openxmlformats.org/officeDocument/2006/relationships/hyperlink" Target="http://www.sec.gov/Archives/edgar/data/915779/000091577904000053/dak10ktextonly.htm" TargetMode="External"/><Relationship Id="rId25" Type="http://schemas.openxmlformats.org/officeDocument/2006/relationships/hyperlink" Target="http://www.sec.gov/Archives/edgar/data/915779/000091577916000233/dakt_20161115xex101.htm" TargetMode="External"/><Relationship Id="rId26" Type="http://schemas.openxmlformats.org/officeDocument/2006/relationships/hyperlink" Target="http://www.sec.gov/Archives/edgar/data/915779/000091577916000233/dakt_20161115xex102.htm" TargetMode="External"/><Relationship Id="rId27" Type="http://schemas.openxmlformats.org/officeDocument/2006/relationships/hyperlink" Target="http://www.sec.gov/Archives/edgar/data/915779/000091577916000233/dakt_20161115xex103.htm" TargetMode="External"/><Relationship Id="rId28" Type="http://schemas.openxmlformats.org/officeDocument/2006/relationships/hyperlink" Target="http://www.sec.gov/Archives/edgar/data/915779/000091577916000233/dakt_20161115xex104.htm" TargetMode="External"/><Relationship Id="rId29" Type="http://schemas.openxmlformats.org/officeDocument/2006/relationships/hyperlink" Target="http://www.sec.gov/Archives/edgar/data/915779/000091577917000027/dakt_ex106x10-kx2017.htm" TargetMode="External"/><Relationship Id="rId30" Type="http://schemas.openxmlformats.org/officeDocument/2006/relationships/hyperlink" Target="http://www.sec.gov/Archives/edgar/data/915779/000091577917000100/dakt-20170912x8k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2019-12-28T21:38:23Z</dcterms:created>
  <dcterms:modified xsi:type="dcterms:W3CDTF">2019-12-28T21:38:23Z</dcterms:modified>
</cp:coreProperties>
</file>