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April 26, 2014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2"/>
              </w:rPr>
              <w:t>Daktronics, Inc.</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128"/>
        </w:trPr>
        <w:tc>
          <w:tcPr>
            <w:tcW w:w="4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South Dakota</w:t>
            </w:r>
          </w:p>
        </w:tc>
        <w:tc>
          <w:tcPr>
            <w:tcW w:w="6800" w:type="dxa"/>
            <w:vAlign w:val="bottom"/>
            <w:gridSpan w:val="3"/>
            <w:vMerge w:val="restart"/>
          </w:tcPr>
          <w:p>
            <w:pPr>
              <w:jc w:val="right"/>
              <w:ind w:right="231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(State or other jurisdiction of</w:t>
            </w:r>
          </w:p>
        </w:tc>
        <w:tc>
          <w:tcPr>
            <w:tcW w:w="6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3"/>
              </w:rPr>
              <w:t>incorporation or organization)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505"/>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201 Daktronics Drive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Brookings SD</w:t>
            </w:r>
          </w:p>
        </w:tc>
        <w:tc>
          <w:tcPr>
            <w:tcW w:w="6800" w:type="dxa"/>
            <w:vAlign w:val="bottom"/>
            <w:gridSpan w:val="3"/>
          </w:tcPr>
          <w:p>
            <w:pPr>
              <w:jc w:val="right"/>
              <w:ind w:right="251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(Address of principal executive offices)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3"/>
              </w:rPr>
              <w:t>(605) 692-0200</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Title of Each Class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40"/>
        </w:trPr>
        <w:tc>
          <w:tcPr>
            <w:tcW w:w="4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No Par Value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Purchase Rights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6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jc w:val="both"/>
        <w:ind w:right="4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 Yes x No o</w:t>
      </w:r>
    </w:p>
    <w:p>
      <w:pPr>
        <w:spacing w:after="0" w:line="156"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56"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63" w:right="239" w:bottom="326"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63" w:right="239" w:bottom="326"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63" w:right="239" w:bottom="326" w:gutter="0" w:footer="0" w:header="0"/>
          <w:type w:val="continuous"/>
        </w:sectPr>
      </w:pPr>
    </w:p>
    <w:p>
      <w:pPr>
        <w:spacing w:after="0" w:line="58"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October 26, 2013 (which is the last business day at the Registrant’s most recently completed second quarter), computed by reference to the closing sales price of the Registrant’s common stock on the NASDAQ Stock Market on such date, was approximately $523,551,875. For purposes of determining this number, individual stockholders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3, 2014 was 43,231,494.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160"/>
        <w:spacing w:after="0" w:line="257" w:lineRule="auto"/>
        <w:rPr>
          <w:sz w:val="20"/>
          <w:szCs w:val="20"/>
          <w:color w:val="auto"/>
        </w:rPr>
      </w:pPr>
      <w:r>
        <w:rPr>
          <w:rFonts w:ascii="Arial" w:cs="Arial" w:eastAsia="Arial" w:hAnsi="Arial"/>
          <w:sz w:val="16"/>
          <w:szCs w:val="16"/>
          <w:color w:val="auto"/>
        </w:rPr>
        <w:t>Portions of the Registrant’s Proxy Statement for its Annual Meeting of Shareholders to be held September 3, 2014 are incorporated by reference in Part III of the Form 10-K, as indicated in Items 10 through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3" w:right="239" w:bottom="326"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6"/>
          <w:szCs w:val="16"/>
          <w:b w:val="1"/>
          <w:bCs w:val="1"/>
          <w:color w:val="auto"/>
        </w:rPr>
        <w:t>APRIL 26, 2014</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30"/>
        </w:trPr>
        <w:tc>
          <w:tcPr>
            <w:tcW w:w="986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r>
      <w:tr>
        <w:trPr>
          <w:trHeight w:val="520"/>
        </w:trPr>
        <w:tc>
          <w:tcPr>
            <w:tcW w:w="13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760" w:type="dxa"/>
            <w:vAlign w:val="bottom"/>
            <w:gridSpan w:val="6"/>
          </w:tcPr>
          <w:p>
            <w:pPr>
              <w:spacing w:after="0"/>
              <w:rPr>
                <w:sz w:val="21"/>
                <w:szCs w:val="21"/>
                <w:color w:val="auto"/>
              </w:rPr>
            </w:pPr>
          </w:p>
        </w:tc>
        <w:tc>
          <w:tcPr>
            <w:tcW w:w="84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1A.</w:t>
              </w:r>
            </w:hyperlink>
          </w:p>
        </w:tc>
        <w:tc>
          <w:tcPr>
            <w:tcW w:w="620" w:type="dxa"/>
            <w:vAlign w:val="bottom"/>
            <w:gridSpan w:val="2"/>
          </w:tcPr>
          <w:p>
            <w:pPr>
              <w:spacing w:after="0"/>
              <w:rPr>
                <w:sz w:val="21"/>
                <w:szCs w:val="21"/>
                <w:color w:val="auto"/>
              </w:rPr>
            </w:pPr>
          </w:p>
        </w:tc>
        <w:tc>
          <w:tcPr>
            <w:tcW w:w="848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9</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1B.</w:t>
              </w:r>
            </w:hyperlink>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UNRESOLVED STAFF COMMENTS</w:t>
              </w:r>
            </w:hyperlink>
          </w:p>
        </w:tc>
        <w:tc>
          <w:tcPr>
            <w:tcW w:w="566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566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3.</w:t>
              </w:r>
            </w:hyperlink>
          </w:p>
        </w:tc>
        <w:tc>
          <w:tcPr>
            <w:tcW w:w="760" w:type="dxa"/>
            <w:vAlign w:val="bottom"/>
            <w:gridSpan w:val="6"/>
          </w:tcPr>
          <w:p>
            <w:pPr>
              <w:spacing w:after="0"/>
              <w:rPr>
                <w:sz w:val="21"/>
                <w:szCs w:val="21"/>
                <w:color w:val="auto"/>
              </w:rPr>
            </w:pPr>
          </w:p>
        </w:tc>
        <w:tc>
          <w:tcPr>
            <w:tcW w:w="848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4.</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MINE SAFETY DISCLOSURES</w:t>
              </w:r>
            </w:hyperlink>
          </w:p>
        </w:tc>
        <w:tc>
          <w:tcPr>
            <w:tcW w:w="6060" w:type="dxa"/>
            <w:vAlign w:val="bottom"/>
            <w:gridSpan w:val="15"/>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PART II</w:t>
              </w:r>
            </w:hyperlink>
          </w:p>
        </w:tc>
        <w:tc>
          <w:tcPr>
            <w:tcW w:w="7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ITEM 5.</w:t>
              </w:r>
            </w:hyperlink>
          </w:p>
        </w:tc>
        <w:tc>
          <w:tcPr>
            <w:tcW w:w="760" w:type="dxa"/>
            <w:vAlign w:val="bottom"/>
            <w:gridSpan w:val="6"/>
          </w:tcPr>
          <w:p>
            <w:pPr>
              <w:spacing w:after="0"/>
              <w:rPr>
                <w:sz w:val="21"/>
                <w:szCs w:val="21"/>
                <w:color w:val="auto"/>
              </w:rPr>
            </w:pPr>
          </w:p>
        </w:tc>
        <w:tc>
          <w:tcPr>
            <w:tcW w:w="760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ISSUER PURCHASES OF EQUITY SECURITIES</w:t>
              </w:r>
            </w:hyperlink>
          </w:p>
        </w:tc>
        <w:tc>
          <w:tcPr>
            <w:tcW w:w="4720" w:type="dxa"/>
            <w:vAlign w:val="bottom"/>
            <w:gridSpan w:val="12"/>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6.</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ITEM 7.</w:t>
              </w:r>
            </w:hyperlink>
          </w:p>
        </w:tc>
        <w:tc>
          <w:tcPr>
            <w:tcW w:w="760" w:type="dxa"/>
            <w:vAlign w:val="bottom"/>
            <w:gridSpan w:val="6"/>
          </w:tcPr>
          <w:p>
            <w:pPr>
              <w:spacing w:after="0"/>
              <w:rPr>
                <w:sz w:val="21"/>
                <w:szCs w:val="21"/>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OPERATIONS</w:t>
              </w:r>
            </w:hyperlink>
          </w:p>
        </w:tc>
        <w:tc>
          <w:tcPr>
            <w:tcW w:w="7380" w:type="dxa"/>
            <w:vAlign w:val="bottom"/>
            <w:gridSpan w:val="20"/>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7A.</w:t>
              </w:r>
            </w:hyperlink>
          </w:p>
        </w:tc>
        <w:tc>
          <w:tcPr>
            <w:tcW w:w="620" w:type="dxa"/>
            <w:vAlign w:val="bottom"/>
            <w:gridSpan w:val="2"/>
          </w:tcPr>
          <w:p>
            <w:pPr>
              <w:spacing w:after="0"/>
              <w:rPr>
                <w:sz w:val="21"/>
                <w:szCs w:val="21"/>
                <w:color w:val="auto"/>
              </w:rPr>
            </w:pPr>
          </w:p>
        </w:tc>
        <w:tc>
          <w:tcPr>
            <w:tcW w:w="6140" w:type="dxa"/>
            <w:vAlign w:val="bottom"/>
            <w:gridSpan w:val="17"/>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614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ITEM 9.</w:t>
              </w:r>
            </w:hyperlink>
          </w:p>
        </w:tc>
        <w:tc>
          <w:tcPr>
            <w:tcW w:w="760" w:type="dxa"/>
            <w:vAlign w:val="bottom"/>
            <w:gridSpan w:val="6"/>
          </w:tcPr>
          <w:p>
            <w:pPr>
              <w:spacing w:after="0"/>
              <w:rPr>
                <w:sz w:val="21"/>
                <w:szCs w:val="21"/>
                <w:color w:val="auto"/>
              </w:rPr>
            </w:pPr>
          </w:p>
        </w:tc>
        <w:tc>
          <w:tcPr>
            <w:tcW w:w="79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DISCLOSURE</w:t>
              </w:r>
            </w:hyperlink>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9A.</w:t>
              </w:r>
            </w:hyperlink>
          </w:p>
        </w:tc>
        <w:tc>
          <w:tcPr>
            <w:tcW w:w="620" w:type="dxa"/>
            <w:vAlign w:val="bottom"/>
            <w:gridSpan w:val="2"/>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CONTROLS AND PROCEDURES</w:t>
              </w:r>
            </w:hyperlink>
          </w:p>
        </w:tc>
        <w:tc>
          <w:tcPr>
            <w:tcW w:w="588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9B.</w:t>
              </w:r>
            </w:hyperlink>
          </w:p>
        </w:tc>
        <w:tc>
          <w:tcPr>
            <w:tcW w:w="6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OTHER INFORMATION</w:t>
              </w:r>
            </w:hyperlink>
          </w:p>
        </w:tc>
        <w:tc>
          <w:tcPr>
            <w:tcW w:w="720" w:type="dxa"/>
            <w:vAlign w:val="bottom"/>
            <w:gridSpan w:val="3"/>
          </w:tcPr>
          <w:p>
            <w:pPr>
              <w:spacing w:after="0"/>
              <w:rPr>
                <w:sz w:val="21"/>
                <w:szCs w:val="21"/>
                <w:color w:val="auto"/>
              </w:rPr>
            </w:pPr>
          </w:p>
        </w:tc>
        <w:tc>
          <w:tcPr>
            <w:tcW w:w="588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r>
      <w:tr>
        <w:trPr>
          <w:trHeight w:val="52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6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10.</w:t>
              </w:r>
            </w:hyperlink>
          </w:p>
        </w:tc>
        <w:tc>
          <w:tcPr>
            <w:tcW w:w="84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ITEM 11.</w:t>
              </w:r>
            </w:hyperlink>
          </w:p>
        </w:tc>
        <w:tc>
          <w:tcPr>
            <w:tcW w:w="680" w:type="dxa"/>
            <w:vAlign w:val="bottom"/>
            <w:gridSpan w:val="4"/>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EXECUTIVE COMPENSATION</w:t>
              </w:r>
            </w:hyperlink>
          </w:p>
        </w:tc>
        <w:tc>
          <w:tcPr>
            <w:tcW w:w="3360" w:type="dxa"/>
            <w:vAlign w:val="bottom"/>
            <w:gridSpan w:val="8"/>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12.</w:t>
              </w:r>
            </w:hyperlink>
          </w:p>
        </w:tc>
        <w:tc>
          <w:tcPr>
            <w:tcW w:w="84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5"/>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13.</w:t>
              </w:r>
            </w:hyperlink>
          </w:p>
        </w:tc>
        <w:tc>
          <w:tcPr>
            <w:tcW w:w="84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gridSpan w:val="1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14.</w:t>
              </w:r>
            </w:hyperlink>
          </w:p>
        </w:tc>
        <w:tc>
          <w:tcPr>
            <w:tcW w:w="84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6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15.</w:t>
              </w:r>
            </w:hyperlink>
          </w:p>
        </w:tc>
        <w:tc>
          <w:tcPr>
            <w:tcW w:w="8480" w:type="dxa"/>
            <w:vAlign w:val="bottom"/>
            <w:gridSpan w:val="2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AND FINANCIAL STATEMENT SCHEDULES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66</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and (ix.) the seasonality of our business; (x.)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and those factors discussed in detail in our other filings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Company Background and Overview. </w:t>
      </w:r>
      <w:r>
        <w:rPr>
          <w:rFonts w:ascii="Arial" w:cs="Arial" w:eastAsia="Arial" w:hAnsi="Arial"/>
          <w:sz w:val="17"/>
          <w:szCs w:val="17"/>
          <w:color w:val="auto"/>
        </w:rPr>
        <w:t>Daktronics, Inc. was founded by Dr. Aelred Kurtenbach and Dr. Duane Sander in 1968 while they were professors of</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engineering at South Dakota State University (“SDSU”) in Brookings, South Dakota. Our relationship with SDSU and other colleges and universities is a key factor contributing to our leadership in the industry. We have been able to experience sustained long-term growth due in part to the capability of the local universities and colleges to provide an important source of highly educated full-time and student employees.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the years, our products have evolved significantly from scoreboards and matrix displays and related software applications to complex, integrated visual display systems which include full color video, text and graphics displays located on a local or remote network and are tied together through sophisticated control systems.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capabilities so all of our customer’s large format display needs could be met in a complete, integrated system. This has proven to be a key factor in Daktronics becoming a leader in large electronic displays. Over the years, we have invested in product development to add complementary products and services, such as production services, control systems, liquid crystal display (“LCD”) networks, architectural lighting solutions, sound systems, marketing services, maintenance and support and other products and services for our customers.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software applications, we gained significant market share through designing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quality products and providing technical expertise and services. Our products are in use throughout the world, as we are the world’s leader in all large format LED display product categories, according to independent research.</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sports and live events markets, our integrated video, scoring, and control systems have been installed at many professional, collegiate and high school facilities, in North America, and at international multi-purpose sports venues around the world.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commercial applications, our video displays can be seen in major destination sites, such as Las Vegas and Times Square, while our digital billboards and message displays can be seen along roadsides, at retail establishments, and at many other locations.</w:t>
      </w:r>
    </w:p>
    <w:p>
      <w:pPr>
        <w:spacing w:after="0" w:line="17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transportation market,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in use in numerous jurisdictions across North America. Our customers include many state departments of transportation, mass transit systems and airports.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our core growth strategies has been to enter geographic markets by developing a regional sales and service presence providing after-sale support to our entire product line and sales of our products. We currently have regional offices in the United States as well as internationally that support our field sales and service people, many of whom today work out of their homes.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occasionally acquire other businesses in order to provide access to new markets or to complement our existing products. Although these acquisitions have increased the scope of services and technology we are able to provide, our primary growth objective is to increase sales and profitability through organic growth.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most of our products in South Dakota and Minnesota in the United States. Products for the Chinese market and most architectural lighting products are manufactured in Shanghai, China. Our Belgium location produces products for the European third-party advertising market, and our New York location produces rigging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the world’s leading supplier of electronic scoreboards, large electronic display systems, digital messaging solutions, software and services for sporting, commercial and transportation applications. We serve our customers by providing superior products, integration and dynamic, reliable and unique visual communication solutions. We offer a complete line of products, from small indoor and outdoor scoreboards and electronic displays to large multi-million dollar video display systems as well as related control, timing, sound and hoist systems and related professional services. We are recognized worldwide as a technical leader with the capabilities to design, market, manufacture, install and service complete integrated systems displaying real-time data, graphics, animation and video.</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sales force is comprised of direct sales staff and resellers located throughout the world supporting all customer types in both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 We primarily use a direct sales force for large integrated display systems sales in professional sports, colleges and universities, and commercial spectacular projects. We use our direct sales force to sell third-party advertising and transportation applications. We utilize resellers outside North America for large integrated system sales, where we do not have a direct sales presence. The majority of the products sold by resellers in North America are standard catalog products. We support our resellers through direct mail advertising, trade journal advertising, product and installation training, trade show exhibitions and accessibility to our regional sales or service teams.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organized our business into five business units which have a primary focus on particular markets or customer segments. There are four domestic business units (United States and Canada) – Commercial, Live Events, Schools and Theatres and Transportation. The fifth business unit, identified as International, is for all operations outside the United States and Canada. This structure allows us to focus on serving the unique needs of each of these customer groups. Live Events customers usually have a large variety of products tied into a system in a single location involving creative production services, design and event support. The Commercial business unit serves the needs created by large and remote networks of displays connected through various modes of communication. The Transportation business unit focuses on the unique needs of governmental contractors and ties into integrated systems managing the flow of travelers and vehicles. Finally, the Schools and Theatre business unit focuses on providing information displays to high schools for both sports and marquee applications, and automated rigging for theatres. The International business unit comprises all of these areas outside of North America.</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present proposals. Proposals to prospective customers include business and technical presentations as well as product demonstrations and visits to existing installations. We also regularly host customers at our various manufacturing facilities to demonstrate product quality, manufacturing and design capabilities.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w:t>
      </w:r>
      <w:r>
        <w:rPr>
          <w:rFonts w:ascii="Arial" w:cs="Arial" w:eastAsia="Arial" w:hAnsi="Arial"/>
          <w:sz w:val="18"/>
          <w:szCs w:val="18"/>
          <w:color w:val="auto"/>
        </w:rPr>
        <w:t>The large format electronic display industry is characterized by ongoing product innovations and developments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complementary services. To remain competitive, we continue to anticipate and respond to changes and developments in the industry. We have a tradition of applying engineering resources throughout our business to anticipate and respond rapidly to the system needs in the marketplace. We employ engineers and technicians in the areas of mechanical and electrical design, applications engineering, software design and customer and product support. We assign product managers to each product or product family to assist our sales staff in training and implementing product improvements and to ensure each product is designed for maximum reliability and serviceability. We also invest in new creative technologies and in companies developing new technologies.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leverage our efforts through best practice lean product development across product lines by utilizing common technology, concepts and platforms. This alignment has driven improved product reliability, lower costs and better functionality for our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As a vertically integrated manufacturer of display systems, we perform most sub-assembly and substantially all final assembly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manufacturing operations include component manufacturing and system manufacturing (metal fabrication, electronic assembly, sub-assembly and final assembly). We flex our production capacity through varying work hours and strategic outsourcing.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a modular approach for manufacturing displays. Standard product modules are designed to be used in a variety of different products. This modular approach reduces parts inventory and improves manufacturing efficiency. We inventory a limited supply of finished standard products. Custom projects are built according to the customer’s specifications through the use of common components. Product modules are designed so a custom product may include a significant percentage of standard components to maximize reliability and ease of service. A key strategy of ours is to increase standardization and commonality of parts and manufacturing processes across product lines through product platform strategies.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order entry, production, customer service and many other functions are also consolidated through an enterprise resource planning system and a service operations system to facilitate the sales, design, production, and delivery process.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plants are loosely aligned with the five business units described above. This alignment has been critical to allow us to respond to the different types of customers in the different business units in areas such as lead times and product consolidation. Furthermore, we have decentralized to these plants certain functions such as materials planning and scheduling. Our goal is to generally align sales, marketing, engineering and manufacturing into a cohesive business unit with a focus on customers while not losing the synergies of shared resources. On the other hand, given the cyclical nature of some parts of our business, we also needed to balance and maintain our ability to manufacture the same products across our plants so we can smooth out the peaks and valleys of customer demand of the various business units.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manufacturing facilities have embraced lean manufacturing techniques throughout all areas. We have also placed significant emphasis on lean techniques in the non-manufacturing areas. Although there are direct costs associated with implementing lean techniques, the goal of doing so is to eliminate waste and timely deliver products to a customer while maintaining minimal inventory and eliminating non-value added tasks.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Technical Contracting. </w:t>
      </w:r>
      <w:r>
        <w:rPr>
          <w:rFonts w:ascii="Arial" w:cs="Arial" w:eastAsia="Arial" w:hAnsi="Arial"/>
          <w:sz w:val="18"/>
          <w:szCs w:val="18"/>
          <w:color w:val="auto"/>
        </w:rPr>
        <w:t>We serve as a technical contractor for larger display system installations requiring custom designs and innovative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in our proposal site preparation and installation services related to the display system. In these cases, we serve as a contractor and may retain subcontractors. We are licensed in a number of domestic jurisdictions as a general contractor. Typically, we outsource all related electrical, steel and installation labor to qualified subcontractors. We have developed relationships with many subcontractors throughout the United States over time, which is advantageous for us in bidding and delivering on these projects.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Our professional services are essential to continued market penetration and growth. Professional services we provide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contracting include event support, content creation, product maintenance, marketing assistance, training on hardware and software, control room design, and continuing technical support for operators of complicated display systems.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against failure due to defective parts or workmanship for periods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one to five years after the first sale or installation, depending on the product or type of customer. In addition, we offer service agreements of various scopes. To serve our customers we provide help-desk access, parts repair and replacement, display monitoring and on-site support. We staff our technical help desk with experienced technicians who are on-call 24 hours a day to support events and sites. Our field service personnel and third party service partners are trained to provide on-site support. We use third party service partners to allow us to respond to changes in volume of service. Service volume peaks in the late summer and early fall.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repair centers, located in the United States, Belgium and Shanghai, are staffed with trained technicians who repair and return components requiring service. We also offer a component exchange program for same-day shipment of replacement parts.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range of products spans from message displays, to scoreboards, to audio systems, to large complex systems. The two principal components of our systems are the display and the controller. We produce displays varying in complexity, size and resolution. The physical dimensions of a display depend on the size of the viewing area, the distance from the viewer to the display, and the amount and type of information to be displayed. Generally, for longer distance viewing, the light sources, or pixels, are larger and spaced farther apart. The type of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 in which our products function.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controller uses computer hardware and our software products to compile information provided by the operator and other integrated sources and then processes the information, graphics or animation to be presented on the displays.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primary product families, all of which include control systems and software:</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Scoring and timing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dynamic message 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billboards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Automated rigging and hoists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Video Display Systems. </w:t>
      </w:r>
      <w:r>
        <w:rPr>
          <w:rFonts w:ascii="Arial" w:cs="Arial" w:eastAsia="Arial" w:hAnsi="Arial"/>
          <w:sz w:val="18"/>
          <w:szCs w:val="18"/>
          <w:color w:val="auto"/>
        </w:rPr>
        <w:t>This group consists primarily of displays comprised of a large number of full-color pixels capable of showing various levels of video,</w:t>
      </w:r>
      <w:r>
        <w:rPr>
          <w:rFonts w:ascii="Arial" w:cs="Arial" w:eastAsia="Arial" w:hAnsi="Arial"/>
          <w:sz w:val="18"/>
          <w:szCs w:val="18"/>
          <w:i w:val="1"/>
          <w:iCs w:val="1"/>
          <w:color w:val="auto"/>
        </w:rPr>
        <w:t xml:space="preserve"> </w:t>
      </w:r>
      <w:r>
        <w:rPr>
          <w:rFonts w:ascii="Arial" w:cs="Arial" w:eastAsia="Arial" w:hAnsi="Arial"/>
          <w:sz w:val="18"/>
          <w:szCs w:val="18"/>
          <w:color w:val="auto"/>
        </w:rPr>
        <w:t>graphics and animation plus controllers which manage the operation of the display. Video displays are comprised of red, green and blue LEDs arranged in various combinations to form pixels (picture elements). The electronic circuitry which controls the pixels allows for variances in the relative brightness of each LED to provide a full color spectrum, thereby displaying video images in striking, vibrant colors.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wide range of video display systems for different applications and budgets. Variables in video displays include the spacing of the pixels (pixel pitch), the resolution of the displays (number of pixels), the brightness of the displays (nits), the number of discrete colors the display is able to produce (color depth), and the viewing angles. In addition, modular design allows the product to be readily configured in custom sizes to meet each customer’s specific requirements with virtually no limit to the size of display that can be built.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wide range of pixel spacing, ranging from four millimeter to twenty-six millimeter. The four millimeter application provides the user with the greatest pixel density and shortest viewing distance, while the twenty-six millimeter is the most cost effective for physically large displays with longer viewing distances. In addition, the uniformity of colors across the display is important to the quality of the video image. Our unique display control circuitry, along with our proprietary manufacturing and calibration procedures, provide uniform colors across the display.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to traditional rectangular video displays, we have adapted LED video technology into ribbon board displays and modular display systems. Our ribbon board display systems are configured in different height-to-width ratios to give arenas and stadiums the ability to install long, narrower bands of displays in the facility. For new construction projects, our ProRail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attachment system is combined with ribbon board technology to provide improved sight lines for fans and reduce construction costs for the facility’s owner. Digital ribbon boards generally serve as a revenue generation source for teams and facilities through advertising as well as another location to display information such as scoring and statistics.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transportable display systems are comprised of lightweight individual LED video panels less than a square meter in size and are assembled together to form a display in a customizable height and width. These panels are used in what we refer to as mobile and modular applications, such as touring shows and the events market.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video systems may use a network of displays to deliver a pre-programmed schedule of advertisements, relevant entertainment information and sports scores, including video, audio, graphics and live data to viewers in concourses and club areas. The network can be integrated with the main video displays through the control system, providing complete control. Daktronics digital display networks can incorporate flat-panel screens, LED message displays, LED video screens and even numeric scoreboards to provide an even better game day experience.</w:t>
      </w:r>
    </w:p>
    <w:p>
      <w:pPr>
        <w:spacing w:after="0" w:line="18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GKD MediaMesh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can turn any building facade into a dynamic communications medium while not concealing the architecture behind it. This display can be mounted over a solid facade or in front of windows resulting in a finished solution that is free from visible cabling, and delivers a clean, semi-transparent viewing experience for those within the building. The stainless steel, textile-like mesh provides a modern, urban feel while the thin-profile design – less than one inch in depth – provides an elegant, refined structural appearance.</w:t>
      </w:r>
    </w:p>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line of ProPixel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LED architectural lighting and display products include our freeform video elements, which are available as individual pixels or strips of pixels, assembled and interconnected to transform structures into stunning visual landmarks. Flexible mounting platforms allow designers to transform structures into full-motion video displays and to create various effects. These elements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 be structured in various resolutions depending on the application. The freeform video elements are managed by our various controllers, depending on the specific application.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primary control components for video displays in live event applications are our Show Control Software Suite, proprietary digital media players and proprietary video processors. These control components provide advanced capability for the display of live video and real time content on our displays.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Show Control Software Suite is an integrated display control system enabling flexible, intuitive display control and event management for large video applications. The Show Control Software Suite can operate entire networks of displays from a single, intuitive control interface. Features such as smart buttons allow users to instantly deliver media clips, camera feeds, and streaming information to any display in a network.</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Daktronics digital media players store recorded video clips and can function as a still store and character generator. Managed through our Show Control Software Suite, the digital media player provides instant access to any video, animation, graphic or real-time data file on a player. It also controls the overall picture settings of any Daktronics LED display, making it the most feature-rich product of its kind in the live events industry.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provide a proprietary video processing system developed specifically for LED display technology. For larger venues hosting live events, the Show Control Software Suite, digital media player and video processor are typically part of a larger system with cameras, switches and other components. These systems provide the ability to show instant replays, live action video, prerecorded video clips, and overlays of scoring, timing and statistical information. We occasionally package our components with control components from other suppliers to provide a complete video production solution.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Scoring and Timing Systems. </w:t>
      </w:r>
      <w:r>
        <w:rPr>
          <w:rFonts w:ascii="Arial" w:cs="Arial" w:eastAsia="Arial" w:hAnsi="Arial"/>
          <w:sz w:val="18"/>
          <w:szCs w:val="18"/>
          <w:color w:val="auto"/>
        </w:rPr>
        <w:t>Our line of scoring and timing products include indoor and outdoor scoreboards for many different sports, digit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scoring and timing controllers, statistics software and other related products. Indoor systems range in complexity from two-digit shot clocks and small scoreboards to large, center-hung scoreboards incorporating video displays, message centers, advertising panels, hoist systems and control software. Outdoor scoreboards range in complexity from two-digit game timers and small scoreboards to larger systems incorporating scoring, timing, video, message centers, advertising panels and control software.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LED technology will remain the technology of choice for scoreboards and displays due to its lower power consumption, longer life and resulting lower maintenance costs as compared to other technologies. Because most of the scoreboards and display products within this group have significant standardization, we have been able to advance our goal of efficiently delivering high quality products.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offer a variety of internally developed controllers complementing our scoreboards and displays. These controllers vary in price and complexity from the All Sport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100, a handheld controller for portable scoreboards, to the All Sport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5000 series, designed for more sophisticated scoring systems and allowing for more user-defined options. These controllers communicate with scoreboards through radio frequencies, fiber optic connections or other means.</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also offer timing systems for sports events, primarily aquatics and track competitions. A primary component of these systems is our OmniSport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2000 timing console. The system has the capability to not only time and rank the competitors but also to interface with event management software created by third parties to facilitate the administration of the sporting event. Other timing system components include swimming touchpads, race start systems, and relay take-off platforms.</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trademark. The software allows entry and display of sports statistics and other information. It is one of the leading applications of its type in collegiate and high school sports.</w:t>
      </w:r>
    </w:p>
    <w:p>
      <w:pPr>
        <w:spacing w:after="0" w:line="202" w:lineRule="exact"/>
        <w:rPr>
          <w:sz w:val="20"/>
          <w:szCs w:val="20"/>
          <w:color w:val="auto"/>
        </w:rPr>
      </w:pPr>
    </w:p>
    <w:p>
      <w:pPr>
        <w:jc w:val="both"/>
        <w:spacing w:after="0" w:line="186"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key product lines in this group are marketed under the names Galaxy</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GalaxyPro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generally controlled with our Venus</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1500 display controller.</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full-matrix displays, available in both indoor and outdoor models, are our leading product line for commercial applications and are expected to be a key product line for growth in the future.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full color, monochrome, or tri-color, with pixel spacing ranging from six millimeter to forty-six millimeter depending on color, size and viewing distance. They are used primarily as message centers to convey information and advertising to consumers. The modular design of the product allows us to configure a display to readily meet the size requirements of each customer. We offer various price points for displays within the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w:t>
      </w:r>
    </w:p>
    <w:p>
      <w:pPr>
        <w:spacing w:after="0" w:line="105" w:lineRule="exact"/>
        <w:rPr>
          <w:sz w:val="20"/>
          <w:szCs w:val="20"/>
          <w:color w:val="auto"/>
        </w:rPr>
      </w:pPr>
    </w:p>
    <w:p>
      <w:pPr>
        <w:jc w:val="both"/>
        <w:spacing w:after="0" w:line="197" w:lineRule="auto"/>
        <w:rPr>
          <w:sz w:val="20"/>
          <w:szCs w:val="20"/>
          <w:color w:val="auto"/>
        </w:rPr>
      </w:pPr>
      <w:r>
        <w:rPr>
          <w:rFonts w:ascii="Arial" w:cs="Arial" w:eastAsia="Arial" w:hAnsi="Arial"/>
          <w:sz w:val="18"/>
          <w:szCs w:val="18"/>
          <w:color w:val="auto"/>
        </w:rPr>
        <w:t>GalaxyPro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offered in full color with pixel spacing ranging from sixteen to twenty-six millimeters. GalaxyPro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capable of producing 68 billion colors, have excellent color uniformity across the display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are fully compatible with our Venus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1500 display control software. The modular design of the product allows us to configure a display to readily meet the size requirements of each customer.</w:t>
      </w:r>
    </w:p>
    <w:p>
      <w:pPr>
        <w:spacing w:after="0" w:line="20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series displays utilize our proprietary Venus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1500 display control software to control the creation of messages and graphic sequences for downloading to the display. This software is designed to be usable without any special training, and it is applicable to all general advertising or message presentation applications. We also provide software allowing system integrators to write their own software using the Venus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1500 software developer’s kit to communicate to displays supplied by us. Several system integrators have implemented the Venus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1500 protocol into their specific applications, resulting in additional display sales.</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LED-based displays for road management, parking, mass transit and aviation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The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digit and directional displays are primarily marketed and sold for use in parking facilities. They include multi-line displays delivered in vertical cabinets or drop-in digit panels designed to be mounted in existing structures or signs.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the transportation products are designed and tested to rigorous transportation industry standards. Our personnel routinely work with standard development organizations to assist in writing standards to benefit the public and take advantage of the latest display technologies.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Audio Systems. </w:t>
      </w:r>
      <w:r>
        <w:rPr>
          <w:rFonts w:ascii="Arial" w:cs="Arial" w:eastAsia="Arial" w:hAnsi="Arial"/>
          <w:sz w:val="18"/>
          <w:szCs w:val="18"/>
          <w:color w:val="auto"/>
        </w:rPr>
        <w:t>Our audio system offerings include both standard and custom options. Standard audio systems are designed to meet the needs of a wide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outdoor sports venues based on the size and configuration of the facility. Each of the standard outdoor systems includes control systems featuring digital signal processing for improved sound quality reproduction. Custom indoor and outdoor systems are also offered for larger venues and venues with unique seating configurations. Our sound systems are often integrated into an overall venue solution for scoring, timing, message display and/or video capability.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Digital Billboards. </w:t>
      </w:r>
      <w:r>
        <w:rPr>
          <w:rFonts w:ascii="Arial" w:cs="Arial" w:eastAsia="Arial" w:hAnsi="Arial"/>
          <w:sz w:val="18"/>
          <w:szCs w:val="18"/>
          <w:color w:val="auto"/>
        </w:rPr>
        <w:t>Our line of digital billboards offers a unique digital display solution for the outdoor advertising industry. The products, developed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our experience with other full-color LED display technologies, are used primarily to display static images which change at regular intervals. Digital billboard systems include many features unique to the outdoor advertising market, such as our patented mounting system, self-adjusting brightness, improved energy consumption and enhanced network security.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Visiconn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is the primary software application for controlling content and playback loops for digital billboard applications. The Visiconn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 management solution can transform any Internet-ready computer into a secure, global control center for multiple LED displays, flat panel monitors (such as LCDs) and other display technologies. A rights-based control environment allows users to grant advertisers access to powerful content management tools while also providing detailed ad tracking and proof-of-play reports. These features, combined with instant content deployment and the ability to sync with trusted real-time data providers, allow for incorporation of live information into any presentation.</w:t>
      </w:r>
    </w:p>
    <w:p>
      <w:pPr>
        <w:spacing w:after="0" w:line="195" w:lineRule="exact"/>
        <w:rPr>
          <w:sz w:val="20"/>
          <w:szCs w:val="20"/>
          <w:color w:val="auto"/>
        </w:rPr>
      </w:pPr>
    </w:p>
    <w:p>
      <w:pPr>
        <w:jc w:val="both"/>
        <w:spacing w:after="0" w:line="193"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Other product lines marketed primarily to Commercial customers include our DataTime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Fuelight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DataTime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consists of outdoor time and temperature displays which use a remote sensor for temperature data and are available in red or amber in various character sizes.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digit displays are specifically designed for the petroleum industry, offering high visibility and quick fuel price updates using the Fuelink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control software. The product easily retrofits into existing structures and is also available in single-face or double-face (on certain models) configurations.</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 xml:space="preserve">Automated Rigging and Hoist Products. </w:t>
      </w:r>
      <w:r>
        <w:rPr>
          <w:rFonts w:ascii="Arial" w:cs="Arial" w:eastAsia="Arial" w:hAnsi="Arial"/>
          <w:sz w:val="17"/>
          <w:szCs w:val="17"/>
          <w:color w:val="auto"/>
        </w:rPr>
        <w:t>The automated rigging and hoist product family includes our Vortek</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automated hoists which complement our arena</w:t>
      </w:r>
      <w:r>
        <w:rPr>
          <w:rFonts w:ascii="Arial" w:cs="Arial" w:eastAsia="Arial" w:hAnsi="Arial"/>
          <w:sz w:val="17"/>
          <w:szCs w:val="17"/>
          <w:i w:val="1"/>
          <w:iCs w:val="1"/>
          <w:color w:val="auto"/>
        </w:rPr>
        <w:t xml:space="preserve"> </w:t>
      </w:r>
      <w:r>
        <w:rPr>
          <w:rFonts w:ascii="Arial" w:cs="Arial" w:eastAsia="Arial" w:hAnsi="Arial"/>
          <w:sz w:val="17"/>
          <w:szCs w:val="17"/>
          <w:color w:val="auto"/>
        </w:rPr>
        <w:t>center-hung scoreboard/display systems for both small and large sporting facilities. The hoist is an important part of an integrated solution for indoor venues having center-hung, suspended displays. Many of these hoist systems are customized based on the weight and design of the equipment being suspended, along with the load capacity of the building structure and attachment points within the facility.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provide automated rigging for theatre applications, primarily in high schools and similar venues. The strengths of our automated rigging systems include safety and ease of operation. The theatre rigging control system includes intuitive touch screens and menus to control the integrated hoist systems. These features enhance safety and operation of a theatre production, which allows for timed and easy to control changes in scenery, lighting and sound.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outside the U.S. during fiscal years 2014, 2013 and 2012 were approximately 18 percent, 17 percent and 17 percent of our net sales, respectively. Since 2000, we have acquired or opened international offices in Canada, China, France, the United Arab Emirates, Germany, Australia, Japan, Brazil, Spain, Singapore, Macau, Hong Kong, Belgium and the United Kingdom.</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operations in countries outside the U.S. are accompanied by various risks, including financial risks. Relationships with customers and terms of sale vary by country, often with longer-term receivables than are typical in the U.S. However, we typically secure the receivables from outside the U.S. with a letter of credit, bank guarantee or partial payment in advance. Currency exchange rate fluctuations can affect net sales from, and the profitability of, operations outside the U.S. We attempt to hedge these exposures to reduce the effects of foreign currency fluctuations on net earnings. In addition, although we do not have the intention to do so, the repatriation of certain earnings of our foreign subsidiaries may result in substantial U.S. tax cost.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Consolidated Financial Statements for financial information pertaining to our business segments and geographic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Materials used in the production of our video display system are sourced from around the world. We source some of our materials, such as LEDs and power supplies, from a limited number of suppliers, primarily due to the proprietary nature of the material. The loss of one of these key suppliers or a flaw in the supplied material could have an adverse impact on our business and operations. However, our sourcing group works to implement strategies to mitigate the associated risks.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new products are developed, we may apply for patents to document our rights to the technology so other parties cannot later claim ownership (a defensive strategy) and to also allow us to pursue infringement claims against competitors for protection due to patent violations (an offensive strategy).</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on trademarks, in addition to patents, to help establish and preserve proprietary protection for our products. Our trademarks are registered in the United States and other countries. These trademarks are used to establish brand recognition and distinction in our various markets.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drawings, software, training and product manuals and other works of authorship are also subject to applicable copyright law protections. We provide software to our customers in object code to help preserve our intellectual property rights. We also rely on nondisclosure and license agreements with our employees to protect our intellectual property. Despite these intellectual property protections, there can be no assurance a competitor will not copy the functions or features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sales and profitability historically have fluctuated due to the seasonality of our business and variability due to the impact of large product orders, such as large commercial display systems and display systems for facilities where professional, major college, or international sports events take place. As a result of the seasonality of the business, primarily due to the sports market, net sales and net income tend to be lower in the third quarter of a fiscal year.</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seasonality of the sports business is caused by sales related to facilities for football, basketball and hockey in the summer and fall and for baseball in the early to late spring, leaving a slower time in the winter. This seasonal effect can be compounded by large product orders in the sports markets and by the effects of holidays during our third fiscal quarter. The effects of seasonality are generally not as great in our Commercial, International and Transportation business units, although the impact of large orders in those markets and the implications of weather during the winter months of the northern hemisphere can cause fluctuations in net sales and profits.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margins on large orders tend to fluctuate more than the gross margins on smaller orders. Large product orders with competitive bidding and substantial subcontract work for product installation generally have lower gross margins with greater variability in margins. Although we follow the percentage-of-completion method of recognizing revenues on the majority of these larger orders, we nevertheless have experienced fluctuations in operating results and expect our future results of operations will be subject to similar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Overall, changes in operating assets and liabilities impact the timing and levels of working capital. Generally, we contractually require down payments or progress payments on orders from our customers. Some of the inventory components have long-lead times and therefore, we stock inventory in preparation for anticipated projects. Large projects can cause significant fluctuations in the short term in inventory, accounts receivables, accounts payable, customer deposits, costs and earnings in excess of billings and various other operating assets and liabilities. Working capital balances are also impacted by the seasonality of the sports business.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these payments are not sufficient to fund the inventory and other costs associated with these orders, we use working capital and bank borrowings to finance these cash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markets we serve, along with primary types of customers, are as follows: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Markets</w:t>
            </w:r>
          </w:p>
        </w:tc>
        <w:tc>
          <w:tcPr>
            <w:tcW w:w="8760" w:type="dxa"/>
            <w:vAlign w:val="bottom"/>
            <w:gridSpan w:val="3"/>
          </w:tcPr>
          <w:p>
            <w:pPr>
              <w:ind w:left="380"/>
              <w:spacing w:after="0"/>
              <w:rPr>
                <w:sz w:val="20"/>
                <w:szCs w:val="20"/>
                <w:color w:val="auto"/>
              </w:rPr>
            </w:pPr>
            <w:r>
              <w:rPr>
                <w:rFonts w:ascii="Arial" w:cs="Arial" w:eastAsia="Arial" w:hAnsi="Arial"/>
                <w:sz w:val="18"/>
                <w:szCs w:val="18"/>
                <w:b w:val="1"/>
                <w:bCs w:val="1"/>
                <w:color w:val="auto"/>
              </w:rPr>
              <w:t>Types of Customers</w:t>
            </w:r>
          </w:p>
        </w:tc>
      </w:tr>
      <w:tr>
        <w:trPr>
          <w:trHeight w:val="20"/>
        </w:trPr>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7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Live Events</w:t>
            </w: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w w:val="90"/>
              </w:rPr>
              <w:t>Large colleges and universities, professional sports teams and facilities, national and international sports games and</w:t>
            </w:r>
          </w:p>
        </w:tc>
      </w:tr>
      <w:tr>
        <w:trPr>
          <w:trHeight w:val="230"/>
        </w:trPr>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w w:val="92"/>
              </w:rPr>
              <w:t>federations, civic arenas and convention centers, live entertainment venues, staging and rental, and motor racing.</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Schools and Theatres</w:t>
            </w: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w w:val="99"/>
              </w:rPr>
              <w:t>Elementary and secondary schools, small colleges and universities, local recreation centers and theatres.</w:t>
            </w:r>
          </w:p>
        </w:tc>
      </w:tr>
      <w:tr>
        <w:trPr>
          <w:trHeight w:val="25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w w:val="92"/>
              </w:rPr>
              <w:t>Retailers and outdoor advertisers, auto dealers, gaming facilities, petroleum retailers, restaurants and quick-serve</w:t>
            </w:r>
          </w:p>
        </w:tc>
      </w:tr>
      <w:tr>
        <w:trPr>
          <w:trHeight w:val="230"/>
        </w:trPr>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rPr>
              <w:t>restaurants, shopping centers, worship venues, and spectaculars.</w:t>
            </w:r>
          </w:p>
        </w:tc>
      </w:tr>
      <w:tr>
        <w:trPr>
          <w:trHeight w:val="25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w w:val="92"/>
              </w:rPr>
              <w:t>State and local departments of transportation, airlines, airports and related industries, parking facilities and transit</w:t>
            </w:r>
          </w:p>
        </w:tc>
      </w:tr>
      <w:tr>
        <w:trPr>
          <w:trHeight w:val="230"/>
        </w:trPr>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60" w:type="dxa"/>
            <w:vAlign w:val="bottom"/>
            <w:gridSpan w:val="3"/>
          </w:tcPr>
          <w:p>
            <w:pPr>
              <w:ind w:left="380"/>
              <w:spacing w:after="0"/>
              <w:rPr>
                <w:sz w:val="20"/>
                <w:szCs w:val="20"/>
                <w:color w:val="auto"/>
              </w:rPr>
            </w:pPr>
            <w:r>
              <w:rPr>
                <w:rFonts w:ascii="Arial" w:cs="Arial" w:eastAsia="Arial" w:hAnsi="Arial"/>
                <w:sz w:val="18"/>
                <w:szCs w:val="18"/>
                <w:color w:val="auto"/>
              </w:rPr>
              <w:t>authorities.</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large and diverse worldwide customer base and generally are not economically dependent on any single customer, however, there are important customers within each of our business units and the loss of one or more customers could have an adverse effect on us. Within our Commercial business unit, two major customers account for more than 50 percent of our digital billboard sales niche.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backlog consists of contractually obligating sales agreements or purchase orders we expect to fill within the next 24 months. Backlog was approximately $171.6 million as of April 26, 2014 and $141.3 million as of April 27, 2013. Because sales agreements and purchase orders may be subject to extended delivery schedules and have variable estimated profitability, our backlog is not necessarily indicative of future net sales or net income. Although orders for many of our products may be shipped within 90 days, other orders may take longer depending on the customer’s project schedule or other factors. Contracts related to new construction projects generally tend to have the longest lead times from contract signing to product delivery.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and other countries, various laws and regulations, including zoning ordinances, restrict the installation of outdoor signs and displays, particularly in the commercial market. These laws and regulations impose greater restrictions on electronic displays versus non-electronic displays such as traditional billboards due to alleged concerns over aesthetics or driver safety if a display is located near a road or highway. These factors may prevent or inhibit us from selling products to some prospective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ectPr>
          <w:pgSz w:w="11900" w:h="16838" w:orient="portrait"/>
          <w:cols w:equalWidth="0" w:num="1">
            <w:col w:w="11420"/>
          </w:cols>
          <w:pgMar w:left="240" w:top="122" w:right="239" w:bottom="1440" w:gutter="0" w:footer="0" w:header="0"/>
        </w:sectPr>
      </w:pP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operations use certain chemical products and chemical processes manufacturing operations must also meet numerous safety related rules and regulations. governmental laws and regulations.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firstLine="11"/>
        <w:spacing w:after="0" w:line="308" w:lineRule="auto"/>
        <w:rPr>
          <w:sz w:val="20"/>
          <w:szCs w:val="20"/>
          <w:color w:val="auto"/>
        </w:rPr>
      </w:pPr>
      <w:r>
        <w:rPr>
          <w:rFonts w:ascii="Arial" w:cs="Arial" w:eastAsia="Arial" w:hAnsi="Arial"/>
          <w:sz w:val="17"/>
          <w:szCs w:val="17"/>
          <w:color w:val="auto"/>
        </w:rPr>
        <w:t>subject to various environmental rules and regulations. Our We believe we are in material compliance with these applicable</w:t>
      </w:r>
    </w:p>
    <w:p>
      <w:pPr>
        <w:spacing w:after="0" w:line="362" w:lineRule="exact"/>
        <w:rPr>
          <w:sz w:val="20"/>
          <w:szCs w:val="20"/>
          <w:color w:val="auto"/>
        </w:rPr>
      </w:pPr>
    </w:p>
    <w:p>
      <w:pPr>
        <w:sectPr>
          <w:pgSz w:w="11900" w:h="16838" w:orient="portrait"/>
          <w:cols w:equalWidth="0" w:num="2">
            <w:col w:w="6580" w:space="80"/>
            <w:col w:w="4760"/>
          </w:cols>
          <w:pgMar w:left="240" w:top="122"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Our supply chain and sales distribution channels subject us to various trade compliance regulations. We believe we are in material compliance with these applicable governmental law and regulations.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United States and other countries, various laws and regulations require us to evaluate our supply chain for the origins of certain material. We are currently evaluating our supply chain for those materials.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some countries in which we operate, such as China, there are various laws and regulations which may affect our operations. These include restrictions or limitations on our ability to withdraw our capital investment, underdeveloped legal frameworks to enforce our rights, including payment collections, and different levels of enforcement and consistency of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electronic display industry is highly fragmented. Intense competition in the industry comes from a variety of sources. Our video systems, especially those systems comprised of many displays networked together, are highly complex and visible and thus require a high standard of performance difficult for other industry participants to achieve and maintain over the long-term.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 units tends to have a different set of competitors. Some competitors compete only in our transportation business and some primarily compete in the high school market, for example. Video display competitors compete for our live events, international, and commercial video business. Asian-based competitors continue to expand their presence beyond Asia to compete more directly with us in all product areas. These competitors generally offer products and solutions at a lower price.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a large screen electronic display is often part of our customer's advertising budget, we may also compete with other forms of advertising, such as on-line advertising, television, print media or static display signs.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generally more competitors in product categories and applications requiring less complicated display systems, such as the high school scoreboard market, the text and graphics display market and the market for less customized video displays. As the needs of customers increase and the display systems become more complex, there are generally fewer competitors. However, due to the high profile nature of larger complex display systems, the competition is intense on those projects.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we generally compete based on our broad range of high-quality products and features, prompt and reliable delivery, our technical contracting expertise, our local presence, and our depth of complementary services.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cost-effective solutions to their display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engineering and product development capability and experience are a very important factor to continue to develop the most up-to-date digital displays and control system solutions desired by the market. Product development expenses for fiscal years 2014, 2013 and 2012 were $23.4 million, $23.1 million and $23.5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products and production processes require the storage, use and disposal of a variety of chemicals considered hazardous under applicable federal and state laws. Accordingly, we are subject to a variety of regulatory requirements for the handling and disposal of such materials. We do not anticipate any material effect on our capital expenditures, earnings or competitive position due to compliance with government regulations involving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26, 2014, we employed approximately 2,280 full-time employees and approximately 390 part-time and temporary employees. Of these employees, approximately 980 were in manufacturing, 560 were in sales and marketing, 510 were in customer service, 380 were in engineering and 240 were in general and administrative.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website (http://investor.daktronics.com), our annual, quarterly and current reports and any amendments to those reports as soon as reasonably practicable after we electronically file such reports with the Securities and Exchange Commission (“SEC”). The reports are also available through a link to the SEC website at http://www.sec.gov. Information contained on our website or linked through it is not part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We engage in a highly competitive business. If we are unable to compete effectively, we could lose market share, and our results of operations could be negatively impacted. </w:t>
      </w:r>
      <w:r>
        <w:rPr>
          <w:rFonts w:ascii="Arial" w:cs="Arial" w:eastAsia="Arial" w:hAnsi="Arial"/>
          <w:sz w:val="17"/>
          <w:szCs w:val="17"/>
          <w:color w:val="auto"/>
        </w:rPr>
        <w:t>We operate in highly competitive markets, some of which are highly fragmented. We also compete against products produced in Asia</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parts of the world, including the U.S., which in some cases are of lower quality or performance and lower cost. In addition, because a customer’s budget for the purchase of an electronic display is often part of their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our existing products and services to meet those needs, but also continue to price our products competitively. Our competitors may develop cheaper, more efficient products, or they may be willing to charge lower prices for strategic marketing or to increase market share. Some competitors have more capital and other resources and may be better able to take advantage of acquisition opportunities or adapt more quickly to changes in customer requirements, which could negatively affect our ability to compete effectively.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Our results of operations can be substantially affected by whether we are awarded large contracts and the size and timing of large contracts. </w:t>
      </w:r>
      <w:r>
        <w:rPr>
          <w:rFonts w:ascii="Arial" w:cs="Arial" w:eastAsia="Arial" w:hAnsi="Arial"/>
          <w:sz w:val="18"/>
          <w:szCs w:val="18"/>
          <w:color w:val="auto"/>
        </w:rPr>
        <w:t>The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orders and net sales and our financial results will be substantially affected by whether we are awarded large contracts, primarily in the professional and major college sports facilities market, the outdoor advertising niche and for large spectaculars around the world and the amounts and timing of these contracts. When awarded large contracts, the timing and amount could cause material fluctuations in our net sales and earnings. Awards of large contracts and their timing and amount are difficult to predict and are outside of our control.</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Our products are covered by warranties, and fulfilling these warranties could adversely affect our financial results. </w:t>
      </w:r>
      <w:r>
        <w:rPr>
          <w:rFonts w:ascii="Arial" w:cs="Arial" w:eastAsia="Arial" w:hAnsi="Arial"/>
          <w:sz w:val="17"/>
          <w:szCs w:val="17"/>
          <w:color w:val="auto"/>
        </w:rPr>
        <w:t>Unanticipated warranty and other costs</w:t>
      </w:r>
      <w:r>
        <w:rPr>
          <w:rFonts w:ascii="Arial" w:cs="Arial" w:eastAsia="Arial" w:hAnsi="Arial"/>
          <w:sz w:val="17"/>
          <w:szCs w:val="17"/>
          <w:i w:val="1"/>
          <w:iCs w:val="1"/>
          <w:color w:val="auto"/>
        </w:rPr>
        <w:t xml:space="preserve"> </w:t>
      </w:r>
      <w:r>
        <w:rPr>
          <w:rFonts w:ascii="Arial" w:cs="Arial" w:eastAsia="Arial" w:hAnsi="Arial"/>
          <w:sz w:val="17"/>
          <w:szCs w:val="17"/>
          <w:color w:val="auto"/>
        </w:rPr>
        <w:t>for defective products could adversely affect our financial condition and results of operations and reputation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provide warranties on our products generally for terms of five years or less.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Our quarterly operating results may vary significantly, which could have a material effect on the price of our common stock. </w:t>
      </w:r>
      <w:r>
        <w:rPr>
          <w:rFonts w:ascii="Arial" w:cs="Arial" w:eastAsia="Arial" w:hAnsi="Arial"/>
          <w:sz w:val="16"/>
          <w:szCs w:val="16"/>
          <w:color w:val="auto"/>
        </w:rPr>
        <w:t>Our quarterly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have varied in the past and are likely to vary in the future. Contracts we enter into generally stipulate customer-specific delivery terms and may have contract cycles of a year or more, which subjects the timing of revenue recognition to many factors beyond our control. In addition, the timing and size of large contract orders and delivery may not be predictable or repeatable. Furthermore, because significant portions of our operating costs are fixed, an unanticipated delay or cancellation of orders in backlog may have a significant negative impact on our quarterly operating results. Factors causing our operating results to vary may include new product introductions, variations in product and project mix and delivery due date changes. Therefore, quarterly operating results may be subject to significant variations, and operating results in one quarter may not be indicative of future operating results.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enter into fixed-priced contracts on a regular basis, which could reduce our profits. </w:t>
      </w:r>
      <w:r>
        <w:rPr>
          <w:rFonts w:ascii="Arial" w:cs="Arial" w:eastAsia="Arial" w:hAnsi="Arial"/>
          <w:sz w:val="16"/>
          <w:szCs w:val="16"/>
          <w:color w:val="auto"/>
        </w:rPr>
        <w:t>The majority of contracts we enter into are to sell our products are on</w:t>
      </w:r>
      <w:r>
        <w:rPr>
          <w:rFonts w:ascii="Arial" w:cs="Arial" w:eastAsia="Arial" w:hAnsi="Arial"/>
          <w:sz w:val="16"/>
          <w:szCs w:val="16"/>
          <w:i w:val="1"/>
          <w:iCs w:val="1"/>
          <w:color w:val="auto"/>
        </w:rPr>
        <w:t xml:space="preserve"> </w:t>
      </w:r>
      <w:r>
        <w:rPr>
          <w:rFonts w:ascii="Arial" w:cs="Arial" w:eastAsia="Arial" w:hAnsi="Arial"/>
          <w:sz w:val="16"/>
          <w:szCs w:val="16"/>
          <w:color w:val="auto"/>
        </w:rPr>
        <w:t>a fixed-price basis. If our actual costs exceed original estimates on fixed-price contracts, our profits will be reduced.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delay in performing their obligations. These factors could delay delivery of products, and contracts may provide for liquidated damages for late delivery. Unanticipated costs unable to be passed on to customers or the payment of liquidated damages under fixed contracts would negatively impact our profits.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Backlog may not be indicative of future revenue or profitability. </w:t>
      </w:r>
      <w:r>
        <w:rPr>
          <w:rFonts w:ascii="Arial" w:cs="Arial" w:eastAsia="Arial" w:hAnsi="Arial"/>
          <w:sz w:val="18"/>
          <w:szCs w:val="18"/>
          <w:color w:val="auto"/>
        </w:rPr>
        <w:t>Customers may cancel or delay projects for reasons beyond our control. Orders normally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cancellation provisions to permit our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In addition, as a result of delays, revenue recognition occurs over longer periods of time and is subject to unanticipated delays and cost changes. If we receive relatively large orders in any given quarter, fluctuations in the levels of the quarterly backlog can result because the backlog may reach levels which may not be sustained in subsequent quarters. For these reasons, backlog may not be indicative of future revenues.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Large contracts with significant customers represent a significant portion of our accounts receivable and costs and estimated earnings in excess of billings. </w:t>
      </w:r>
      <w:r>
        <w:rPr>
          <w:rFonts w:ascii="Arial" w:cs="Arial" w:eastAsia="Arial" w:hAnsi="Arial"/>
          <w:sz w:val="18"/>
          <w:szCs w:val="18"/>
          <w:color w:val="auto"/>
        </w:rPr>
        <w:t>We closely monitor the credit worthiness of our customers and have not, to date, experienced significant credit losses. Significant portions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resulting in credit losses could have a material adverse impact on our operating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Price fluctuations in and shortage of raw materials and components could adversely affect our operating margin. </w:t>
      </w:r>
      <w:r>
        <w:rPr>
          <w:rFonts w:ascii="Arial" w:cs="Arial" w:eastAsia="Arial" w:hAnsi="Arial"/>
          <w:sz w:val="18"/>
          <w:szCs w:val="18"/>
          <w:color w:val="auto"/>
        </w:rPr>
        <w:t>We purchase large quantities of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components including, but not limited to, aluminum, LEDs, power supplies, circuit boards and various other electronic components. Materials comprise the largest component of our cost of goods sold. Any interruption in the supply of or increase in the cost of the raw materials or components could have a material adverse effect on our business, operating results and financial condition. Although we are sometimes able to pass such price increases to our customers, our success in offsetting higher raw material and component costs with price increases is largely influenced by competitive and economic conditions and could vary significantly depending on the market served. As of the date of this Report, there were no material parts shortages in the marketplace impacting our business.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depend on single-source suppliers for some of the raw materials used in the manufacture of our products. </w:t>
      </w:r>
      <w:r>
        <w:rPr>
          <w:rFonts w:ascii="Arial" w:cs="Arial" w:eastAsia="Arial" w:hAnsi="Arial"/>
          <w:sz w:val="16"/>
          <w:szCs w:val="16"/>
          <w:color w:val="auto"/>
        </w:rPr>
        <w:t>We obtain some of our raw materials,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LEDs, power supplies, circuit boards and plastics, from one or a limited number of suppliers. If we cannot obtain key raw materials from our suppliers, the raw materials may not be readily available from other suppliers, other suppliers may not agree to supply the materials to us on terms as favorable as the terms we currently receive, or the raw materials from any other suppliers may not be of adequate and consistent quality. Although we believe our supply of raw materials currently is adequate for the needs of our business, we cannot assure that new sources of supply will be available when needed. Any interruption in our supply of raw materials could have a material adverse effect on our ability to manufacture our products until a new source of supply is located and, therefore, could have a material adverse effect on our business, financial condition or results of operations.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Our business may suffer if we are not successful in our efforts to keep up with a rapidly changing product market. </w:t>
      </w:r>
      <w:r>
        <w:rPr>
          <w:rFonts w:ascii="Arial" w:cs="Arial" w:eastAsia="Arial" w:hAnsi="Arial"/>
          <w:sz w:val="17"/>
          <w:szCs w:val="17"/>
          <w:color w:val="auto"/>
        </w:rPr>
        <w:t>The electronic display industry is</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ongoing product improvement, innovations and developments in display and controller technology. Competitors could develop new or superior products to increase their share of our markets. Our future success in addressing the needs of our customers will depend in part on our ability to continue to understand their needs and to make timely and cost-effective product improvements, innovations and developments.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Our international operations are exposed to additional risk and uncertainties, including unfavorable political developments, weak foreign economies, and compliance with foreign governmental requirements, which may impact our results of operations. </w:t>
      </w:r>
      <w:r>
        <w:rPr>
          <w:rFonts w:ascii="Arial" w:cs="Arial" w:eastAsia="Arial" w:hAnsi="Arial"/>
          <w:sz w:val="16"/>
          <w:szCs w:val="16"/>
          <w:color w:val="auto"/>
        </w:rPr>
        <w:t>For fiscal years 2014, 2013 and 2012, revenue outside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represented approximately 18 percent, 17 percent and 17 percent of our consolidated net sales, respectively. Our operations and earnings throughout the world have been and may in the future be adversely affected by changes in trade, monetary and fiscal policies, laws and regulations, or other activities of U.S. and non-U.S. governments, agencies, and similar organizations. These conditions include, but are not limited to, changes in a country's or region's economic or political conditions; trade regulations affecting production, pricing and marketing of products; local labor conditions and regulations; reduced protection of intellectual property rights in some countries; changes in the regulatory or legal environment; restrictions on currency exchange activities; and burdensome taxes and tariffs and other trade barriers. International risks and uncertainties also include changing social and economic conditions, terrorism, political hostilities and war, difficultly in enforcing agreements or collecting receivables and increased transportation and other shipping costs.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We may fail to continue to attract, develop and retain key management and other key employees, which could negatively impact our operating results.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depend on the performance of our senior management team and other key employees, including experienced and skilled technical personnel. The loss of certain members of our senior management, including our Chief Executive Officer, could negatively impact our operating results and ability to execute our business strategy. Our future success will also depend in part upon our ability to attract, train, motivate and retain qualified personnel.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We may not be able to utilize our capacity efficiently or accurately plan our capacity requirements, which may negatively affect our business and operating results. </w:t>
      </w:r>
      <w:r>
        <w:rPr>
          <w:rFonts w:ascii="Arial" w:cs="Arial" w:eastAsia="Arial" w:hAnsi="Arial"/>
          <w:sz w:val="17"/>
          <w:szCs w:val="17"/>
          <w:color w:val="auto"/>
        </w:rPr>
        <w:t>We increase our production capacity and the overhead supporting production based on anticipated market demand. Market demand, however, has not</w:t>
      </w:r>
      <w:r>
        <w:rPr>
          <w:rFonts w:ascii="Arial" w:cs="Arial" w:eastAsia="Arial" w:hAnsi="Arial"/>
          <w:sz w:val="17"/>
          <w:szCs w:val="17"/>
          <w:i w:val="1"/>
          <w:iCs w:val="1"/>
          <w:color w:val="auto"/>
        </w:rPr>
        <w:t xml:space="preserve"> </w:t>
      </w:r>
      <w:r>
        <w:rPr>
          <w:rFonts w:ascii="Arial" w:cs="Arial" w:eastAsia="Arial" w:hAnsi="Arial"/>
          <w:sz w:val="17"/>
          <w:szCs w:val="17"/>
          <w:color w:val="auto"/>
        </w:rPr>
        <w:t>always developed as expected or remained at a consistent level. The potential underutilization risk can decrease our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accurate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demand for and mix of products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 requiring major financial commitments well in advance of actual production requirements.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future deterioration of our business could result in the underutilization of our manufacturing capacity, resulting in an impairment of certain assets. Our inability to plan our capacity requirements accurately and efficiently utilize our production capacity, or our failure to put in place the technologies and capacity necessary to meet market demand, could adversely affect our business, financial condition or results of operations.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Regulations related to the use of conflict-free minerals may increase our costs and cause us to incur additional expenses. </w:t>
      </w:r>
      <w:r>
        <w:rPr>
          <w:rFonts w:ascii="Arial" w:cs="Arial" w:eastAsia="Arial" w:hAnsi="Arial"/>
          <w:sz w:val="17"/>
          <w:szCs w:val="17"/>
          <w:color w:val="auto"/>
        </w:rPr>
        <w:t>The Dodd-Frank Wall Street Reform</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Consumer Protection Act contains provisions to improve the transparency and accountability of the use by public companies in their products of minerals originating from the conflict zones of the Democratic Republic of Congo (DRC) and adjoining countries and to prevent the sourcing of such “conflict” minerals. As a result, the SEC enacted annual disclosure and reporting requirements for public companies that use these minerals in their products, which apply to us. Under the final rules, which first apply to public companies for the 2013 calendar year, we are required to conduct due diligence to determine the source of any conflict minerals used in our products. Because our supply chain is broad-based and complex, we may not be able to verify the origins for all minerals used in our products. We may face reputational challenges with our customers and other stakeholders if we are unable to sufficiently verify the origins of all minerals used in our products through the due diligence procedures we are implementing. In addition, the rules could reduce the number of suppliers who provide components and products containing conflict-free minerals and thus could increase the cost of the components used in manufacturing our products and the costs of our products to us. Any increased costs and expenses could have a material adverse impact on our financial condition and results of operations.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Our actual results could differ from the estimates and assumptions used to prepare our financial statements. </w:t>
      </w:r>
      <w:r>
        <w:rPr>
          <w:rFonts w:ascii="Arial" w:cs="Arial" w:eastAsia="Arial" w:hAnsi="Arial"/>
          <w:sz w:val="17"/>
          <w:szCs w:val="17"/>
          <w:color w:val="auto"/>
        </w:rPr>
        <w:t>In preparing our financial statements,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required under U.S. generally accepted accounting principles ("GAAP") to make estimates and assumptions as of the dates of the financial statements. These estimates and assumptions affect the reported values of assets, liabilities, revenue, and expenses and disclosure of contingent assets and liabilities. Areas requiring significant estimates by our management include the recognition of contract revenue, costs, profit or losses in applying the principles of percentage of completion; estimated amounts for warranty costs, collectability of billed and unbilled accounts receivable and the amount of any allowance for doubtful accounts; the amount of estimated liabilities; the valuation of assets acquired plus liabilities, goodwill, and intangible assets assumed in acquisitions; and the valuation of stock-based compensation. Our actual results could differ from our estimates of such results, which could have a material negative impact on our financial condition and results of operation.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If our internal control over financial reporting is found to be inadequate, our financial results may not be accurate, raising concerns for investors and potentially adversely affecting our stock price. </w:t>
      </w:r>
      <w:r>
        <w:rPr>
          <w:rFonts w:ascii="Arial" w:cs="Arial" w:eastAsia="Arial" w:hAnsi="Arial"/>
          <w:sz w:val="17"/>
          <w:szCs w:val="17"/>
          <w:color w:val="auto"/>
        </w:rPr>
        <w:t>Under Section 404 of the Sarbanes-Oxley Act of 2002, we are required to evaluate and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our internal controls over financial reporting. We have dedicated a significant amount of time and resources to ensure compliance with this legislation for the fiscal years ended April 26, 2014, April 27, 2013 and April 28, 2012 and will continue to do so for future periods.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therefore adversely affect our stock price.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Our future results may be affected by legal compliance risks related to the U.S. Foreign Corrupt Practices Act and other anti-bribery and anti-corruption laws for the countries in which we operate. </w:t>
      </w:r>
      <w:r>
        <w:rPr>
          <w:rFonts w:ascii="Arial" w:cs="Arial" w:eastAsia="Arial" w:hAnsi="Arial"/>
          <w:sz w:val="17"/>
          <w:szCs w:val="17"/>
          <w:color w:val="auto"/>
        </w:rPr>
        <w:t>We are required to comply with the United States Foreign Corrupt Practices Act, which prohibits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from engaging in bribery or making other prohibited payments to foreign officials for the purpose of obtaining or retaining business. It also requires us to maintain specific record-keeping standards and adequate internal accounting controls. Foreign companies, including some of our competitors, are not subject to these prohibitions and requirements. Corruption, extortion, bribery, pay-offs, theft and other fraudulent practices occur from time to time in many jurisdictions, including the Middle East and the People's Republic of China ("China"). If our competitors engage in these practices, they may receive preferential treatment from companies or governmental agencies, resulting in a competitive advantage for securing business from these companies or government officials who might give them priority in obtaining new licenses or permits, which would put us at a disadvantage. In addition, although we inform our personnel through training sessions, policies and other means that such practices are illegal, we cannot assure our employees or agents will not engage in such conduct for which we may be held responsible even if we are not aware of such conduct. If our employees or agents are found to have engaged in such practices, we could suffer severe fines and penalties.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liability claims not covered by insurance could adversely affect our financial condition and results of operations. </w:t>
      </w:r>
      <w:r>
        <w:rPr>
          <w:rFonts w:ascii="Arial" w:cs="Arial" w:eastAsia="Arial" w:hAnsi="Arial"/>
          <w:sz w:val="18"/>
          <w:szCs w:val="18"/>
          <w:color w:val="auto"/>
        </w:rPr>
        <w:t>We may be subject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involving claims of personal injury or property damage. Although we maintain product liability insurance coverage to protect us in the event of such a claim, our coverage may be inadequate to cover litigation and/or the potential award. Also, a well-publicized actual or perceived problem could adversely affect our reputation and reduce the demand for our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Our operations in China subject us to risks and uncertainties relating to China's laws and regulations. </w:t>
      </w:r>
      <w:r>
        <w:rPr>
          <w:rFonts w:ascii="Arial" w:cs="Arial" w:eastAsia="Arial" w:hAnsi="Arial"/>
          <w:sz w:val="17"/>
          <w:szCs w:val="17"/>
          <w:color w:val="auto"/>
        </w:rPr>
        <w:t>We have offices and manufacturing facilities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make sales to customers in China which encompass many different activities. Under its current leadership, the government of China has been pursuing economic reform policies, including encouraging foreign trade and investment and greater economic decentralization. However, the government of China may not continue to pursue such policies or may reverse or otherwise change such policies. Despite progress in developing its legal system, China does not have a comprehensive and highly developed system of laws, particularly with respect to foreign investment activities and foreign trade. Enforcement of existing and future laws and contracts is uncertain, and the implementation and interpretation of them may be inconsistent. As the Chinese legal system develops, the promulgation of new laws, changes to existing laws and the preemption of local regulations by national laws may adversely affect foreign investors and foreign companies with operations in China, such as ours. In addition, some government policies and rules are not published or communicated in local districts in a timely manner, if at all. If they are published, they may not be followed consistently by local districts. As a result, we may inadvertently operate our business in violation of new rules and policies without having any knowledge of their existence. These uncertainties could limit the legal protections available to us. Any litigation or other proceeding in China may be protracted and result in substantial costs and diversion of resources and management attention. Furthermore, a significant portion of our business in China involves contracts with government bodies, which can significantly inhibit our ability to enforce a contract through litigation or similar means.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Circumstances could arise in which our goodwill and intangible assets could become impaired, causing us to recognize substantial non-cash impairment charges, which would adversely affect our financial results. </w:t>
      </w:r>
      <w:r>
        <w:rPr>
          <w:rFonts w:ascii="Arial" w:cs="Arial" w:eastAsia="Arial" w:hAnsi="Arial"/>
          <w:sz w:val="17"/>
          <w:szCs w:val="17"/>
          <w:color w:val="auto"/>
        </w:rPr>
        <w:t>We have pursued and will continue to seek potential acquisitions to complement and expand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businesses, increase our revenues and profitability, and expand our markets. As a result of prior acquisitions, we have goodwill and intangible assets recorded on our balance sheet as described in the notes to the consolidated financial statements contained elsewhere in this Report. We will continue to evaluate the recoverability of the carrying amount of our goodwill and intangible assets on an ongoing basis, and we may incur substantial non-cash impairment charges, which would adversely affect our financial results. There can be no assurance the outcome of such reviews in the future will not result in substantial impairment charges. Impairment assessment inherently involves judgment as to assumptions about expected future cash flows and the impact of market conditions on those assumptions. Future events and changing market conditions may impact our assumptions as to prices, costs, holding periods or other factors, resulting in changes in our estimates of future cash flows. Although we believe the assumptions we used in testing for impairment are reasonable, significant changes in any one of our assumptions could produce a significantly different result. A decline in our market capitalization or in our estimated forecasted discounted cash flows could also result in an impairment of our goodwill and intangible assets. A non-cash impairment charge could materially and adversely affect the net income for the reporting period in which it is recorded.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The terms and conditions of our credit facility impose restrictions on our operations, and if we default on our credit facility, it could have a material adverse effect on our results of operations and financial condition. </w:t>
      </w:r>
      <w:r>
        <w:rPr>
          <w:rFonts w:ascii="Arial" w:cs="Arial" w:eastAsia="Arial" w:hAnsi="Arial"/>
          <w:sz w:val="16"/>
          <w:szCs w:val="16"/>
          <w:color w:val="auto"/>
        </w:rPr>
        <w:t>The terms and conditions of our credit facilities impose restrictions limiting,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incur debt, merge, sell assets, make distributions (including cash dividends) and create or incur liens. The availability of credit facilities is also subject to certain covenants as explained in “Item 7 – Management’s Discussion and Analysis of Financial Condition and Results of Operations.” Our ability to comply with the covenants may be affected by events beyond our control, and we cannot assure we will achieve operating results and maintain a financial position meeting the requirements of the credit facility. A breach of any of these covenants could result in a default under the facilities. In the event of a default, the bank could elect to declare any outstanding principal amount of the credit facilities and term debt, any and all accrued interest thereon and any or all other amounts payable under the credit facilities to be immediately due and payable, which would have an adverse effect on our results of operations and financial condition. As of April 26, 2014, we were in compliance with all financial and other covenants of our credit facilities.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Maintaining adequate bonding and letter of credit capacity is necessary for us to successfully bid on and win some contracts. </w:t>
      </w:r>
      <w:r>
        <w:rPr>
          <w:rFonts w:ascii="Arial" w:cs="Arial" w:eastAsia="Arial" w:hAnsi="Arial"/>
          <w:sz w:val="17"/>
          <w:szCs w:val="17"/>
          <w:color w:val="auto"/>
        </w:rPr>
        <w:t>In line with industry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often required to provide performance or payment bonds to our customers. These bonds indemnify the customer should we fail to perform our obligations under the contract. If a bond is required for a particular project, and we are unable to obtain an appropriate bond, we cannot pursue that project. Historically, we have had adequate bonding and letter of credit capacity; however, as is typically the case, the issuance of a bond is at the surety's sole discretion and the issuance of the letter of credit is based on the company's credit worthiness. Our failure to provide bonds at all or on a timely basis could negatively affect our ability to procure projects and our business, financial condition and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Prevailing economic, financial and business conditions and other factors could impair our ability to operate our business, satisfy our debt obligations, and impact our customers' and vendors' business. </w:t>
      </w:r>
      <w:r>
        <w:rPr>
          <w:rFonts w:ascii="Arial" w:cs="Arial" w:eastAsia="Arial" w:hAnsi="Arial"/>
          <w:sz w:val="18"/>
          <w:szCs w:val="18"/>
          <w:color w:val="auto"/>
        </w:rPr>
        <w:t>It is anticipated that borrowings from our existing credit facilities and cash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provide sufficient funds to finance our capital expenditures, working capital and otherwise meet operating expenses and debt service requirements as they become due. However, if additional capital is required, there can be no assurance we will be able to obtain such capital when needed or on satisfactory terms, if at all. In addition, market conditions can negatively impact our clients' ability to fund their projects and can impact our vendors, suppliers, and subcontractors and may not allow them to perform their obligations to us, potentially adversely impacting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 may make future acquisitions, which may be difficult to integrate, divert management resources, result in unanticipated costs or dilute our shareholders. </w:t>
      </w:r>
      <w:r>
        <w:rPr>
          <w:rFonts w:ascii="Arial" w:cs="Arial" w:eastAsia="Arial" w:hAnsi="Arial"/>
          <w:sz w:val="18"/>
          <w:szCs w:val="18"/>
          <w:color w:val="auto"/>
        </w:rPr>
        <w:t>Part of our business strategy is to acquire or invest in companies, businesses, products or technologies complementing our current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our market coverage or technical capabilities, or offering growth opportunities. Additional risks potentially associated with acquisitions include the following:</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integrating the purchased company, products, businesses or technologies into our own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Incurring substantial unanticipated integration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 time-consuming and costly to integrate management information and accounting systems of an acquired business into our current systems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Assimilating the acquired businesses may divert management attention and financial resources from our other operations, disrupting our ongoing business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markets in which we have limited prior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employees, particularly those of the acquired entity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or developing the acquired businesses’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Adversely affect our existing business relationships with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analyze our return on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indemnify assumed liabilities for infringement of intellectual property rights or other claims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these acquisitions or investments, we could incur debt, recognize amortization expenses related to intangible assets, recognize large and immediate write-offs, assume liabilities or issue stock diluting our current shareholders’ percentage of ownership. We may not be able to complete acquisitions or integrate the operations, products or personnel gained through any such acquisition without a material adverse effect on our business, financial condition or results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We maintain inventory subject to obsolescence and write downs to the extent it is replaced through product enhancements or advances in technology. </w:t>
      </w:r>
      <w:r>
        <w:rPr>
          <w:rFonts w:ascii="Arial" w:cs="Arial" w:eastAsia="Arial" w:hAnsi="Arial"/>
          <w:sz w:val="18"/>
          <w:szCs w:val="18"/>
          <w:color w:val="auto"/>
        </w:rPr>
        <w:t>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our products being subject to continuous enhancements and design changes, inventory held by us is subject to the risk of obsolescence, and excess levels may not be salable. Losses incurred as a result could have an adverse impact on our future profits.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We may be unable to protect our intellectual property rights effectively, or may infringe upon the intellectual property of others. </w:t>
      </w:r>
      <w:r>
        <w:rPr>
          <w:rFonts w:ascii="Arial" w:cs="Arial" w:eastAsia="Arial" w:hAnsi="Arial"/>
          <w:sz w:val="17"/>
          <w:szCs w:val="17"/>
          <w:color w:val="auto"/>
        </w:rPr>
        <w:t>We rely on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rights we use in our products and services. We may not be able to successfully preserve our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of the intellectual property rights of others could result in litigation and adversely affect our ability to continue to provide, or could increase the cost of providing, products and services.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Intellectual property litigation is very costly and could result in substantial expense and diversions of our resources, whether or not we prevail, both of which could adversely affect our business, financial condition or results of operations. In addition, there may be no effective legal recourse against infringement of our intellectual property by third parties, whether due to limitations on enforcement of rights in foreign jurisdictions or as a result of other factors.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 outcome of pending and future claims and litigation can have a material adverse impact on our business, financial condition, and results of operations. </w:t>
      </w:r>
      <w:r>
        <w:rPr>
          <w:rFonts w:ascii="Arial" w:cs="Arial" w:eastAsia="Arial" w:hAnsi="Arial"/>
          <w:sz w:val="18"/>
          <w:szCs w:val="18"/>
          <w:color w:val="auto"/>
        </w:rPr>
        <w:t>We can be a party to litigation in the normal course of business. Litigation and regulatory proceedings are subject to inherent uncertainties, and unfavorable rulings can and do occur. Pending or future claims against us could result in professional liability, product liability, criminal liability, warranty obligations or other liabilities to the extent we are not insured against a loss or our insurance fails to provide adequate coverage and could have a material adverse impact on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Our manufacturing would be interrupted if we were unable to use our manufacturing facilities. </w:t>
      </w:r>
      <w:r>
        <w:rPr>
          <w:rFonts w:ascii="Arial" w:cs="Arial" w:eastAsia="Arial" w:hAnsi="Arial"/>
          <w:sz w:val="18"/>
          <w:szCs w:val="18"/>
          <w:color w:val="auto"/>
        </w:rPr>
        <w:t>We manufacture most of our products in two locations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 Dakota and one in Minnesota. In addition, we manufacture certain products in our China and Belgium facilities. If any of these facilities, or a part thereof, were to be destroyed, shut down or unable to be used for its intended purposes, we would be limited in our capacity to meet customer demands until a replacement facility and equipment, if necessary, was found. The replacement of the manufacturing facility could take an extended amount of time before manufacturing operations could restart. The delay engendered by, and the potential cost incurred in these steps could have a material adverse effect on our business, financial condition or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Our data systems could fail or their security could be compromised. </w:t>
      </w:r>
      <w:r>
        <w:rPr>
          <w:rFonts w:ascii="Arial" w:cs="Arial" w:eastAsia="Arial" w:hAnsi="Arial"/>
          <w:sz w:val="18"/>
          <w:szCs w:val="18"/>
          <w:color w:val="auto"/>
        </w:rPr>
        <w:t>Our business operations depend on the reliability of sophisticated data systems. Any</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of these systems, or any breach of our systems’ security measures, could adversely affect our operations, at least until our data can be restored and/or the breaches remediated.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Our common stock has at times been thinly traded, which may result in low liquidity and price volatility. </w:t>
      </w:r>
      <w:r>
        <w:rPr>
          <w:rFonts w:ascii="Arial" w:cs="Arial" w:eastAsia="Arial" w:hAnsi="Arial"/>
          <w:sz w:val="17"/>
          <w:szCs w:val="17"/>
          <w:color w:val="auto"/>
        </w:rPr>
        <w:t>The daily trading volume of our common stock has</w:t>
      </w:r>
      <w:r>
        <w:rPr>
          <w:rFonts w:ascii="Arial" w:cs="Arial" w:eastAsia="Arial" w:hAnsi="Arial"/>
          <w:sz w:val="17"/>
          <w:szCs w:val="17"/>
          <w:i w:val="1"/>
          <w:iCs w:val="1"/>
          <w:color w:val="auto"/>
        </w:rPr>
        <w:t xml:space="preserve"> </w:t>
      </w:r>
      <w:r>
        <w:rPr>
          <w:rFonts w:ascii="Arial" w:cs="Arial" w:eastAsia="Arial" w:hAnsi="Arial"/>
          <w:sz w:val="17"/>
          <w:szCs w:val="17"/>
          <w:color w:val="auto"/>
        </w:rPr>
        <w:t>at times been relatively low. If this were to occur in the future, the liquidity and appreciation of our common stock may not meet our shareholders’ expectations, and the prices at which our stock trades may be volatile. The market price of our common stock could be adversely impacted as a result of sales by existing shareholders of a large number of shares of common stock in the market or by the perception such sales could occur.</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The protections we have adopted and to which we are subject may discourage takeover offers favored by our shareholders. </w:t>
      </w:r>
      <w:r>
        <w:rPr>
          <w:rFonts w:ascii="Arial" w:cs="Arial" w:eastAsia="Arial" w:hAnsi="Arial"/>
          <w:sz w:val="17"/>
          <w:szCs w:val="17"/>
          <w:color w:val="auto"/>
        </w:rPr>
        <w:t>We have adopted and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provisions of the South Dakota Business Corporation Act (SD Act) that could have the effect of discouraging takeover offers. Of the 120,000,000 shares of capital stock authorized in our articles of incorporation, 5,000,000 shares are undesignated. Our Board of Directors may issue the undesignated shares on terms and with the rights, preferences and designations determined by the Board without shareholder action, which could be used to discourage takeover attempts. Our articles of incorporation provide for a classified board consisting of three classes of directors. Our classified board generally makes it more difficult to replace directors and to acquire our company. We have adopted a shareholder rights plan providing for the exercise of common stock purchase rights when a person becomes the beneficial owner of 15 percent or more of our outstanding common stock (subject to certain exceptions). In addition, we are governed by the anti-takeover provisions of the SD Act, which may deny shareholders the receipt of a premium on their common stock, which in turn may have a depressive effect on the market price of our common stock. In general, shares of a corporation acquired in a “control share acquisition,” as defined in the SD Act, have no voting rights unless voting rights are approved in a prescribed manner. There are also provisions prohibiting a public South Dakota corporation from engaging in a “business combination” with an “interested shareholder,” both as defined in the SD Act, for a period of four years after the date of the transaction in which the person became an interested shareholder unless the business combination is approved in a prescribed manner. The SD Act also limits the voting rights of shares acquired in specified types of acquisitions and restricts specified types of business combinations. The existence or issuance of "blank check" stock, the classified Board, the existence of our shareholder rights plan and the effect of the anti-takeover provisions of the SD Act, individually or in the aggregate, may discourage potential takeover attempts and delay, deter or prevent a change in control. They also may make the removal of management more difficult, which could deprive our shareholders of opportunities to sell their shares at prices higher than prevailing market prices.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Significant changes in the market price of our common stock could result in securities litigation claims against us. </w:t>
      </w:r>
      <w:r>
        <w:rPr>
          <w:rFonts w:ascii="Arial" w:cs="Arial" w:eastAsia="Arial" w:hAnsi="Arial"/>
          <w:sz w:val="16"/>
          <w:szCs w:val="16"/>
          <w:color w:val="auto"/>
        </w:rPr>
        <w:t>Significant price and value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have occurred with respect to the publicly-traded securities of technology companies generally. The price of our common stock has changed significantly in the past and is likely to continue to experience significant changes in the future. In the past, securities litigation claims have been filed against certain companies following a period of decline in the market price of their publicly-traded securities. We may be the target of similar securities litigation claims in the future. Risks associated with litigation often are difficult to assess or quantify, and their existence and magnitude can remain unknown for significant periods of time. Although we maintain directors’ and officers’ insurance, the amount of insurance coverage may not be sufficient to cover a claim, and the continued availability of this insurance cannot be assured. Future litigation, if any, may result in substantial costs and divert management’s attention and resources, which could materially adversely affect our results of operations, financial condition and the liquidity of our common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Our directors and executive officers have substantial influence over us and could limit the ability of our other shareholders to affect the outcome of key transactions, including changes of control. </w:t>
      </w:r>
      <w:r>
        <w:rPr>
          <w:rFonts w:ascii="Arial" w:cs="Arial" w:eastAsia="Arial" w:hAnsi="Arial"/>
          <w:sz w:val="16"/>
          <w:szCs w:val="16"/>
          <w:color w:val="auto"/>
        </w:rPr>
        <w:t>Dr. Aelred Kurtenbach serves as our Chairman of the Board. Mr. Reece Kurtenbach, Dr. Aelred Kurtenbach's son,</w:t>
      </w:r>
      <w:r>
        <w:rPr>
          <w:rFonts w:ascii="Arial" w:cs="Arial" w:eastAsia="Arial" w:hAnsi="Arial"/>
          <w:sz w:val="16"/>
          <w:szCs w:val="16"/>
          <w:i w:val="1"/>
          <w:iCs w:val="1"/>
          <w:color w:val="auto"/>
        </w:rPr>
        <w:t xml:space="preserve"> </w:t>
      </w:r>
      <w:r>
        <w:rPr>
          <w:rFonts w:ascii="Arial" w:cs="Arial" w:eastAsia="Arial" w:hAnsi="Arial"/>
          <w:sz w:val="16"/>
          <w:szCs w:val="16"/>
          <w:color w:val="auto"/>
        </w:rPr>
        <w:t>serves as our Chief Executive Officer. In addition, Dr. Aelred Kurtenbach has two other children who serve as our Vice President of Human Resources and as our Vice President of Manufacturing. Together, these individuals, in the aggregate, beneficially owned 8.65 percent of our outstanding common stock as of June 03, 2014, assuming the exercise by them of all of their options that were currently exercisable or that vest within 60 days of June 03, 2014. In addition, our other executive officers and directors, in the aggregate, beneficially owned an additional 5.05 percent of our outstanding common stock as of June 03, 2014, assuming the exercise by them of all of their options currently exercisable or that vest within 60 days of June 03, 2014. These Kurtenbach family members and our other executive officers and directors and their affiliated entities, if acting together, are able to influence significantly all matters requiring approval by our shareholders, including the election of directors and the approval of mergers or other significant corporate transactions. These shareholders may have interests differing from other shareholders and they may vote in a way with which other shareholders disagree, unfavorably affecting other shareholders’ interests. The concentration of ownership of our common stock may have the effect of delaying, preventing or deterring a change of control of our company, could deprive our shareholders of an opportunity to receive a premium for their common stock as part of a sale of our company, and may adversely affect the market price of our common stock. This concentration of ownership of our common stock may also have the effect of influencing the completion of a change in control not necessarily in the best interests of all of our shareholders.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 disrupt</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as well as the operations of our customers. Such acts have created an interruption of orders and delays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real estate properties are located in areas we deem necessary to meet sales, service and operating requirements. We consider all of the properties to be both suitable and adequate to meet our requirements for the foreseeable future.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various buildings used for manufacturing, sales and service space in Brookings, South Dakota, totaling approximately 773,000 square feet; a building in Redwood Falls, Minnesota, totaling approximately 120,000 square feet; and a building in Rupelmonde, Belgium, totaling approximately 40,000 square feet. We lease a facility in Sioux Falls, South Dakota, comprising approximately 145,000 square feet. The lease contains an option to purchase the building from January 1, 2015 through December 31, 2016. We lease approximately 90,500 square feet in a building in Shanghai, China for sales, service and manufacturing.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remaining sales and service offices located throughout the United States, Canada, Europe, South America, and the Asia-Pacific regions are small offices, generally consisting of less than 10,000 square feet leased under operating leases. These lease obligations expire on various dates, with the longest commitment extending to fiscal 2019. We believe all of our leases will be renewable at market terms, at our discretion as they become due or that suitable alternative space will be available to lease under similar 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“DAKT.” As of June 03, 2014, we had 1,217 shareholders of record. Following are the high and low sales prices for our common stock for each quarter within the last two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2014</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Cash</w:t>
            </w:r>
          </w:p>
        </w:tc>
        <w:tc>
          <w:tcPr>
            <w:tcW w:w="260" w:type="dxa"/>
            <w:vAlign w:val="bottom"/>
          </w:tcPr>
          <w:p>
            <w:pPr>
              <w:spacing w:after="0"/>
              <w:rPr>
                <w:sz w:val="19"/>
                <w:szCs w:val="19"/>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Dividends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Declared</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Low</w:t>
            </w: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1"/>
              </w:rPr>
              <w:t>Declared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line="264"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0.120</w:t>
            </w:r>
          </w:p>
        </w:tc>
        <w:tc>
          <w:tcPr>
            <w:tcW w:w="2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0.115</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0.090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0.615</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2014, our Board of Directors declared a quarterly dividend payment of $0.10 per share payable on June 13, 2014 to holders of record of our common stock on June 2, 2014.</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May 2, 2009 to April 26, 2014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11190"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Items 7 and 8 of this Annual Report on Form 10-K. The statement of operations data for the fiscal years ended April 26, 2014, April 27, 2013 and April 28, 2012 and the balance sheet data at April 26, 2014 and April 27, 2013 are derived from, and are qualified by reference to, the audited Consolidated Financial Statements included elsewhere in this report. The statement of operations data for the fiscal years ended April 30, 2011 and May 1, 2010 and the balance sheet data at April 28, 2012, April 30, 2011 and May 1, 2010 are derived from audited financial statements that are not included in this Report.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3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551,970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518,322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489,526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441,676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393,185</w:t>
            </w: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141,710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133,894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113,437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111,484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94,556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36,557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30,600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10,275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19,527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22,206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22,779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8,489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14,244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43,762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42,621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42,304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42,277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40,908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140,532</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125,456</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119,833</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128,160</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118,625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357,451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319,418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315,967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327,847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20,624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16,480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15,989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15,083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203,119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188,246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190,805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203,102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43"/>
        </w:trPr>
        <w:tc>
          <w:tcPr>
            <w:tcW w:w="370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the Consolidated Financial Statements included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Schools and Theatres, and Transportation, all of which include the geographic territories of the United States and Canada.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and colleges and universities or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6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growing interest in our standard display products used in many different retail-type establishments and other types of commercial establishments. The demand in this area is driven by these establishments' desire to attract the attention of motorists and others into their storefronts.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increased sales.</w:t>
      </w:r>
    </w:p>
    <w:p>
      <w:pPr>
        <w:spacing w:after="0" w:line="3"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billboard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billboard companies.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growth in the Schools and Theatres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electronic displays to manage transportation systems, including roadway, airport, parking, transit and other applications. This growth is highly dependent on government spending, primarily by the federal government, along with the continuing acceptance of public private partnerships as an alternative funding source.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downturns, the sports business also can be severely impacted. Our Commercial and International business units are highly dependent on economic conditions in general.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products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quarter of the fiscal year ended April 26, 2014, we completed the acquisition of OPEN Out-of Home Solutions ("OPEN"), a Belgian company, for an undisclosed amount. OPEN is a European manufacturer of cabinets and street furniture for the third-party advertising market. Revenue and expenses from this acquisition are reflected in the International business unit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related to this acquisition, See Note 4 of our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which affect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 on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 measured 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the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maintain an allowance for doubtful accounts for estimated losses resulting from the inability of our customers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there will be a material change in the future estimates or assumptions we use to determine the allowance for doubtful accounts. As of April 26, 2014 and April 27, 2013, we had an allowance for doubtful accounts balance of approximately $2.5 million and $2.7 million, respectively.</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there will be a material change in the future estimates or assumptions we use to determine our reserve for warranties. As of April 26, 2014 and April 27, 2013, we had approximately $27.3 million and $25.1 million reserved for these costs, respectively.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them to the deferred revenue. We do not believe there is a reasonable likelihood there will be a material change in the future estimates or assumptions we use to determine estimated costs under these agreements. As of April 26, 2014 and April 27, 2013, we had $13.8 million and $13.0 million of deferred revenue related to separately priced extended warranty and product maintenance agreements,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(that is, the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levels, forecasted demand and technological obsolescence. We do not believe there is a reasonable likelihood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which could be material.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are required to estimate our income taxes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our deferred tax assets will be recovered from future taxable income in each jurisdiction, and to the extent we believe recovery is not likely, a valuation allowance must be established. We review deferred tax assets, including net operating losses, and to the extent we believe the asset may not be realized, we recognize a valuation allowance. If our estimates of future taxable income are not met in future periods, a valuation allowance for some of the remaining deferred tax assets may be required. We believe we will generate taxable income in future years which will allow for realization of deferred tax assets. Realization of the deferred tax assets would require approximately $34 million of taxable income, which we believe is achievable through future earnings.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record our income tax provision based on our knowledge of all relevant facts and circumstances, including the existing tax laws, the status of any current examinations and our understanding of how the tax authorities view certain relevant industry and commercial matters. In evaluating the exposure associated with our various tax filing positions, we record reserves for probable exposures consistent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apply judgment to estimate the exposure associated with our various filing positions. We believe any potential tax assessments from various tax authorities not covered by our income tax provision will not have a material adverse impact on our consolidated financial position, results of operations or cash flow.</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requires disclosure of the gross amount of temporary differences for which no deferred tax liability has been recognized related to our investment in foreign subsidiaries when the earnings of the foreign subsidiaries are indefinitely reinvested. The amount of cash and short-term investments held by foreign subsidiaries that would not be available to fund domestic operations unless the funds are repatriated is $2.7 million. If circumstances change and it becomes apparent that some or all of the undistributed earnings of a subsidiary will be remitted in the foreseeable future but we have not recognized income, we will accrue as an expense in the current period income taxes attributable to that remittance. Currently we have not recorded a deferred tax liability related to these investments as we do not intend to repatriate these funds.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were retracted for past periods (which in some cases could occur if we do not satisfy the conditions on which such holidays or incentives are based), they are not renewed upon expiration, or tax rates applicable to us in such jurisdictions are otherwise increased. Our tax holiday with respect to our Chinese operations expired as of December 31, 2011 and, after fiscal 2012, we were not benefiting from any tax incentives in foreign jurisdictions which would have a material impact on our effective tax rate. In addition, any acquisitions may cause our effective tax rate to increase, depending on the jurisdictions in which the acquired operations are located.</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Carrying values of goodwill and other intangible assets with indefinite lives are reviewed at least annually for possible impairment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Our impairment review involves estimating the fair value of goodwill and indefinite-lived intangible assets using a combination of a market approach and an income (discounted cash flow) approach at the reporting unit level, requiring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 impairment charge. We use our judgment in assessing whether assets may have become impaired between annual impairment tests. Indicators such as adverse business conditions, economic factors and technological change or competitive activities may signal an asset has become impaired.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xml:space="preserve"> Impairment reviews are conducted when we believe a change in circumstances in the business or external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be indicators to trigger an impairment review. Our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use the Black-Scholes standard option pricing model (“Black-Scholes model”) to determine the fair value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analyze historical employee exercise and termination data to estimate the expected life assumption of a new employee option. We believe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expected volatility was based on the availability of actively traded options for our common stock, and our assessment of expected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share-based compensation expense we recognize during a period is based on the portion of the awards ultimately expected to vest. We estimate pre-vesting option forfeitures at the time of grant by analyzing historical data, and we revise those estimates in subsequent periods if actual forfeitures differ from those estimates.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share-based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those pronouncements would have on our financial results, see Note 1 of the Notes to our Consolidated Financial Statements included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4"/>
          </w:tcPr>
          <w:p>
            <w:pPr>
              <w:ind w:left="740"/>
              <w:spacing w:after="0"/>
              <w:rPr>
                <w:sz w:val="20"/>
                <w:szCs w:val="20"/>
                <w:color w:val="auto"/>
              </w:rPr>
            </w:pPr>
            <w:r>
              <w:rPr>
                <w:rFonts w:ascii="Arial" w:cs="Arial" w:eastAsia="Arial" w:hAnsi="Arial"/>
                <w:sz w:val="18"/>
                <w:szCs w:val="18"/>
                <w:b w:val="1"/>
                <w:bCs w:val="1"/>
                <w:color w:val="auto"/>
              </w:rPr>
              <w:t>April 26, 2014</w:t>
            </w:r>
          </w:p>
        </w:tc>
        <w:tc>
          <w:tcPr>
            <w:tcW w:w="240" w:type="dxa"/>
            <w:vAlign w:val="bottom"/>
          </w:tcPr>
          <w:p>
            <w:pPr>
              <w:spacing w:after="0"/>
              <w:rPr>
                <w:sz w:val="20"/>
                <w:szCs w:val="20"/>
                <w:color w:val="auto"/>
              </w:rPr>
            </w:pPr>
          </w:p>
        </w:tc>
        <w:tc>
          <w:tcPr>
            <w:tcW w:w="3020" w:type="dxa"/>
            <w:vAlign w:val="bottom"/>
            <w:gridSpan w:val="4"/>
          </w:tcPr>
          <w:p>
            <w:pPr>
              <w:ind w:left="760"/>
              <w:spacing w:after="0"/>
              <w:rPr>
                <w:sz w:val="20"/>
                <w:szCs w:val="20"/>
                <w:color w:val="auto"/>
              </w:rPr>
            </w:pPr>
            <w:r>
              <w:rPr>
                <w:rFonts w:ascii="Arial" w:cs="Arial" w:eastAsia="Arial" w:hAnsi="Arial"/>
                <w:sz w:val="18"/>
                <w:szCs w:val="18"/>
                <w:b w:val="1"/>
                <w:bCs w:val="1"/>
                <w:color w:val="auto"/>
              </w:rPr>
              <w:t>April 27, 2013</w:t>
            </w:r>
          </w:p>
        </w:tc>
        <w:tc>
          <w:tcPr>
            <w:tcW w:w="1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April 28, 2012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 Change</w:t>
            </w:r>
          </w:p>
        </w:tc>
        <w:tc>
          <w:tcPr>
            <w:tcW w:w="12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154,754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144,596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148,585</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197,246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158,562</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160,933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59,531</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66,128</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59,662</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54,861</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73,270</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48,284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85,578</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75,766</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551,970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518,322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489,526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155,840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152,028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153,268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225,331</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161,602</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157,695</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59,812</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64,796</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58,534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49,057</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73,426</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55,060</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87,094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80,158</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55,396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577,134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532,010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479,953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60" w:type="dxa"/>
            <w:vAlign w:val="bottom"/>
            <w:gridSpan w:val="2"/>
            <w:vMerge w:val="restart"/>
          </w:tcPr>
          <w:p>
            <w:pPr>
              <w:jc w:val="right"/>
              <w:ind w:right="69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fiscal 2014 compared to fiscal 2013 was the net result of:</w:t>
      </w:r>
    </w:p>
    <w:p>
      <w:pPr>
        <w:spacing w:after="0" w:line="211"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$6.0 million in sales of large custom video contracts. The level of large custom contract orders and sales in this niche is subject to volatility.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$4.7 million in sales in our reseller niche resulting from increased contract orders in the shopping centers and malls; and civic and nonprofit niches.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flat sales in our billboard niche.</w:t>
      </w:r>
    </w:p>
    <w:p>
      <w:pPr>
        <w:spacing w:after="0" w:line="211"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A number of custom video project opportunities are available in the marketplace; however, due to a number of factors, such as the discretionary nature of customers committing to a system, it is difficult to precisely predict orders and sales for fiscal 2015 in the Commercial business unit. However, we believe sales for fiscal 2015 will be slightly higher due to increases in the shipment of digital billboard orders and increases in large video projects as compared to fiscal 2014. We expect growth in this business unit over the long-term, assuming the economy continues to improve.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fiscal 2014 compared to fiscal 2013 was the net result of:</w:t>
      </w:r>
    </w:p>
    <w:p>
      <w:pPr>
        <w:spacing w:after="0" w:line="225" w:lineRule="exact"/>
        <w:rPr>
          <w:sz w:val="20"/>
          <w:szCs w:val="20"/>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of $40.0 million in sales in our large sports venue segment, resulting from $26.5 million in sales to National Football League ("NFL") stadiums, $18.4 million in sales to multi-sport arenas, and $4.3 million in sales to Major League Baseball ("MLB") stadiums. This was offset by decrease in sales to minor league stadiums, National Hockey League ("NHL") stadiums, and other various niches.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$1.3 million decrease in sales to mobile and modular customers due to reduced demand from these customers.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see ongoing interest from venues at all levels to increase the size and capability of their display system, which offers continued growth opportunity for this market in fiscal 2015. A number of factors, such as the discretionary nature of customers committing to upgrade systems, versus the non-discretionary purchases associated with new construction, the current aggressive competitive environment and various other factors, make forecasting fiscal 2015 orders and net sales difficult. However, we expect sales to be similar to fiscal 2014. We expect growth in this business unit over the long-term, assuming the economy continues to improve and we are successful at counteracting competitive pressures.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for fiscal 2014 compared to fiscal 2013 was the result of:</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volume of sales from large video systems as a result of a decrease in the size and corresponding selling price of the video displays ordered during fiscal 2014. The opportunities to book large video system orders vary from year to year and it is hard to predict. A number of factors, such as the discretionary nature of customers committing to upgrade products, impact order volumes.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purchase decisions that are impacted by economic factors.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 opportunities to sell larger video systems in fiscal 2015, primarily in high school facilities which benefit from our sports marketing services that generate advertising revenue to fund the display systems. For the long term, we believe this business unit presents growth opportunities as the economy continues to improve and larger video systems are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fiscal 2014 compared to fiscal 2013 was the result of:</w:t>
      </w:r>
    </w:p>
    <w:p>
      <w:pPr>
        <w:spacing w:after="0" w:line="225"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Recognized sales in the amount of $30.5 million during fiscal 2013 for two significant projects with no sales from recurring projects of a similar size recognized during fiscal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slight increase in sales related to traditional transportation business in fiscal 2014.</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2015, we believe the transportation market sales will be generally flat. A number of factors, such as transportation funding, a current aggressive competitive environment and various other factors, make forecasting orders and net sales difficult. However, highways and public transit show growth in capital improvement projects that include dynamic message signs. The Obama administration has recently proposed a four-year plan that would spend $302 billion on highways and transit. Without this continuation and potential increase in funding, payments to states could be reduced and have a negative impact on our sales and financial results in the Transportation business unit.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the fiscal 2014 compared to fiscal 2013 was the net result of a higher beginning backlog for fiscal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fiscal 2013 and an increase of orders booked during fiscal 2014 converting into sales and progress on large projects. We have been successful in sports application systems and commercial applications internationally.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acquisition of OPEN during the first quarter of fiscal 2014. OPEN's sales were included in the International business unit results and contributed $4.2 million of net sales during fiscal 2014.</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2015, we believe the International business unit has potential for sales growth as we penetrate markets with our established sales networks and the pipeline of projects increases. In addition, the third-party advertising business continues to be strong worldwide, and we see a definite shift to digital as prices for displays have come down. We continue to see an increase in our pipeline for large video projects in sports and commercial applications and an increase in the projects using architectural lighting solutions. As with our other business units, large video system projects cause difficulty in projecting fiscal 2015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fiscal 2013 compared to fiscal 2012 was the net result of:</w:t>
      </w:r>
    </w:p>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$3.5 million in sales for large video display projects due to delayed orders for custom video projects.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$3.7 million in sales to outdoor advertising companies due to lower demand from our billboard customers.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$2.2 million in sales of on premise advertising displays, which was primarily due to an increase in orders for a national account customer replacement program, as previously disclosed, and an improved economy.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of service related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fiscal 2013 compared to fiscal 2012 was the net result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$2.4 million decrease in sales to mobile and modular customers due to reduced demand from these customers.</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volatility of this business unit because of the nature of the business in large custom display systems. During fiscal 2013, sales increased for multi-purpose live event arena venues and NFL stadiums which were offset by a decrease in sales to MLB stadiums and NHL and National Basketball Association arenas.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increase in net sales for fiscal 2013 compared to fiscal 2012 was the result of:</w:t>
      </w:r>
    </w:p>
    <w:p>
      <w:pPr>
        <w:spacing w:after="0" w:line="225"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Schools demonstrating more willingness in fiscal 2013 than in fiscal 2012 to move forward with projects including smaller video systems, scoring and timing equipment and message centers.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increased demand in video projects for high schools.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fiscal 2013 compared to fiscal 2012 was the result of:</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recorded from a large procurement contract in fiscal 2013 compared to fiscal 2012.</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recorded in relation to a $21 million order for video displays at the LAX Bradley International Terminal in Los Angeles during fiscal 2013. This type of order in the transportation market is unusual and infrequent in nature.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increase in net sales for fiscal 2013 compared to fiscal 2012 was the net result of general volatility in this business unit because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the business in large custom display systems and timing differences in the production and installation schedule of orders booked.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occasionally sell products in exchange for the advertising revenues generated from the use of our display products. These sales represented less than one percent of net sales for fiscal 2014, 2013, and 2012. The gross profit percent on these transactions has typically been higher than the gross profit percent on other transactions of similar size, although the selling expenses associated with these transactions are typically higher.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product order backlog as of April 26, 2014 was $172 million as compared to $141 million as of April 27, 2013. Historically, our backlog varies due to the seasonality of our business, the timing of large projects, and customer delivery schedules for these orders. The backlog decreased from one year ago in our Transportation business unit and increased in our other business units.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that are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Arial" w:cs="Arial" w:eastAsia="Arial" w:hAnsi="Arial"/>
                <w:sz w:val="18"/>
                <w:szCs w:val="18"/>
                <w:b w:val="1"/>
                <w:bCs w:val="1"/>
                <w:color w:val="auto"/>
              </w:rPr>
              <w:t>April 26, 2014</w:t>
            </w:r>
          </w:p>
        </w:tc>
        <w:tc>
          <w:tcPr>
            <w:tcW w:w="220" w:type="dxa"/>
            <w:vAlign w:val="bottom"/>
          </w:tcPr>
          <w:p>
            <w:pPr>
              <w:spacing w:after="0"/>
              <w:rPr>
                <w:sz w:val="20"/>
                <w:szCs w:val="20"/>
                <w:color w:val="auto"/>
              </w:rPr>
            </w:pPr>
          </w:p>
        </w:tc>
        <w:tc>
          <w:tcPr>
            <w:tcW w:w="2740" w:type="dxa"/>
            <w:vAlign w:val="bottom"/>
            <w:gridSpan w:val="4"/>
          </w:tcPr>
          <w:p>
            <w:pPr>
              <w:ind w:left="620"/>
              <w:spacing w:after="0"/>
              <w:rPr>
                <w:sz w:val="20"/>
                <w:szCs w:val="20"/>
                <w:color w:val="auto"/>
              </w:rPr>
            </w:pPr>
            <w:r>
              <w:rPr>
                <w:rFonts w:ascii="Arial" w:cs="Arial" w:eastAsia="Arial" w:hAnsi="Arial"/>
                <w:sz w:val="18"/>
                <w:szCs w:val="18"/>
                <w:b w:val="1"/>
                <w:bCs w:val="1"/>
                <w:color w:val="auto"/>
              </w:rPr>
              <w:t>April 27, 2013</w:t>
            </w:r>
          </w:p>
        </w:tc>
        <w:tc>
          <w:tcPr>
            <w:tcW w:w="22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April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26"/>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 Percent of</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w w:val="91"/>
              </w:rPr>
              <w:t>As a Percent of</w:t>
            </w:r>
          </w:p>
        </w:tc>
      </w:tr>
      <w:tr>
        <w:trPr>
          <w:trHeight w:val="194"/>
        </w:trPr>
        <w:tc>
          <w:tcPr>
            <w:tcW w:w="28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5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8"/>
              </w:rPr>
              <w:t>Net Sales</w:t>
            </w:r>
          </w:p>
        </w:tc>
        <w:tc>
          <w:tcPr>
            <w:tcW w:w="220" w:type="dxa"/>
            <w:vAlign w:val="bottom"/>
          </w:tcPr>
          <w:p>
            <w:pPr>
              <w:spacing w:after="0"/>
              <w:rPr>
                <w:sz w:val="16"/>
                <w:szCs w:val="16"/>
                <w:color w:val="auto"/>
              </w:rPr>
            </w:pPr>
          </w:p>
        </w:tc>
        <w:tc>
          <w:tcPr>
            <w:tcW w:w="12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00" w:type="dxa"/>
            <w:vAlign w:val="bottom"/>
          </w:tcPr>
          <w:p>
            <w:pPr>
              <w:ind w:left="30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44,974</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3"/>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38,123</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3"/>
              </w:rPr>
              <w:t>25.7%</w:t>
            </w:r>
          </w:p>
        </w:tc>
      </w:tr>
      <w:tr>
        <w:trPr>
          <w:trHeight w:val="243"/>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43,019</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31,718</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26,477</w:t>
            </w:r>
          </w:p>
        </w:tc>
        <w:tc>
          <w:tcPr>
            <w:tcW w:w="200" w:type="dxa"/>
            <w:vAlign w:val="bottom"/>
          </w:tcPr>
          <w:p>
            <w:pPr>
              <w:spacing w:after="0"/>
              <w:rPr>
                <w:sz w:val="21"/>
                <w:szCs w:val="21"/>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16.5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16,202</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18,601</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26.0</w:t>
            </w:r>
          </w:p>
        </w:tc>
      </w:tr>
      <w:tr>
        <w:trPr>
          <w:trHeight w:val="243"/>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16,126</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24,552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14,445</w:t>
            </w:r>
          </w:p>
        </w:tc>
        <w:tc>
          <w:tcPr>
            <w:tcW w:w="200" w:type="dxa"/>
            <w:vAlign w:val="bottom"/>
          </w:tcPr>
          <w:p>
            <w:pPr>
              <w:spacing w:after="0"/>
              <w:rPr>
                <w:sz w:val="21"/>
                <w:szCs w:val="21"/>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29.9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21,389</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20,900</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18,860</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26.2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141,710</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w w:val="93"/>
              </w:rPr>
              <w:t>25.7%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133,894</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25.8%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113,437</w:t>
            </w:r>
          </w:p>
        </w:tc>
        <w:tc>
          <w:tcPr>
            <w:tcW w:w="200" w:type="dxa"/>
            <w:vAlign w:val="bottom"/>
          </w:tcPr>
          <w:p>
            <w:pPr>
              <w:spacing w:after="0"/>
              <w:rPr>
                <w:sz w:val="22"/>
                <w:szCs w:val="22"/>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w w:val="93"/>
              </w:rPr>
              <w:t>23.2%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gross profit percentage remained flat for fiscal 2014 compared to fiscal 2013.</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difficult to project gross profit levels for fiscal 2015 because of the uncertainty regarding the level of sales, uncertainty regarding the sales mix and timing, and the competitive factors in our business. We are focused on improving our gross profit margins as we execute our strategies for improved profitability which include quality initiatives in our supply chain and manufacturing processes. We are focused on product reliability in designs to improve warranty costs as a percent of net sales. We continue to focus on improved process flow in our services organization to improve gross profit margin.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in the Commercial business unit for fiscal 2014 compared to fiscal 2013 was the result of overall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on product sales mix and manufacturing utilization, which were offset by increased warranty costs.</w:t>
      </w:r>
    </w:p>
    <w:p>
      <w:pPr>
        <w:spacing w:after="0" w:line="1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fiscal 2014 compared to fiscal 2013 was the result of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utilization from increased sales, offset by slightly higher warranty costs. Large live events video projects are competitively bid and generally result in lower overall margins from a sales mix perspective.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in the Schools and Theatres business unit for fiscal 2014 compared to fiscal 2013 primarily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volume of sales from video projects and increased warranty and manufacturing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in the Transportation business unit for fiscal 2014 compared to fiscal 2013 was primarily the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lower volume of large custom projects and increased manufacturing costs, which were partially offset by lower warranty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fiscal 2014 compared to fiscal 2013 was the net result of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gross margin on product sales and an increase in manufacturing costs related to our new manufacturing plant in Belgium for third-party advertising displays, which were partially offset by lower warranty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gross profit percentage for fiscal 2013 compared to fiscal 2012 is the net result of the following:</w:t>
      </w:r>
    </w:p>
    <w:p>
      <w:pPr>
        <w:spacing w:after="0" w:line="211"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approximately 3.4 percentage points because of improved cost and resource management in the manufacturing and services infrastructure and improved sales mix.</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approximately 0.8 percentage points because of unexpected warranty costs and costs incurred for services not covered under warranty to cover primarily supplier component issues. For fiscal 2013, warranty costs were approximately 3.4 percent of net sales compared to 2.7 percent in fiscal 2012.</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fiscal 2013 compared to fiscal 2012 was primarily the result of sales mix and improved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which were offset by unexpected warranty costs due to a supplier component failure.</w:t>
      </w:r>
    </w:p>
    <w:p>
      <w:pPr>
        <w:spacing w:after="0" w:line="1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fiscal 2013 compared to fiscal 2012 was the result of lowered manufacturing infrastructure costs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overall higher sales volumes. Large live events video projects are competitively bid and generally result in lower overall margins from a sales mix perspective.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increase for fiscal 2013 compared to fiscal 2012 primarily was the result of sales mix and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utilization from the overall higher sales volumes and cost reduction initiatives.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fiscal 2013 compared to fiscal 2012 was primarily the result of improved manufacturing utilization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overall higher sales volumes and cost reduction initiatives and improved sales mix offset by unexpected warranty costs due to a supplier component failure.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fiscal 2013 compared to fiscal 2012 was the net result of an increase in the gross margin on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increased the overall gross profit by approximately six percentage points, offset by an increase in warranty costs and an increase in services infrastructure costs.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Selling Expenses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26, 2014</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April 27, 2013</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April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9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4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12,515</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12,647</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12,898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10,727</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10,451</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10,816</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18.1</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3,316</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3,222</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12,574</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12,557</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52,233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demos, and supplies. The increase in selling expenses for fiscal 2014 compared to fiscal 2013 was the net result of the following factors:</w:t>
      </w:r>
    </w:p>
    <w:p>
      <w:pPr>
        <w:spacing w:after="0" w:line="15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$1.3 million increase in personnel costs, including taxes and benefits.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$0.7 million decrease in bad debt expense for potentially uncollectable accounts receivable primarily from sales derived from our International business unit not recurring in fiscal 2014.</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increase in travel and entertainment for sales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expect selling expenses will increase slightly in dollars in fiscal 2015 as compared to fiscal 2014 but remain flat as a percentage of net sales.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selling expenses for fiscal 2014 compared to fiscal 2013 was the result of $0.8 million increases in travel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commission expenses, and various changes in other selling expenses.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selling expenses for fiscal 2014 compared to fiscal 2013 was the result of reductions in depreciation and various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selling expenses from normal business changes and cost containment initiatives.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The increase in selling expenses for fiscal 2014 compared to fiscal 2013 was the result of an increase of $0.3 million in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and marketing, conventions, and advertising expenses.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selling expenses for fiscal 2014 compared to the same period in fiscal 2013 was the result of an increase in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 and various changes in other selling expenses.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Selling expenses were flat for fiscal 2014 compared to fiscal 2013, although there were increases in payroll costs, net of taxes and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acquisition in fiscal 2014, these costs were offset by decreases in bad debt expense and various other selling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selling expense for fiscal 2013 compared to fiscal 2012 was due to a $0.3 million decrease in travel and entertainment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various changes in other selling expenses as a result of our initiatives to contain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of $0.2 million in selling expenses for fiscal 2013 compared to fiscal 2012 was the result of our initiative to contain costs in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and entertainment and convention expenses.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The decrease in selling expenses for fiscal 2013 compared to fiscal 2012 was the result of reductions in bad debts and various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other selling expenses from normal business changes and cost containment initiatives.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for fiscal 2013 compared to fiscal 2012 decreased as a result of cost containment efforts offsetting increases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selling expenses for fiscal 2013 compared to fiscal 2012 was the net result of:</w:t>
      </w:r>
    </w:p>
    <w:p>
      <w:pPr>
        <w:spacing w:after="0" w:line="225"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$1.2 million in bad debt expense for potentially uncollectable accounts receivable due to the continued softness of the worldwide economy.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$0.7 million increase in third-party commissions on significant contracts. Third-party sales agents are contracted from time-to-time to penetrate geographic locations where we have limited presence.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decrease of $0.2 million in various other selling expenses.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April 26, 2014</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April 27, 2013</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4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4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2600" w:type="dxa"/>
            <w:vAlign w:val="bottom"/>
            <w:gridSpan w:val="4"/>
          </w:tcPr>
          <w:p>
            <w:pPr>
              <w:ind w:left="40"/>
              <w:spacing w:after="0"/>
              <w:rPr>
                <w:sz w:val="20"/>
                <w:szCs w:val="20"/>
                <w:color w:val="auto"/>
              </w:rPr>
            </w:pPr>
            <w:r>
              <w:rPr>
                <w:rFonts w:ascii="Arial" w:cs="Arial" w:eastAsia="Arial" w:hAnsi="Arial"/>
                <w:sz w:val="18"/>
                <w:szCs w:val="18"/>
                <w:color w:val="auto"/>
                <w:w w:val="91"/>
              </w:rPr>
              <w:t>Product design and development $</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23,507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General and administrative expenses consist primarily of salaries, other employee-related costs, professional fees, shareholder relations costs, facilities and equipment related costs for administrative departments, training costs, amortization of intangibles and the costs of supplies. The increase in general and administrative expense in fiscal 2014 as compared to fiscal 2013 was the result of an increase of $0.8 million in professional fees, travel and entertainment, IT maintenance, advertising, and other expense, which was offset by decreases in various other general and administrative expenses.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slightly in dollars for fiscal 2015 as compared to fiscal 2014 but remain flat as a percentage of net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Product design and development expenses consist primarily of salaries, other employee-related costs, facilities and equipment-related costs and supplies.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design and development expenses in fiscal 2014 as compared to fiscal 2013 were flat.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overhead of our engineering departments. Generally, a significant portion of our engineering time is spent on product development, while the rest is allocated to large contract work and included in cost of goods sold.</w:t>
      </w:r>
    </w:p>
    <w:p>
      <w:pPr>
        <w:spacing w:after="0" w:line="18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expect product design and development expenses will increase slightly in dollars in fiscal 2015 as compared to fiscal 2014 but remain flat as a percentage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 fiscal 2013 as compared to fiscal 2012 remained relatively flat due to our continued focus on controlling spending as a part of our strategic goals to improve operating income. During fiscal 2013, increases in salaries and other employee-related costs of $0.5 million were offset by decreases of $0.3 million in professional fees and $0.2 million of other costs.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decline in product design and development expenses in fiscal 2013 as compared to fiscal 2012 was the net result of an increase in personnel costs, including taxes and benefits, of $0.5 million, a decrease in material costs related to product development of $1.0 million as a result of the timing of projects for prototyping new products and the stage of product development, and an increase of $0.1 million in various other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and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April 26, 2014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27, 2013</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w:t>
            </w:r>
          </w:p>
        </w:tc>
      </w:tr>
      <w:tr>
        <w:trPr>
          <w:trHeight w:val="194"/>
        </w:trPr>
        <w:tc>
          <w:tcPr>
            <w:tcW w:w="2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662.7 %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Interest income, net: </w:t>
      </w:r>
      <w:r>
        <w:rPr>
          <w:rFonts w:ascii="Arial" w:cs="Arial" w:eastAsia="Arial" w:hAnsi="Arial"/>
          <w:sz w:val="16"/>
          <w:szCs w:val="16"/>
          <w:color w:val="auto"/>
        </w:rPr>
        <w:t>We generate interest income through short-term cash investments, marketable securities, product sales on an installment basis, under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arrangements, or in exchange for the rights to sell and retain advertising revenues from displays, which result in long-term receivables. Interest expense is comprised primarily of interest costs on long-term marketing obligations. Interest income declined slightly for fiscal 2014 as compared to fiscal 2013 due to a lower level of income on investments due to lower yields available in the market when reinvesting available cash. As a result of the volatility of working capital needs and changes in investing and financing activities, along with changes in the interest rate environment, it is difficult to project changes in interest income. We expect our cash balances will be increasing during fiscal 2015; however, we are unable to project how that will compare to fiscal 2014.</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The decrease of $0.5 million in other expenses for fiscal 2014 as compared to fiscal 2013 was due to the recognition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2013 of a $0.5 million settlement of a dispute relating to a past acquisition; no similar transaction was recorded in fiscal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income declined slightly for fiscal 2013 as compared to fiscal 2012 due to a reduction in long-term receivable balances.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volatility of working capital needs and changes in investing and financing activities, along with changes in the interest rate environment, it is difficult to project changes in interest income.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decrease of $0.7 million in other expenses for fiscal 2013 as compared to fiscal 2012 was due to the settlement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of the dispute described above and approximately $0.1 million of higher currency losses on U.S. dollar advances to foreign subsidiaries in fiscal 2013 compared to fiscal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effective tax rate was approximately 40.4 percent for fiscal 2014 as compared to 26.4 percent for fiscal 2013. To understand the overall effective tax rate for each year, it is important to recognize the effect of specific items as they compare to the level of income before taxes in each year. Income tax expense increased to $15.0 million in fiscal 2014 as compared to $8.2 million in fiscal 2013. The increase was attributable primarily to the increase in income before income taxes and the recording of a $2.3 million valuation allowance against our deferred tax asset for our equity in investments. In comparing fiscal 2014 to fiscal 2013, the changes in the effective tax rate were primarily due to the net impact of the following items:</w:t>
      </w:r>
    </w:p>
    <w:p>
      <w:pPr>
        <w:spacing w:after="0" w:line="179"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research and development tax credit decreased the effective tax rate by approximately 2.0 percent in fiscal 2014 as compared to 5.8 percent in fiscal year 2013. However, the effect of the tax credit on the tax rate in fiscal 2014 was limited as the credit pertained to only a portion of the year. The credit made a lesser impact on the effective tax rate because income before taxes was higher with a lower tax credit in fiscal 2014 than in fiscal 2013.</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2.7 percentage points due to the Domestic Production Activities Deduction compared to 3.2 percentage points in fiscal 2013 as a result of a higher actual book income and a more precise calculation.</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0.9 percentage points as a result of the dividends paid into our 401(k) plan compared to 2.0 percentage points in fiscal 2013.</w:t>
      </w: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1.1 percentage points in fiscal 2013 due to an international tax change which did not occur in fiscal 2014.</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effective tax rate of 6.2 percentage points due to a recorded valuation allowance against our equity in investments which did not occur in fiscal 2013.</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Various other items which have a greater impact on the effective rate due to higher income before taxes but are not material to the results.</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to various tax jurisdictions. At any one time, multiple tax years are subject to audit by various tax authorities because different taxing jurisdictions have different statutes of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as compared to Fiscal Year 2012</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effective tax rate was approximately 26.4 percent for fiscal 2013 as compared to 26.7 percent in fiscal 2012. Income tax expense increased to $8.2 million in fiscal 2013 as compared to $3.1 million in fiscal 2012. The increase was attributable primarily to the increase in income before income taxes. In comparing fiscal 2013 to fiscal 2012, the changes in the effective tax rate were primarily due to the net impact of the following items:</w:t>
      </w:r>
    </w:p>
    <w:p>
      <w:pPr>
        <w:spacing w:after="0" w:line="173" w:lineRule="exact"/>
        <w:rPr>
          <w:sz w:val="20"/>
          <w:szCs w:val="20"/>
          <w:color w:val="auto"/>
        </w:rPr>
      </w:pPr>
    </w:p>
    <w:p>
      <w:pPr>
        <w:jc w:val="both"/>
        <w:ind w:left="66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reinstatement of the federal research and development tax credit which decreased the effective rate by approximately 5.8 percent in fiscal 2013 as compared to 8.7 percent in fiscal year 2012. However, the effect of the tax credit on the tax rate in fiscal 2012 was limited as the credit pertained to only a portion of the year, but that amount made a greater impact on the effective tax rate because income before taxes were lower in fiscal 2012 than in fiscal 2013.</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annual estimated effective tax rate of approximately 2.5 percentage points in fiscal 2013 compared to 10.5 percentage points in fiscal 2012 as a result of the impact of non-deductible meals and entertainment costs and stock compensation expense on a higher projected income compared to similar level expenses on a lower projected income in fiscal 2012.</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1.1 percentage points in fiscal 2013 due to an international tax change which did not occur in fiscal 2012.</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effective tax rate related to a reversal of valuation allowances in fiscal 2012, as it related to some foreign jurisdictions which did not occur in fiscal 2013.</w:t>
      </w: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Various other items which have a greater impact on the effective rate due to lower income before taxes but which are not material to our financial results.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2014 Fourth Quarter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2014, net sales increased approximately nine percent to $136.2 million as compared to $124.5 million in the fourth quarter of fiscal 2013. Net sales increased in the Commercial, Live Events, and International business units and decreased in the Schools and Theatres and Transportation business units. Commercial business unit net sales increased due to increases in the net sales for billboard, reseller, and national account niches, offset by a decrease in sales realization on large video projects. Live Events business unit net sales increased due an increase in orders related to video displays for NFL stadiums.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margin percentage increased to approximately 25 percent in the fourth quarter of fiscal 2014 from approximately 23 percent in the fourth quarter of fiscal 2013. The increase in gross profit percentage was the net result of lower warranty costs and improved manufacturing utilization.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expenses increased to $13.7 million from $13.2 million in the fourth quarter of fiscal 2014 compared to the fourth quarter of fiscal 2013. The increase was the result of a $0.7 million increase in payroll costs, including taxes and benefits, travel and entertainment expenses, and commissions and consultants. This increase was offset by a decrease of $0.2 million in bad debt and marketing, conventions, and advertising expenses. We use third parties to expand market opportunities, and these types of expenses occur only if the third party is successful in procuring sales.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costs declined by approximately one percent in the fourth quarter of fiscal 2014 to $7.2 million as compared to $7.3 million in the fourth quarter of fiscal 2013. The decrease was the net result of a decrease of approximately $0.2 million in payroll costs, including taxes and benefits, and information technology, including software and hardware expenses, and an increase of $0.1 million in travel and entertainment and other expenses.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increased by approximately seven percent in the fourth quarter of fiscal 2014 to $6.0 million as compared to $5.7 million in the fourth quarter of fiscal 2013. The increase was the result of an increase of $0.3 million in engineering costs and small changes in non-engineering costs, materials to produce prototypes or test materials, and legal fees related to patent work.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74.3 percent in the fourth quarter of fiscal 2014 compared to an effective tax benefit of 22.9 percent in the fourth quarter of fiscal 2013. The increase was primarily related to a one-time $2.3 valuation allowance against our equity in investments booked in the fourth quarter of fiscal 2014, which did not occur during the fourth quarter of fiscal 2013. The effective tax benefit for the fourth quarter of fiscal 2013 was the result of an increase in the domestic production activities deduction estimate and other one-time adjustments in fiscal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50,749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(31,002)</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11,205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decrease in cash from operating activities for fiscal 2014 as compared to fiscal 2013 was the net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changes in net operating assets and liabilities of $17.9 million plus an increase of $5.9 million in our deferred income taxes, adjusted by an $1.1 million decrease in depreciation and amortization and a $0.6 million decrease in net income.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most significant drivers of cash generated from operating activities in fiscal 2014 were the net result of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of $22.2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amortization, share-based compensation, and other various non-cash activities of $18.9 million.</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generated of $37.3 million because of changes in balances of $30.7 million from construction-type contracts due to the timing of billing and production schedules; $5.4 million of customer deposits; $0.7 million of net collections of long-term receivables during this period; and $0.5 million of various other operating account changes.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consumed of $53.6 million because of a $21.6 million increase in accounts receivable due to an increase in sales; a $19.4 million increase in inventory for future deliveries; a $9.9 million increase in income taxes; a $0.9 million decrease in accounts payable; a $0.8 million decrease in warranty obligations; and $1.0 million decrease in various other operating account changes.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projects,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installation schedules. Balances are also impacted by the seasonality of the sports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increase in cash used in investing activities for fiscal 2014 as compared to fiscal 2013 was the net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purchases of property and equipment of $3.8 million. During fiscal 2014, we invested $5.4 million in manufacturing equipment, $3.4 million in product demonstration equipment, $3.1 million in information systems infrastructure, including software, and $1.6 million in other assets. Capital expenditures are expected to be $25 million for all of fiscal 2015.</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 million used for acquisitions during fiscal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net cash invested in marketable securities, net of sales and maturities of $2.5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decrease in cash used in financing activities for fiscal 2014 as compared to fiscal 2013 was the result of a $14.2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dividends paid to shareholders. Dividends of $16.7 million, or $0.39 per share, were paid during fiscal 2014 compared to $30.9 million, or $0.73 per share, in the prior year. During fiscal 2014, we paid $3.7 million related to debt assumed in our recent acquisition, which was offset by $3.6 million increase in proceeds from stock options exercised, which was partially offset by a non-recurring payment in fiscal 2013 to pay off notes payable of $1.5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Included in receivables and costs in excess of billings as of April 26, 2014 was approximately $7.6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retainage on long-term contracts, all of which is expected to be collected within one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Working capital was $140.5 million at April 26, 2014 and $125.5 million at April 27, 2013. The increase in working capital was primarily the result of higher sales and increases in cash, accounts receivable, and inventories, and decreases in accrued expenses and deferred revenue, which were partially offset by decreases in costs and estimated earnings in excess of billings and increases among customer deposits, accounts payable, warranty obligations, and billings in excess of cost and estimated earnings. We have historically financed working capital needs through a combination of cash flow from operations and borrowings under bank credit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income taxes, interest expense, depreciation and amortization, all as determined in accordance with GAAP. The effective interest rate was 1.6 percent at April 26, 2014. We are assessed a loan fee equal to 0.125 percent per annum of any non-used portion of the loan. As of April 26, 2014, there were no advances to us under the line of credit and the balance of letters of credit, outstanding was approximately $6.7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in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described above. The total credit allowed between the two credit agreements is limited to $40.0 million. As of April 26, 2014, there were no advances outstanding and approximately $4.6 million in bank guarantees under this line of credit.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April 26, 2014 and April 27, 2013. The minimum fixed charge coverage ratio as of April 26, 2014 was 56-to-1, and the ratio of interest-bearing debt to EBITDA as of April 26, 2014 was 0.06-to-1.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2013, our Board of Directors declared a semi-annual dividend of $0.12 per share on our common stock for the fiscal year ended April 27, 2013, which was paid on June 14,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22, 2013, the Board declared a quarterly dividend payment of $0.09 per share on our common stock for the first quarter ended July 27, 2013, which was paid on September 20, 2013.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21, 2013, the Board declared a quarterly dividend payment of $0.09 per share on our common stock for the second quarter ended October 26, 2013, which was paid on December 20, 2013.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27, 2014, the Board declared a quarterly dividend payment of $0.09 per share on our common stock for the third quarter ended on January 25, 2014, which was paid on March 21,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2014, our Board of Directors declared a semi-annual dividend of $0.10 per share on our common stock for the fiscal year ended April 26, 2014, payable on June 13, 2014 to shareholders of record of our common stock on June 2, 2014.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for an aggregate of $150.0 million in bonded work outstanding. At April 26, 2014, we had $16.0 million of bonded work outstanding against this line.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various lease, purchase and marketing obligations that require payments in future periods. Operating lease obligations relate primarily to leased manufacturing space, office space, furniture, and vehicles.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Conditional and unconditional purchase obligations represent future payments for inventory, advertising rights and various other products and services purchase commitments.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standby letters of credit and surety bonds with financial institutions relating to the guarantee of future performance on contracts, primarily construction type contracts. Performance guarantees are issued to certain customers to guarantee the operation and installation of the equipment and our ability to complete a contract. These performance guarantees have various terms, which are generally less than one year.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Guarantees include transactions in connection with the sale of equipment to various customers. Under these transactions, we have entered into contractual arrangements whereby we agreed to repurchase equipment at the end of the lease term at a fixed price. Our total obligations under these fixed price arrangements were $1.1 million and $1.3 million as of April 26, 2014 and April 27, 2013, respectively. In accordance with the provisions of ASC 460, Guarantees, there is no guarantee liability in accrued expenses that must be recognized, in connection with these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April 26, 2014,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4-5 Years</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After 5 Years</w:t>
            </w: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Cash commitments: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obligations and accrued interest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Conditional purchase obligations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97"/>
        </w:trPr>
        <w:tc>
          <w:tcPr>
            <w:tcW w:w="482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Standby letters of credit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Lines of credit interest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Surety bonds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Guarantees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jc w:val="both"/>
        <w:ind w:left="660" w:right="20" w:hanging="328"/>
        <w:spacing w:after="0" w:line="32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Unrecognized tax benefits relate to uncertain tax positions. As we are not able to reasonably estimate the timing of the payments or the amount by which the liability will increase or decrease over time, the related balances have not been reflected in any of the columns other than the total column.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inflation has not had a material effect on our operations or our financial condition, although it could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April 26, 2014, most of our net sales were denominated in United States dollars, and our exposure to foreign currency exchange rate changes on net sales has not been significant. For the fiscal year 2014, net sales originating outside the United States were 18 percent of total net sales, of which a portion was denominated in Canadian dollars, Euros, Chinese renminbi, British pounds, Australian dollars, Brazilian reais or other currencies. We manufacture our products in the United States, China, and Belgium.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$1.6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$5.3 million, and all contracts mature within fourteen months. These contracts are marked to market each balance sheet date and are not designated as hedges. See Note 15 of the Notes to our Consolidated Financial Statements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April 26, 2014,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April 26, 2014, our outstanding long-term receivables were $13.1 million. Each 25 basis point increase in interest rates would have an associated annual opportunity cost of $48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4553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$45.1 million in cash balances at April 26, 2014, $37.7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Daktronics, Inc. and subsidiaries (the Company) as of April 26, 2014 and April 27, 2013, and the related consolidated statements of operations, comprehensive income, shareholders' equity and cash flows for each of the three years in the period ended April 26, 2014. Our audits also included the financial statement schedule listed in the Index at Item 15(a)(2). These financial statements and schedule are the responsibility of the Company's management. Our responsibility is to express an opinion on these financial statements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Daktronics, Inc. and subsidiaries at April 26, 2014 and April 27, 2013, and the consolidated results of its operations and its cash flows for each of the three years in the period ended April 26, 2014, in conformity with U.S. generally accepted accounting principles. Also in our opinion, the related financial statement schedule referred to above, when considered in relation to the consolidated financial statements taken as a whole, presents fairly in all material respects, the information set forth therein.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Daktronics Inc.’s internal control over financial reporting as of April 26, 2014, based on criteria established in Internal Control-Integrated Framework issued by the Committee of Sponsoring Organizations of the Treadway Commission (1992 framework) and our report dated June 12, 2014,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63,227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240,148</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357,451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38,651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133,708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43,166,731 and 42,393,456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at April 26, 2014 and April 27, 2013,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203,119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188,246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357,451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96"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 w:right="239" w:bottom="96"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26,</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489,526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410,260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384,428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376,089</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113,437</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53,794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52,759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52,233</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27,422</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23,507</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103,162</w:t>
            </w:r>
          </w:p>
        </w:tc>
      </w:tr>
      <w:tr>
        <w:trPr>
          <w:trHeight w:val="237"/>
        </w:trPr>
        <w:tc>
          <w:tcPr>
            <w:tcW w:w="45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36,557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10,275</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5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37,241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11,577</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3,088</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22,206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42,886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41,869</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42,304</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675"/>
        </w:trPr>
        <w:tc>
          <w:tcPr>
            <w:tcW w:w="4500" w:type="dxa"/>
            <w:vAlign w:val="bottom"/>
          </w:tcPr>
          <w:p>
            <w:pPr>
              <w:spacing w:after="0"/>
              <w:rPr>
                <w:sz w:val="24"/>
                <w:szCs w:val="24"/>
                <w:color w:val="auto"/>
              </w:rPr>
            </w:pPr>
          </w:p>
        </w:tc>
        <w:tc>
          <w:tcPr>
            <w:tcW w:w="2700" w:type="dxa"/>
            <w:vAlign w:val="bottom"/>
          </w:tcPr>
          <w:p>
            <w:pPr>
              <w:jc w:val="right"/>
              <w:ind w:right="131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26,</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27,</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22,628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8,521</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203,102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8,489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(deduction)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(25,950)</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190,805</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(deduction)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(30,859)</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188,246</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(deduction)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4,667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(16,690)</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203,119</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26,</w:t>
            </w: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27,</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(Gain) Loss on sale of property and equipment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36,199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sales of property and equipment</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16,410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net of cash acquired</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tcBorders>
              <w:top w:val="single" w:sz="8" w:color="CCEEFF"/>
            </w:tcBorders>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Borrowings on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Payments on notes payable</w:t>
            </w:r>
          </w:p>
        </w:tc>
        <w:tc>
          <w:tcPr>
            <w:tcW w:w="1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(26,284)</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4,426</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97"/>
        </w:trPr>
        <w:tc>
          <w:tcPr>
            <w:tcW w:w="69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45,054</w:t>
            </w:r>
          </w:p>
        </w:tc>
        <w:tc>
          <w:tcPr>
            <w:tcW w:w="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40,628</w:t>
            </w:r>
          </w:p>
        </w:tc>
        <w:tc>
          <w:tcPr>
            <w:tcW w:w="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176"/>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6808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08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520"/>
          </w:cols>
          <w:pgMar w:left="240" w:top="122" w:right="11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520"/>
          </w:cols>
          <w:pgMar w:left="240" w:top="122" w:right="11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We operate on a 52 to 53 week fiscal year, with our fiscal year ending on the Saturday closest to April 30 of each year. When April 30 falls on a Wednesday, the fiscal year ends on the preceding Saturday. The fiscal years ended April 26, 2014, April 27, 2013 and April 28, 2012 each consisted of 52 weeks. Within each fiscal year, each quarter is comprised of 13 week periods following the beginning of each fiscal year. In each 53 week year, each of the last three quarters is comprised of a 13 week period, and an additional week is added to the first quarter of that fiscal year. Fiscal 2015 will be a 53-week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our accounts and the accounts of our wholly-owned subsidiaries – Daktronics France SARL; Daktronics Shanghai, Ltd.; Daktronics GmbH; Daktronics UK, Ltd.; Daktronics HK Limited; Daktronics International Limited; Daktronics Canada, Inc.; Daktronics Beijing, Ltd.; Daktronics Australia Pty Ltd.; Daktronics Installation; Daktronics Japan, Inc.; Daktronics Brazil, Ltda.; Daktronics Singapore Pte. Ltd.; Daktronics Belgium N.V.; and Daktronics Spain S.L. Intercompany balances and transactions have been eliminated in consolidation. Investments in affiliates over which we have significant influence are accounted for by the equity method. As of April 26, 2014 and April 27, 2013, we did not have any investments accounted for by the equity method.</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The preparation of financial statements in conformity with accounting principles generally accepted in the United States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and obsolete inventory, the reserve for doubtful accounts, share-based compensation, goodwill impairment and income taxes. Changes in estimates are reflected in the periods in which they become known.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Restricted cash consists of cash and cash equivalents held in bank deposit accounts to secure issuances of foreign bank guarantees.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Net sales are reported net of estimated sales returns and exclude sales taxes. We estimate our sales returns reserve based on historical return rates and analysis of specific accounts. Our sales returns reserve was $14 and $73 at April 26, 2014 and April 27, 2013, respectively.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Long-term construction-type contracts: </w:t>
      </w:r>
      <w:r>
        <w:rPr>
          <w:rFonts w:ascii="Arial" w:cs="Arial" w:eastAsia="Arial" w:hAnsi="Arial"/>
          <w:sz w:val="17"/>
          <w:szCs w:val="17"/>
          <w:color w:val="auto"/>
        </w:rPr>
        <w:t>Earnings on construction-type contracts are recognized on the percentage-of-completion method, measured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in which such losses are probable and capable of being estimated.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 related to such contracts is deferred and recognized ratably as net sales over the terms of the contracts, which vary up to 10 years. We record unrealized revenue in deferred revenue (billed or collected) in the liability section of the balance sheet.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 equipment service and technical support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are recognized as net sales when the services are performed. Net sales from services and product maintenance approximated 8.4 percent, 9.0 percent and 9.0 percent of net sales for the fiscal years ended April 26, 2014, April 27, 2013 and April 28, 2012, respectively.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 these limited cases, we provide some or all of such equipment and services to our customers under the terms of a single multiple-element sales arrangement. These arrangements typically involve the sale of equipment bundled with some or all of these services, but they may also involve instances in which we have contracted to deliver multiple pieces of equipment over time rather than at a single point in time.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and ASC 605-35</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they represent separate units of accounting. We perform this evaluation at the inception of an arrangement and as we deliver each item in the arrangement. We first consider the separation criteria of ASC 605-35. Deliverables not within the scope of ASC 605-35 are evaluated for separation under ASC 605-25. For those elements falling under the guidance of ASC 605-25, we generally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items included in a multiple-element arrangement represent separate units of accounting, we allocate the arrangement consideration to the individual items based on their relative fair values. The amount of arrangement consideration allocated to the delivered item(s) is limited to the amount not contingent on us delivering additional products or services. Once we have determined the amount, if any, of arrangement consideration allocable to the delivered item(s), we apply the applicable revenue recognition policy to determine when and by which method such amount may be recognized as revenue.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 If neither VSOE nor third party evidence is available, we use our best estimate of the selling price for that deliverable.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typically sell our proprietary software bundled with our video displays and certain other products, but we also sell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separately. Pursuant to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these criteria have been met.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Property and equipment is stated at cost and depreciated principally on the straight-line method over the following estimated useful lives: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$14,137, $15,379 and $17,273 for the fiscal years ended April 26, 2014, April 27, 2013 and April 28, 2012,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Long-Lived Assets</w:t>
      </w:r>
      <w:r>
        <w:rPr>
          <w:rFonts w:ascii="Arial" w:cs="Arial" w:eastAsia="Arial" w:hAnsi="Arial"/>
          <w:sz w:val="17"/>
          <w:szCs w:val="17"/>
          <w:color w:val="auto"/>
        </w:rPr>
        <w:t>: Long-lived assets other than goodwill and indefinite-lived intangible assets, as described in Note 5, which are separately tested for impairment, are evaluated for impairment whenever events or changes in circumstances indicate the carrying value may not be recoverable.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Software costs</w:t>
      </w:r>
      <w:r>
        <w:rPr>
          <w:rFonts w:ascii="Arial" w:cs="Arial" w:eastAsia="Arial" w:hAnsi="Arial"/>
          <w:sz w:val="16"/>
          <w:szCs w:val="16"/>
          <w:color w:val="auto"/>
        </w:rPr>
        <w:t>: We capitalize certain costs incurred in connection with developing or obtaining internal-use software. Capitalized software costs are included in property and equipment on our consolidated balance sheets. Software costs that do not meet capitalization criteria are expensed when incurred.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We are self-insured for certain losses related to health and liability claims and workers’ compensation, although we obtain third-party insurance to limit our exposure to these claims. We estimate our self-insured liabilities using a number of factors, including historical claims experience. Our self-insurance liability was $1,656 and $1,843 at April 26, 2014 and April 27, 2013, respectively, and is included in accrued expenses in our consolidated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income (loss).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We account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recognition of deferred tax liabilities and assets for the expected future tax consequences of events included in our financial statements or tax returns. Under this method, deferred tax liabilities and assets are determined based on the difference between the financial statement and tax basis of assets and liabilities using enacted tax rates in effect for the year in which the differences are expected to reverse. ASC 740 requires the consideration of a valuation allowance for deferred tax assets if it is “more likely than not” some component or all of the benefits of deferred tax assets will not be realized. Tax rate changes are reflected in income during the period such changes are enacted. We have benefited from a tax holiday in China that expired in fiscal 2012.</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income tax returns, like those of most companies, are periodically audited by U.S. federal, state and local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In evaluating the tax benefits associated with our various tax filing positions, we record a tax benefit for uncertain tax positions using the highest cumulative tax benefit that is more likely than not to be realized. A number of years may elapse before a particular matter for which we have established a liability is audited and effectively settled. We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include our liability for unrecognized tax benefits,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penalties and interest, in income taxes payable on our consolidated balance sheets and in income tax expense in our consolidated statements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Comprehensive income (loss)</w:t>
      </w:r>
      <w:r>
        <w:rPr>
          <w:rFonts w:ascii="Arial" w:cs="Arial" w:eastAsia="Arial" w:hAnsi="Arial"/>
          <w:sz w:val="18"/>
          <w:szCs w:val="18"/>
          <w:color w:val="auto"/>
        </w:rPr>
        <w:t xml:space="preserve">: 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which establishes standards for reporting and displaying comprehensive income and its components. Comprehensive income (loss) reflects the change in equity of a business enterprise during a period from transactions and other events and circumstances from non-owner sources. For us, comprehensive income (loss) represents net income (loss) adjusted for foreign currency translation adjustments and unrealized gains and losses on available-for-sale securities. The foreign currency translation adjustment included in comprehensive (loss) income has not been tax affected, as the investments in foreign affiliates are deemed to be permanent. In accordance with ASC 220 and Accounting Standards Update ("ASU") 2011-05, we disclose comprehensive income (loss) on a separate consolidated statement of comprehensive income.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All expenses related to product design and development are charged to operations as incurred. Our product development activities include the enhancement of existing products and the development of new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costs as incurred. Advertising expenses were $1,694, $1,584 and $1,843 for fiscal years 2014, 2013 and 2012,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 shipping and handling costs as a component of cost of sales at the time the product is shipped.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income and common stock share amounts used in the calculation of basic and diluted EPS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26, 2014, April 27, 2013 and April 28,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43,762</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27, 2013:</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42,621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28, 2012:</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42,304</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Options outstanding to purchase 1,564, 2,672 and 1,611 shares of common stock with a weighted average exercise price of $18.64, $15.09 and $19.17 per share during the fiscal years ended April 26, 2014, April 27, 2013 and April 28, 2012, respectively, were not included in the computation of diluted earnings per share because the weighted average exercise price of those instruments exceeded the average market price of the common shares during the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Share-based compensation</w:t>
      </w:r>
      <w:r>
        <w:rPr>
          <w:rFonts w:ascii="Arial" w:cs="Arial" w:eastAsia="Arial" w:hAnsi="Arial"/>
          <w:sz w:val="18"/>
          <w:szCs w:val="18"/>
          <w:color w:val="auto"/>
        </w:rPr>
        <w:t xml:space="preserve">: We account for share-based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for additional information and the assumptions we use to calculate the fair value of share-based employee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The amended guidance gives entities the option to perform a qualitative impairment assessment to determine whether it is more-likely-than-not an indefinite-lived intangible asset is impaired. An entity must identify and evaluate changes in economic, industry</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entity-specific events and circumstances affecting the significant inputs used to determine the fair value of an indefinite-lived intangible asset and whether it is more-likely-than-not the fair value exceeds its carrying amount. ASU 2012-02 is effective for annual and interim impairment tests performed for fiscal years beginning after September 15, 2012, with early adoption permitted. The adoption of this amended guidance did not have an impact on our consolidated results of operations or financial condition, as the ASU impacts only the analysis to be performed.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ASU 2013-02: </w:t>
      </w:r>
      <w:r>
        <w:rPr>
          <w:rFonts w:ascii="Arial" w:cs="Arial" w:eastAsia="Arial" w:hAnsi="Arial"/>
          <w:sz w:val="18"/>
          <w:szCs w:val="18"/>
          <w:i w:val="1"/>
          <w:iCs w:val="1"/>
          <w:color w:val="auto"/>
        </w:rPr>
        <w:t>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 </w:t>
      </w:r>
      <w:r>
        <w:rPr>
          <w:rFonts w:ascii="Arial" w:cs="Arial" w:eastAsia="Arial" w:hAnsi="Arial"/>
          <w:sz w:val="18"/>
          <w:szCs w:val="18"/>
          <w:color w:val="auto"/>
        </w:rPr>
        <w:t>an update to</w:t>
      </w:r>
      <w:r>
        <w:rPr>
          <w:rFonts w:ascii="Arial" w:cs="Arial" w:eastAsia="Arial" w:hAnsi="Arial"/>
          <w:sz w:val="18"/>
          <w:szCs w:val="18"/>
          <w:i w:val="1"/>
          <w:iCs w:val="1"/>
          <w:color w:val="auto"/>
        </w:rPr>
        <w:t xml:space="preserve"> Comprehensive Income </w:t>
      </w:r>
      <w:r>
        <w:rPr>
          <w:rFonts w:ascii="Arial" w:cs="Arial" w:eastAsia="Arial" w:hAnsi="Arial"/>
          <w:sz w:val="18"/>
          <w:szCs w:val="18"/>
          <w:color w:val="auto"/>
        </w:rPr>
        <w:t>(Topic 220). ASU 2013-02 requires an entity to present either on the face of the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where net income is presented or in the notes to the financial statements any significant amounts reclassified out of accumulated other comprehensive income by the respective line items in the statement presenting net income. Additionally, disclosures about the changes in each component of accumulated other comprehensive income are also required. ASU 2013-02 requires prospective application and is effective for fiscal years, and interim periods within those years, beginning after December 15, 2012. We adopted ASU 2013-02 in the first quarter of fiscal 2014, and there was no impact on our financial statements as related to disclosure only.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issued as a new topic,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providing guidance for transactions that were not previously addressed comprehensively, and improve guidance for multiple-element arrangements. This ASU is effective for us beginning in fiscal 2018 and can be adopted by the Company either retrospectively or as a cumulative-effect adjustment as of the date of adoption. We are currently evaluating the effect that adopting this new accounting guidance will have on our consolidated results of operations, cash flows, and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have organized our business into five segments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Commercial, Live Events, Schools and Theatres, Transportation, and International business units. These segments are based on the type of customer and geography.</w:t>
      </w:r>
    </w:p>
    <w:p>
      <w:pPr>
        <w:spacing w:after="0" w:line="12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Schools and Theatres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our segments follow the same accounting policies as those described in Note 1. Unabsorbed costs of domestic field sales and services infrastructure, including most field administrative staff, are allocated to the Commercial, Live Events, Transportation, and Schools and Theatres business units based on cost of sales. Shared manufacturing, building and utilities, and procurement costs are allocated based on payroll dollars, square footage and various other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148,585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197,246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158,562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160,933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59,662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54,861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73,270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48,284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518,322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30,503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19,071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13,579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87,916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81,135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61,204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30,929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22,206</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22,779</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405,479</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98,502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88,080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84,047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489,526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long-lived assets is due to a business combination as described in Note 4. 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ASU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income (loss). As it relates to fixed income marketable securities, we do not intend to sell any of these investments, and it is not more-likely-than-not we will be required to sell any of these investments before recovery of the entire amortized cost basis. In addition, as of April 26, 2014,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April 26, 2014 and April 27, 2013,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25,392</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9,596</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24,024</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income (loss)” into earnings based on the specific identification method. In the fiscal years ended April 26, 2014 and April 27, 2013, the reclassifications from accumulated other comprehensive income (loss) to net assets were immaterial. Realized gains and losses on sales and maturities of investments were immaterial in the fiscal years ended April 26, 2014 and April 27, 2013.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April 26,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4,964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7,321</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acquired 100 percent ownership in OPEN Out-of Home Solutions ("OPEN"), a Belgian company, on May 8, 2013 for an undisclosed amount. The results of its operations have been included in our consolidated financial statements since the date of acquisition. We have not made pro forma disclosures as the results of its operations are not material to our consolidated financial statements.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OPEN is a European manufacturer of cabinets and street furniture for the third-party advertising market. This acquisition expanded our product offerings to third-party advertisers as they increasingly adopt digital technology and included a manufacturing plant in</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0" w:name="page51"/>
    <w:bookmarkEnd w:id="50"/>
    <w:p>
      <w:pPr>
        <w:ind w:right="380"/>
        <w:spacing w:after="0" w:line="277" w:lineRule="auto"/>
        <w:rPr>
          <w:sz w:val="20"/>
          <w:szCs w:val="20"/>
          <w:color w:val="auto"/>
        </w:rPr>
      </w:pPr>
      <w:r>
        <w:rPr>
          <w:rFonts w:ascii="Arial" w:cs="Arial" w:eastAsia="Arial" w:hAnsi="Arial"/>
          <w:sz w:val="18"/>
          <w:szCs w:val="18"/>
          <w:color w:val="auto"/>
        </w:rPr>
        <w:t>Belgium to manufacture digital advertising displays. This acquisition was funded with cash on hand and a five-year promissory note that matures in May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2014, the purchase price allocation for the OPEN acquisition was completed. The excess of the purchase price over the net tangible and intangible assets was recorded as goodwill of $1,250 which primarily related to the value of an assembled workforce and is not deductible for tax purposes. Included in the purchase price allocation were acquired identifiable intangibles valued at $1,160 representing trade names with a useful life of 20 years and a customer list valued at $582 with a useful life of nine years. Also included in the purchase was $2,658 of property and equipment, $2,038 of inventory, $833 of other current assets offset by current operating liabilities of $1,230 and long and short term debt of $4,155. There were no material adjustments to the original purchase price allocation.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$2.3 million to be made over five years unless certain conditions in the business are not met. We have included the payment obligation in other long-term obligations in the balance sheet.</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OPEN's sales were included in the International business unit results and contributed $4.2 million of net sales during fiscal 2014. General and administrative expenses included $44 and $146 for the years ending April 26, 2014, and April 27, 2013, respectively, for professional fees relating to the acquisition.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xml:space="preserve">: We account for goodwill and intangible assets in accordance with ASC 350,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with investments related to equipment replacements and new product line manufacturing equipment needs, and to keep our information technology infrastructure robust, and we believe long-term receivables will decrease as we grow. We also have assumed through the recent economic downturn that our markets have not contracted for the long term; however, it may be a number of years before they fully recover. These assumptions could deviate materially from actual results.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We complete this annual analysis during our third quarter of each fiscal year, based on the goodwill amount as of the first business day of our third quarter in fiscal 2014, 2013, and 2012. The result of our analysis indicated no goodwill impairment existed for each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April 26,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r>
      <w:tr>
        <w:trPr>
          <w:trHeight w:val="229"/>
        </w:trPr>
        <w:tc>
          <w:tcPr>
            <w:tcW w:w="2740" w:type="dxa"/>
            <w:vAlign w:val="bottom"/>
          </w:tcPr>
          <w:p>
            <w:pPr>
              <w:ind w:left="500"/>
              <w:spacing w:after="0"/>
              <w:rPr>
                <w:sz w:val="20"/>
                <w:szCs w:val="20"/>
                <w:color w:val="auto"/>
              </w:rPr>
            </w:pPr>
            <w:r>
              <w:rPr>
                <w:rFonts w:ascii="Arial" w:cs="Arial" w:eastAsia="Arial" w:hAnsi="Arial"/>
                <w:sz w:val="18"/>
                <w:szCs w:val="18"/>
                <w:color w:val="auto"/>
              </w:rPr>
              <w:t>Acquisition, net of cash</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740" w:type="dxa"/>
            <w:vAlign w:val="bottom"/>
          </w:tcPr>
          <w:p>
            <w:pPr>
              <w:ind w:left="500"/>
              <w:spacing w:after="0"/>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w:t>
            </w: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ASC 350, intangibles with finite lives are amortized. We evaluate indefinite lived assets for impairment annually and whenever events or changes in circumstances indicate their carrying value may not be recoverable. The net value of intangible assets is shown on our consolidated balance sheets. Estimated amortization expense based on intangibles as of April 26, 2014 is $361 for each of the fiscal years 2015 through 2016, $228 for fiscal 2017, $133 for each of the fiscal years 2018 through 2019, and $1,062 for fiscal years after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gross carrying amount and accumulated amortization of intangible assets by major intangible class as of April 26,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27,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26, 2014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27, 2013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Average Life (in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years)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Net Value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Value</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Definite-lived:</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Indefinite-lived:</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We recorded a pretax asset impairment charge of $109, $64 and $538 for the fiscal years ended April 26, 2014, April 27, 2013 and April 28, 2012, respectively for other long-lived assets, including property and equipment. The impairment charges related to technology or equipment obsoleted due to technology improvements or to custom demo equipment with no resale value. Impairment charges during fiscal 2014, 2013, and 2012 were included primarily in product development and selling expense,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6. Selected Financial Statement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19,543</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62,228</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49,045</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reported net of the allowance for excess and obsolete inventory of $2,692 and $3,286 as of April 26, 2014 and April 27, 2013,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59,363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57,012</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15,754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16,118</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4,026</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208,995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195,266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133,641</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61,625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April 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Uncompleted Contracts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Uncompleted contracts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486,430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166,250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652,680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539,665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641,763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514,555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(14,245)</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$2,539 and $2,729 at April 26, 2014 and April 27, 2013, respectively.</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Charge-offs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retain a security interest in the equipment or in the cash flow generated by the equipment until the contract is paid. The present value of long-term contracts and lease receivables, including accrued interest and current maturities, was $13,112 and $16,132 as of April 26, 2014 and April 27, 2013, respectively. Contract and lease receivables bearing annual interest rates of 5.0 to 10.0 percent are due in varying annual installments through July 2022. The face amount of long-term receivables was $14,892 as of April 26, 2014 and $18,731 as of April 27, 2013. Included in accounts receivable as of April 26, 2014 and April 27, 2013 was $2,098 and $803, respectively, of retainage on construction-type contracts, all of which are expected to be collected within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Financing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1.6 percent at April 26, 2014. We are assessed a loan fee equal to 0.125 percent per annum of any non-used portion of the loan. As of April 26, 2014, there were no advances to us under the line of credit, and the balance of letters of credit outstanding was approximately $6.7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described above. The total credit allowed between the two credit agreements is limited to $40 million. As of April 26, 2014, there were no advances outstanding and approximately $4.6 million in bank guarantees under this line of credit.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April 26, 2014 and April 27, 2013. The minimum fixed charge coverage ratio as of April 26, 2014 was 56-to-1, and the ratio of interest-bearing debt to EBITDA as of April 26, 2014 was 0.06-to-1.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and 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authorized shares of 120,000,000 consist of 115,000,000 shares of common stock and 5,000,000 shares of “undesignated stock.” Our Board of Directors has the power to issue any or all of the shares of undesignated stock without shareholder approval, including the authority to establish the rights and preferences of the undesignated stock.</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outstanding share of our common stock includes one common share purchase right. Each right entitles the registered holder to purchase from us one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where a person or group has acquired beneficial ownership of 15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percent or more of our outstanding common shares. The rights expire on November 19, 2018, which date may be extended by our Board subject to certain additional conditions.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Stock incentive plans</w:t>
      </w:r>
      <w:r>
        <w:rPr>
          <w:rFonts w:ascii="Arial" w:cs="Arial" w:eastAsia="Arial" w:hAnsi="Arial"/>
          <w:sz w:val="16"/>
          <w:szCs w:val="16"/>
          <w:color w:val="auto"/>
        </w:rPr>
        <w:t>: During fiscal 2008, we established the 2007 Stock Incentive Plan (“2007 Plan”) and ceased granting options under the 2001 Incentive Stock Option Plan and the 2001 Outside Directors Option Plan (“2001 Plans”). The 2007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 vesting period. Stock options granted to independent directors under these plans have a seven-year life and an exercise price equal to the fair market value on the date of grant. Stock options granted to independent directors prior to fiscal 2010 vested annually over three years, and options granted in or after fiscal 2010 vest in one year. The restricted stock granted to independent directors vests in one year, provided that they remain on the Board. Restricted stock units are granted to employees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have a five-year annual vesting period. As with stock options, restricted stock and restricted stock unit ownership cannot be transferred during the vesting period.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April 26, 2014, the aggregate number of shares available for future grant under the 2007 Plan for stock options and restricted stock awards was 439 shares. Full value awards such as restricted stock and restricted stock unit awards reduce the number of shares available for issuance by a factor of two, and if such an award were forfeited or terminated without delivery of the shares, the number of shares again become eligible for issuance would be multiplied by a factor of two. Although the 2001 Plans remain in effect for options outstanding, no new options can be granted under these plans.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Restricted stock and restricted stock units</w:t>
      </w:r>
      <w:r>
        <w:rPr>
          <w:rFonts w:ascii="Arial" w:cs="Arial" w:eastAsia="Arial" w:hAnsi="Arial"/>
          <w:sz w:val="16"/>
          <w:szCs w:val="16"/>
          <w:color w:val="auto"/>
        </w:rPr>
        <w:t>: We issue restricted stock to our non-employee directors and restricted stock units to employees.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 stock unit awards was approximately $2,333 at April 26, 2014, which is expected to be recognized over a weighted-average period of 3.1 years. The total fair value of restricted stock vested was $804, $666, and $511 for fiscal years 2014, 2013, and 2012,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nonvested restricted stock and restricted stock units for the years ended April 26, 2014, April 27, 2013 and April 28, 2012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00"/>
              <w:spacing w:after="0"/>
              <w:rPr>
                <w:sz w:val="20"/>
                <w:szCs w:val="20"/>
                <w:color w:val="auto"/>
              </w:rPr>
            </w:pPr>
            <w:r>
              <w:rPr>
                <w:rFonts w:ascii="Arial" w:cs="Arial" w:eastAsia="Arial" w:hAnsi="Arial"/>
                <w:sz w:val="18"/>
                <w:szCs w:val="18"/>
                <w:b w:val="1"/>
                <w:bCs w:val="1"/>
                <w:color w:val="auto"/>
              </w:rPr>
              <w:t>April 26, 2014</w:t>
            </w:r>
          </w:p>
        </w:tc>
        <w:tc>
          <w:tcPr>
            <w:tcW w:w="2720" w:type="dxa"/>
            <w:vAlign w:val="bottom"/>
            <w:gridSpan w:val="5"/>
          </w:tcPr>
          <w:p>
            <w:pPr>
              <w:ind w:left="780"/>
              <w:spacing w:after="0"/>
              <w:rPr>
                <w:sz w:val="20"/>
                <w:szCs w:val="20"/>
                <w:color w:val="auto"/>
              </w:rPr>
            </w:pPr>
            <w:r>
              <w:rPr>
                <w:rFonts w:ascii="Arial" w:cs="Arial" w:eastAsia="Arial" w:hAnsi="Arial"/>
                <w:sz w:val="18"/>
                <w:szCs w:val="18"/>
                <w:b w:val="1"/>
                <w:bCs w:val="1"/>
                <w:color w:val="auto"/>
              </w:rPr>
              <w:t>April 27, 2013</w:t>
            </w: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April 28, 2012</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30"/>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all stock option plans during the fiscal year ended April 26, 2014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Aggregate</w:t>
            </w:r>
          </w:p>
        </w:tc>
      </w:tr>
      <w:tr>
        <w:trPr>
          <w:trHeight w:val="230"/>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27, 2013</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26, 2014</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Exercisable at April 26, 2014</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intrinsic value of stock options represents the difference between the exercise price of stock options and the fair market value of the underlying common stock at day's end for all in-the-money options. We define in-the-money options at April 26, 2014 as options having exercise prices lower than the $13.06 per share market price of our common stock. There were in-the-money options to purchase 1,091 shares exercisable at April 26, 2014. The total intrinsic value of options exercised during fiscal years 2014, 2013, and 2012 was $1,534, $562, and $624, respectively. The total fair value of stock options vested was $1,541, $1,898, and $2,497 for fiscal years 2014, 2013, and 2012,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fair value of options:</w:t>
      </w:r>
    </w:p>
    <w:p>
      <w:pPr>
        <w:spacing w:after="0" w:line="17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We estimate the volatility of our common stock at the date of grant based on historical volatility consistent with ASC 718 and SEC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Staff Accounting Bulletin No. 107, </w:t>
      </w:r>
      <w:r>
        <w:rPr>
          <w:rFonts w:ascii="Arial" w:cs="Arial" w:eastAsia="Arial" w:hAnsi="Arial"/>
          <w:sz w:val="17"/>
          <w:szCs w:val="17"/>
          <w:i w:val="1"/>
          <w:iCs w:val="1"/>
          <w:color w:val="auto"/>
        </w:rPr>
        <w:t>Share Based Payments</w:t>
      </w:r>
      <w:r>
        <w:rPr>
          <w:rFonts w:ascii="Arial" w:cs="Arial" w:eastAsia="Arial" w:hAnsi="Arial"/>
          <w:sz w:val="17"/>
          <w:szCs w:val="17"/>
          <w:color w:val="auto"/>
        </w:rPr>
        <w:t>. Our decision to use historical volatility instead of implied volatility was based upon analyzing historical data along with the lack of availability of history of actively traded options on our common stock.</w:t>
      </w:r>
    </w:p>
    <w:p>
      <w:pPr>
        <w:spacing w:after="0" w:line="16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dividend yield over the period of time we have paid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Year Ended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April 27,</w:t>
            </w:r>
          </w:p>
        </w:tc>
        <w:tc>
          <w:tcPr>
            <w:tcW w:w="3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2.03 - 2.34%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0.71 - 1.13%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1.10 - 1.50%</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0.71 - 2.15%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54.09 - 54.37%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45.60 - 46.15%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44.59 - 46.85%</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5.9 - 6.9 years</w:t>
            </w: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5.9 - 6.8 years</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5.9 - 6.8 years</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plan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2,500. The number of shares of common stock issued under the ESPP totaled 195, 214, and 160 shares in fiscal 2014, 2013, and 2012, respectively. The number of shares of common stock reserved for future employee purchases under the ESPP totaled 990 shares at April 26, 2014. The ESPP is intended to qualify under Section 423 of the Internal Revenue Code of 1986.</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April 26, 2014, there was $5,034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2.9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share-based compensation expenses for stock options, restricted stock, restricted stock units and shares issued under the ESPP for the fiscal years ended April 26, 2014, April 27, 2013 and April 28, 2012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$4,954 in cash from option exercises under all share-based payment arrangements for the fiscal year ended April 26, 2014. The tax (expense) benefit related to non-qualified options and restricted stock units under all share-based payment arrangements totaled $(126), $346, and $325 for fiscal years 2014,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401(k) savings plan under which eligible U.S. employees may choose to make voluntary contributions of such employee's compensation on a pretax basis, subject to certain Internal Revenue Service (IRS) limits. We make matching contributions equal to 50 percent (25 percent from August 1, 2010 to January 29, 2011) of the employee's qualifying contribution up to six percent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$1,859, $1,713 and $1,618 to the plan for fiscal years 2014, 2013, and 2012, respectively.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unfunded deferred compensation agreements with certain officers and a former director under which interest is credited each year to each participant’s account in an amount equal to the five-year Treasury note rate as of January 1 of each plan year. Total amounts accrued for these plans as of April 26, 2014 and April 27, 2013 was $522 and $629, respectively. Contributions for each of the fiscal years 2014, 2013, and 2012 were $23, $23 and $23, respectively. The amounts accrued under the plans are not funded and are subject to the claims of the participants’ creditors. Participants may elect various forms of withdrawals upon retirement, including a lump sum distribution or annual payments over five or 10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IRS on prior years and the expiration of statutes of limitations, fiscal years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52525"/>
        </w:rPr>
        <w:t xml:space="preserve">On January 2, 2013, the President signed into law The American Taxpayer Relief Act of 2012 reinstating the federal research and development credit for the 2012 and 2013 calendar years. </w:t>
      </w:r>
      <w:r>
        <w:rPr>
          <w:rFonts w:ascii="Arial" w:cs="Arial" w:eastAsia="Arial" w:hAnsi="Arial"/>
          <w:sz w:val="16"/>
          <w:szCs w:val="16"/>
          <w:color w:val="000000"/>
        </w:rPr>
        <w:t>As a result of the retroactive extension, we recognized approximately $1,804 in tax benefits during fiscal year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Computed income tax expense at federal</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statutory rate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Change in foreign deferred rates</w:t>
            </w:r>
          </w:p>
        </w:tc>
        <w:tc>
          <w:tcPr>
            <w:tcW w:w="22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operated under a tax holiday in China which expired in fiscal 2012. As noted above, the expiration of this tax holiday caused a $249 decrease in our income tax expense in fiscal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pretax income attributable to domestic and foreign operations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components of the net deferred tax asset were as follows: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reserves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losses on equity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Deferred maintenance revenue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Reserves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Inventory capitalization</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Valuation allowance on equity investments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12,666</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deferred tax assets, including net operating losses, and to the extent we believe the asset may not be realized, we recognize a valuation allowance. As of April 26, 2014 and April 27, 2013, we had recorded $2.3 million and $0 in valuation allowances, respectively. We believe our net deferred tax assets, with the exception of the deferred tax asset related to the valuation allowance noted above, will be fully realized based upon our estimates of the future taxable income. If our estimates of future taxable income are not met in future periods, an additional valuation allowance for some of these deferred tax assets may be required.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recorded U.S. deferred income taxes on certain of our non-U.S. subsidiaries’ undistributed earnings, as such amounts are intended to be reinvested outside the United States indefinitely. However, should we change our business and tax strategies in the future and decide to repatriate a portion of these earnings to one of our U.S. subsidiaries, including cash maintained by these non-U.S. subsidiaries, additional U.S. tax liabilities would be incurred. It is not practical at this time to estimate the amount of additional U.S. tax liabilities we would incur.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income tax net operating loss carryforwards related to our international operations of approximately $2.3 million which all have an indefinite life.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 deferred tax asset of $0.8 million reflecting the benefit of $2.3 million in loss carryforwards. As stated, such deferred tax assets have an indefinite life and do not expire. They are as follows by jurisdiction: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April 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536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ind w:left="480"/>
              <w:spacing w:after="0"/>
              <w:rPr>
                <w:sz w:val="20"/>
                <w:szCs w:val="20"/>
                <w:color w:val="auto"/>
              </w:rPr>
            </w:pPr>
            <w:r>
              <w:rPr>
                <w:rFonts w:ascii="Arial" w:cs="Arial" w:eastAsia="Arial" w:hAnsi="Arial"/>
                <w:sz w:val="18"/>
                <w:szCs w:val="18"/>
                <w:b w:val="1"/>
                <w:bCs w:val="1"/>
                <w:color w:val="auto"/>
              </w:rPr>
              <w:t>2013</w:t>
            </w:r>
          </w:p>
        </w:tc>
      </w:tr>
      <w:tr>
        <w:trPr>
          <w:trHeight w:val="27"/>
        </w:trPr>
        <w:tc>
          <w:tcPr>
            <w:tcW w:w="5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1"/>
                <w:szCs w:val="21"/>
                <w:color w:val="auto"/>
              </w:rPr>
            </w:pPr>
          </w:p>
        </w:tc>
        <w:tc>
          <w:tcPr>
            <w:tcW w:w="1720" w:type="dxa"/>
            <w:vAlign w:val="bottom"/>
          </w:tcPr>
          <w:p>
            <w:pPr>
              <w:ind w:left="144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Pr>
          <w:p>
            <w:pPr>
              <w:spacing w:after="0"/>
              <w:rPr>
                <w:sz w:val="20"/>
                <w:szCs w:val="20"/>
                <w:color w:val="auto"/>
              </w:rPr>
            </w:pPr>
          </w:p>
        </w:tc>
        <w:tc>
          <w:tcPr>
            <w:tcW w:w="1600" w:type="dxa"/>
            <w:vAlign w:val="bottom"/>
            <w:tcBorders>
              <w:top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Realization is dependent on generating sufficient taxable income prior to expiration of the loss carryforwards. Although realization is not assured, management believes it is more likely than not that all of the deferred tax asset will be realized. The amount of the deferred</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tax asset considered realizable, however, could be reduced in the near term if estimates of future taxable income during the carryforward period are reduced.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the net deferred tax assets on the accompanying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account for uncertainties in tax positions under the provisions of ASC 740-10, </w:t>
      </w:r>
      <w:r>
        <w:rPr>
          <w:rFonts w:ascii="Arial" w:cs="Arial" w:eastAsia="Arial" w:hAnsi="Arial"/>
          <w:sz w:val="18"/>
          <w:szCs w:val="18"/>
          <w:i w:val="1"/>
          <w:iCs w:val="1"/>
          <w:color w:val="auto"/>
        </w:rPr>
        <w:t>Accounting for Uncertainty in Income Taxes, an Interpretation of SFAS</w:t>
      </w:r>
      <w:r>
        <w:rPr>
          <w:rFonts w:ascii="Arial" w:cs="Arial" w:eastAsia="Arial" w:hAnsi="Arial"/>
          <w:sz w:val="18"/>
          <w:szCs w:val="18"/>
          <w:color w:val="auto"/>
        </w:rPr>
        <w:t xml:space="preserve"> </w:t>
      </w:r>
      <w:r>
        <w:rPr>
          <w:rFonts w:ascii="Arial" w:cs="Arial" w:eastAsia="Arial" w:hAnsi="Arial"/>
          <w:sz w:val="18"/>
          <w:szCs w:val="18"/>
          <w:i w:val="1"/>
          <w:iCs w:val="1"/>
          <w:color w:val="auto"/>
        </w:rPr>
        <w:t>No. 109</w:t>
      </w:r>
      <w:r>
        <w:rPr>
          <w:rFonts w:ascii="Arial" w:cs="Arial" w:eastAsia="Arial" w:hAnsi="Arial"/>
          <w:sz w:val="18"/>
          <w:szCs w:val="18"/>
          <w:color w:val="auto"/>
        </w:rPr>
        <w:t>. ASC 740-10 creates a single model to address uncertainty in tax positions and clarifies the accounting for income taxes by prescribing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threshold a tax position is required to meet before being recognized in the financial statements. ASC 740-10 also provides guidance on derecognition, measurement, classification, interest and penalties, accounting in interim periods, disclosure and transition. The following table provides a reconciliation of changes in unrecognized tax benefits for fiscal years 2014,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37"/>
        </w:trPr>
        <w:tc>
          <w:tcPr>
            <w:tcW w:w="7880" w:type="dxa"/>
            <w:vAlign w:val="bottom"/>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37"/>
        </w:trPr>
        <w:tc>
          <w:tcPr>
            <w:tcW w:w="788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unrecognized tax benefits would have an impact on the effective tax rate if recognized. We recognized an expense (benefit) of $20, $10 and $(1) in net interest and penalties during the years ended April 26, 2014, April 27, 2013 and April 28, 2012, respectively. Interest and penalties recognized are recorded in income taxes in our consolidated statements of operations. We had accrued $15 and $11 in net interest or penalties as of April 26, 2014 and April 27, 2013,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13. Cash Flow Information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Advertising rights and other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Supplemental disclosures of cash flow information consisted of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26,</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27,</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28,</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employee stock</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plan</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liabilities in markets not considered to be active, inputs other than quoted prices that are observable for the asset or liability, or market-corroborated input.)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April 26, 2014 and April 27, 2013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 Government sponsored entities</w:t>
      </w:r>
      <w:r>
        <w:rPr>
          <w:rFonts w:ascii="Arial" w:cs="Arial" w:eastAsia="Arial" w:hAnsi="Arial"/>
          <w:sz w:val="18"/>
          <w:szCs w:val="18"/>
          <w:color w:val="auto"/>
        </w:rPr>
        <w:t>: Consist of Fannie Mae and Federal Home Loan Bank investment grade debt securities trading with sufficient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volume to enable us to obtain pricing information on an ongoing basis. The fair value of these securities was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measured based on valuations observed in less active markets than Level 1 investments. The contractual maturities of these investments vary from one month to three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15 for more information regarding our derivatives.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primarily level 3 inputs, to value the assets and liabilities for the business combination involving OPEN, which occurred during the first three months of fiscal 2014. See Note 4 for more information on the business combination. We did not make any material business combinations or recognize significant impairment losses during fiscal 2014 or fiscal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April 26, 2014 and April 27, 2013, we had not designated any of our derivative instruments as accounting hedges, and thus we recorded the changes in fair value in other (expense) income, net.</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April 26, 2014 and April 27,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60"/>
              <w:spacing w:after="0"/>
              <w:rPr>
                <w:sz w:val="20"/>
                <w:szCs w:val="20"/>
                <w:color w:val="auto"/>
              </w:rPr>
            </w:pPr>
            <w:r>
              <w:rPr>
                <w:rFonts w:ascii="Arial" w:cs="Arial" w:eastAsia="Arial" w:hAnsi="Arial"/>
                <w:sz w:val="18"/>
                <w:szCs w:val="18"/>
                <w:b w:val="1"/>
                <w:bCs w:val="1"/>
                <w:color w:val="auto"/>
              </w:rPr>
              <w:t>April 26, 2014</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Dollars/Brazilian Reais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26, 2014 and April 27, 2013, there was a net liability and asset of $85 and $7,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Our assessment of whether a loss is reasonably possible or probable is based on our assessment and consultation with legal counsel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ultimate outcome of the matter following all appeals.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26, 2014, we did not believe there was a reasonable possibility that any material loss for these various claims or legal actions, including reviews, inspections or other legal proceedings, if any, would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and $1,285 as of April 26, 2014 and April 27, 2013, respectively.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there was no guarantee liability in accrued expenses that needed to be recognized in connection with these arrangements.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and sometimes more.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fiscal years ended April 26, 2014 and April 27, 2013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26, 2014</w:t>
            </w:r>
          </w:p>
        </w:tc>
        <w:tc>
          <w:tcPr>
            <w:tcW w:w="1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April 27, 2013</w:t>
            </w: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22,215</w:t>
            </w: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11,140</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r>
      <w:tr>
        <w:trPr>
          <w:trHeight w:val="229"/>
        </w:trPr>
        <w:tc>
          <w:tcPr>
            <w:tcW w:w="5200" w:type="dxa"/>
            <w:vAlign w:val="bottom"/>
          </w:tcPr>
          <w:p>
            <w:pPr>
              <w:ind w:left="420"/>
              <w:spacing w:after="0"/>
              <w:rPr>
                <w:sz w:val="20"/>
                <w:szCs w:val="20"/>
                <w:color w:val="auto"/>
              </w:rPr>
            </w:pPr>
            <w:r>
              <w:rPr>
                <w:rFonts w:ascii="Arial" w:cs="Arial" w:eastAsia="Arial" w:hAnsi="Arial"/>
                <w:sz w:val="18"/>
                <w:szCs w:val="18"/>
                <w:color w:val="auto"/>
                <w:w w:val="96"/>
              </w:rPr>
              <w:t>Changes in accrued warranty costs for pre-existing warranties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0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5,666</w:t>
            </w: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25,146</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April 26, 2014, we had outstanding letters of credit and surety bonds in the amount of $11,350 and $16,048, respectively. Performance guarantees are issued to certain customers to guarantee the operation and installation of the equipment and our ability to complete a contract. These performance guarantees have various terms, which are generally less than one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$2,742, $2,749 and $3,159 for the fiscal years ended April 26, 2014, April 27, 2013 and April 28, 2012,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April 26,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April 26, 2014, we were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obligated under the following conditional and unconditional purchase commitments, which included $900 in conditional purchase commitments.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obligations: W</w:t>
      </w:r>
      <w:r>
        <w:rPr>
          <w:rFonts w:ascii="Arial" w:cs="Arial" w:eastAsia="Arial" w:hAnsi="Arial"/>
          <w:sz w:val="18"/>
          <w:szCs w:val="18"/>
          <w:color w:val="auto"/>
        </w:rPr>
        <w:t>e are obligated to pay the following payments for an acquisition and for other various obligations.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300" w:type="dxa"/>
            <w:vAlign w:val="bottom"/>
            <w:gridSpan w:val="2"/>
          </w:tcPr>
          <w:p>
            <w:pPr>
              <w:ind w:left="920"/>
              <w:spacing w:after="0"/>
              <w:rPr>
                <w:sz w:val="20"/>
                <w:szCs w:val="20"/>
                <w:color w:val="auto"/>
              </w:rPr>
            </w:pPr>
            <w:r>
              <w:rPr>
                <w:rFonts w:ascii="Arial" w:cs="Arial" w:eastAsia="Arial" w:hAnsi="Arial"/>
                <w:sz w:val="18"/>
                <w:szCs w:val="18"/>
                <w:b w:val="1"/>
                <w:bCs w:val="1"/>
                <w:color w:val="auto"/>
              </w:rPr>
              <w:t>April 26, 2014</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47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Deferred purchase price</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Less: current price</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47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47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22, 2014, our Board of Directors declared a semi-annual dividend of $0.10 per share on our common stock for the fiscal year ended April 26, 2014, payable on June 13, 2014 to holders of record of our common stock on June 2,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w w:val="94"/>
              </w:rPr>
              <w:t>The following table presents summarized quarterly financial data:</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2014 Quarter Ended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27,</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25,</w:t>
            </w:r>
          </w:p>
        </w:tc>
        <w:tc>
          <w:tcPr>
            <w:tcW w:w="20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April 26,</w:t>
            </w:r>
          </w:p>
        </w:tc>
      </w:tr>
      <w:tr>
        <w:trPr>
          <w:trHeight w:val="234"/>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136,240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43,365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33,754</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527"/>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2013 Quarter Ended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20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April 27,</w:t>
            </w:r>
          </w:p>
        </w:tc>
      </w:tr>
      <w:tr>
        <w:trPr>
          <w:trHeight w:val="234"/>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124,482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36,390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27,049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28,103</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April 26, 2014,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as of April 26, 2014,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April 26, 2014 and thereafter,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(1992 framework). Based on our evaluation under the framework in Internal Control—Integrated Framework, our management concluded our internal control over financial reporting was effective as of April 26,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April 26, 2014 has been audited by Ernst &amp; Young LLP, our independent registered public accounting firm, as stated in their report that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w w:val="91"/>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June 12, 2014</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June 12, 2014</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63</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Daktronics, Inc. and subsidiaries’ internal control over financial reporting as of April 26, 2014, based on criteria established in Internal Control-Integrated Framework issued by the Committee of Sponsoring Organizations of the Treadway Commission (1992 framework) (the COSO criteria). Daktronics,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April 26, 2014,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April 26, 2014 and April 27, 2013, and the related consolidated statements of operations, comprehensive income, shareholders’ equity and cash flows for each of the three years in the period ended April 26, 2014 of Daktronics, Inc. and subsidiaries and our report dated June 12,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this Item 10 will be included under the captions “Proposal One - Election of Directors” and “Corporate Governance” in our Proxy Statement for our 2014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April 26, 2014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contained in our Proxy Statement. There were no related party transactions in fiscal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5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Balance Sheets as of April 26, 2014 and April 27, 2013</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Operations for each of the three fiscal years ended April 26, 2014, April 27, 2013 and April 28, 2012</w:t>
        </w:r>
      </w:hyperlink>
    </w:p>
    <w:p>
      <w:pPr>
        <w:spacing w:after="0" w:line="9" w:lineRule="exact"/>
        <w:rPr>
          <w:sz w:val="20"/>
          <w:szCs w:val="20"/>
          <w:color w:val="auto"/>
        </w:rPr>
      </w:pPr>
    </w:p>
    <w:p>
      <w:pPr>
        <w:ind w:left="50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Consolidated Statements of Comprehensive Income for each of the three fiscal years ended April 26, 2014, April 27, 2013 and April 28, 2012</w:t>
        </w:r>
      </w:hyperlink>
    </w:p>
    <w:p>
      <w:pPr>
        <w:spacing w:after="0" w:line="21" w:lineRule="exact"/>
        <w:rPr>
          <w:sz w:val="20"/>
          <w:szCs w:val="20"/>
          <w:color w:val="auto"/>
        </w:rPr>
      </w:pPr>
    </w:p>
    <w:p>
      <w:pPr>
        <w:ind w:left="500"/>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Consolidated Statements of Shareholders’ Equity for each of the three fiscal years ended April 26, 2012, April 27, 2013 and April 28, 2012</w:t>
        </w:r>
      </w:hyperlink>
    </w:p>
    <w:p>
      <w:pPr>
        <w:spacing w:after="0" w:line="21" w:lineRule="exact"/>
        <w:rPr>
          <w:sz w:val="20"/>
          <w:szCs w:val="20"/>
          <w:color w:val="auto"/>
        </w:rPr>
      </w:pPr>
    </w:p>
    <w:p>
      <w:pPr>
        <w:ind w:left="5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Cash Flows for each of the three fiscal years ended April 26, 2014, April 27, 2013 and April 28, 2012</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180"/>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71">
        <w:r>
          <w:rPr>
            <w:rFonts w:ascii="Arial" w:cs="Arial" w:eastAsia="Arial" w:hAnsi="Arial"/>
            <w:sz w:val="18"/>
            <w:szCs w:val="18"/>
            <w:u w:val="single" w:color="auto"/>
            <w:color w:val="0000EE"/>
          </w:rPr>
          <w:t>Schedule II – Valuation and Qualifying Accounts</w:t>
        </w:r>
      </w:hyperlink>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66040</wp:posOffset>
            </wp:positionV>
            <wp:extent cx="65862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spacing w:after="0" w:line="96" w:lineRule="exact"/>
        <w:rPr>
          <w:sz w:val="20"/>
          <w:szCs w:val="20"/>
          <w:color w:val="auto"/>
        </w:rPr>
      </w:pPr>
    </w:p>
    <w:p>
      <w:pPr>
        <w:ind w:left="1040" w:right="920" w:hanging="526"/>
        <w:spacing w:after="0" w:line="277"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13, 2013 ).</w:t>
      </w:r>
    </w:p>
    <w:p>
      <w:pPr>
        <w:spacing w:after="0" w:line="8" w:lineRule="exact"/>
        <w:rPr>
          <w:sz w:val="20"/>
          <w:szCs w:val="20"/>
          <w:color w:val="auto"/>
        </w:rPr>
      </w:pPr>
    </w:p>
    <w:p>
      <w:pPr>
        <w:ind w:left="1040" w:right="700" w:hanging="526"/>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by reference to Exhibit 3.4 filed with our Annual Report on Form 10-K on June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134620</wp:posOffset>
            </wp:positionV>
            <wp:extent cx="65862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spacing w:after="0" w:line="204" w:lineRule="exact"/>
        <w:rPr>
          <w:sz w:val="20"/>
          <w:szCs w:val="20"/>
          <w:color w:val="auto"/>
        </w:rPr>
      </w:pPr>
    </w:p>
    <w:p>
      <w:pPr>
        <w:ind w:left="1040" w:right="780" w:hanging="526"/>
        <w:spacing w:after="0" w:line="317" w:lineRule="auto"/>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ind w:left="520"/>
        <w:spacing w:after="0"/>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Rights Agreement (Incorporated by reference to Exhibit 4.1 filed with our Form 8-A on August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5862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spacing w:after="0" w:line="43" w:lineRule="exact"/>
        <w:rPr>
          <w:sz w:val="20"/>
          <w:szCs w:val="20"/>
          <w:color w:val="auto"/>
        </w:rPr>
      </w:pPr>
    </w:p>
    <w:p>
      <w:pPr>
        <w:ind w:left="1040" w:right="1220" w:hanging="526"/>
        <w:spacing w:after="0" w:line="277" w:lineRule="auto"/>
        <w:tabs>
          <w:tab w:leader="none" w:pos="10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2001 Incentive Stock Option Plan (Incorporated by reference to Exhibit 4.1 to our Registration Statement on Form S-8 filed on November 8, 2001 as Commission File No. 333-72990).*</w:t>
      </w:r>
    </w:p>
    <w:p>
      <w:pPr>
        <w:spacing w:after="0" w:line="8" w:lineRule="exact"/>
        <w:rPr>
          <w:sz w:val="20"/>
          <w:szCs w:val="20"/>
          <w:color w:val="auto"/>
        </w:rPr>
      </w:pPr>
    </w:p>
    <w:p>
      <w:pPr>
        <w:ind w:left="1040" w:right="620" w:hanging="526"/>
        <w:spacing w:after="0" w:line="277" w:lineRule="auto"/>
        <w:tabs>
          <w:tab w:leader="none" w:pos="10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2001 Outside Directors Stock Option Plan (Incorporated by reference to Exhibit 4.2 to our Registration Statement on Form S-8 filed on November 8, 2001 as Commission File No. 333-72990).*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65862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ind w:left="1040" w:right="600" w:hanging="526"/>
        <w:spacing w:after="0" w:line="277" w:lineRule="auto"/>
        <w:tabs>
          <w:tab w:leader="none" w:pos="10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Daktronics, Inc. 2007 Incentive Stock Plan (Incorporated by reference to Exhibit 10.1 filed with our Quarterly Report on Form 10-Q on August 20, 2007).*</w:t>
      </w:r>
    </w:p>
    <w:p>
      <w:pPr>
        <w:spacing w:after="0" w:line="8" w:lineRule="exact"/>
        <w:rPr>
          <w:sz w:val="20"/>
          <w:szCs w:val="20"/>
          <w:color w:val="auto"/>
        </w:rPr>
      </w:pPr>
    </w:p>
    <w:p>
      <w:pPr>
        <w:ind w:left="1040" w:right="720" w:hanging="526"/>
        <w:spacing w:after="0" w:line="277" w:lineRule="auto"/>
        <w:tabs>
          <w:tab w:leader="none" w:pos="1020" w:val="left"/>
        </w:tabs>
        <w:rPr>
          <w:sz w:val="20"/>
          <w:szCs w:val="20"/>
          <w:color w:val="auto"/>
        </w:rPr>
      </w:pPr>
      <w:r>
        <w:rPr>
          <w:rFonts w:ascii="Arial" w:cs="Arial" w:eastAsia="Arial" w:hAnsi="Arial"/>
          <w:sz w:val="18"/>
          <w:szCs w:val="18"/>
          <w:color w:val="auto"/>
        </w:rPr>
        <w:t>10.1</w:t>
        <w:tab/>
        <w:t>Amended and Restated Deferred Compensation Agreement Between the Company and Aelred Kurtenbach (Incorporated by reference to Exhibit 10.1 filed with our Annual Report on Form 10-K on June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65862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ind w:left="1040" w:right="960" w:hanging="526"/>
        <w:spacing w:after="0" w:line="277" w:lineRule="auto"/>
        <w:tabs>
          <w:tab w:leader="none" w:pos="1020" w:val="left"/>
        </w:tabs>
        <w:rPr>
          <w:sz w:val="20"/>
          <w:szCs w:val="20"/>
          <w:color w:val="auto"/>
        </w:rPr>
      </w:pPr>
      <w:r>
        <w:rPr>
          <w:rFonts w:ascii="Arial" w:cs="Arial" w:eastAsia="Arial" w:hAnsi="Arial"/>
          <w:sz w:val="18"/>
          <w:szCs w:val="18"/>
          <w:color w:val="auto"/>
        </w:rPr>
        <w:t>10.2</w:t>
        <w:tab/>
        <w:t>Loan Agreement dated October 14, 1998 between U.S. Bank National Association and the Company (Incorporated by reference to Exhibit 10.6 filed with our Quarterly Report on Form 10-Q filed on December 11, 1998).</w:t>
      </w:r>
    </w:p>
    <w:p>
      <w:pPr>
        <w:spacing w:after="0" w:line="8" w:lineRule="exact"/>
        <w:rPr>
          <w:sz w:val="20"/>
          <w:szCs w:val="20"/>
          <w:color w:val="auto"/>
        </w:rPr>
      </w:pPr>
    </w:p>
    <w:p>
      <w:pPr>
        <w:ind w:left="1040" w:right="760" w:hanging="526"/>
        <w:spacing w:after="0" w:line="298" w:lineRule="auto"/>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Eighth Amendment to Loan Agreement dated November 12, 2009 by and between the Company and U.S. Bank National Association (Incorporated by reference to Exhibit 10.1 filed with our Current Report on Form 8-K filed on November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-6985</wp:posOffset>
            </wp:positionV>
            <wp:extent cx="65862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ind w:left="1040" w:right="840" w:hanging="526"/>
        <w:spacing w:after="0" w:line="308"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Tenth Amendment to Loan Agreement dated November 15, 2011 by and between the Company and U.S. Bank National Association (Incorporated by reference to Exhibit 10.1 filed with our Current Report on Form 8-K filed on November 17, 2011).</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10.5</w:t>
            </w:r>
          </w:p>
        </w:tc>
        <w:tc>
          <w:tcPr>
            <w:tcW w:w="9920" w:type="dxa"/>
            <w:vAlign w:val="bottom"/>
          </w:tcPr>
          <w:p>
            <w:pPr>
              <w:ind w:left="100"/>
              <w:spacing w:after="0"/>
              <w:rPr>
                <w:sz w:val="20"/>
                <w:szCs w:val="20"/>
                <w:color w:val="auto"/>
              </w:rPr>
            </w:pPr>
            <w:r>
              <w:rPr>
                <w:rFonts w:ascii="Arial" w:cs="Arial" w:eastAsia="Arial" w:hAnsi="Arial"/>
                <w:sz w:val="18"/>
                <w:szCs w:val="18"/>
                <w:color w:val="auto"/>
                <w:w w:val="91"/>
              </w:rPr>
              <w:t>Eleventh Amendment to Loan Agreement dated November 9, 2012 by and between the Company and U.S. Bank National Association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92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9, 2012).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10.6</w:t>
            </w:r>
          </w:p>
        </w:tc>
        <w:tc>
          <w:tcPr>
            <w:tcW w:w="99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3"/>
              </w:rPr>
              <w:t>Renewal Revolving Note dated November 15, 2013 issued by the Company to the U.S. Bank National Association. (Incorporated by</w:t>
            </w:r>
          </w:p>
        </w:tc>
        <w:tc>
          <w:tcPr>
            <w:tcW w:w="0" w:type="dxa"/>
            <w:vAlign w:val="bottom"/>
          </w:tcPr>
          <w:p>
            <w:pPr>
              <w:spacing w:after="0"/>
              <w:rPr>
                <w:sz w:val="1"/>
                <w:szCs w:val="1"/>
                <w:color w:val="auto"/>
              </w:rPr>
            </w:pPr>
          </w:p>
        </w:tc>
      </w:tr>
      <w:tr>
        <w:trPr>
          <w:trHeight w:val="67"/>
        </w:trPr>
        <w:tc>
          <w:tcPr>
            <w:tcW w:w="440" w:type="dxa"/>
            <w:vAlign w:val="bottom"/>
            <w:shd w:val="clear" w:color="auto" w:fill="CCEEFF"/>
          </w:tcPr>
          <w:p>
            <w:pPr>
              <w:spacing w:after="0"/>
              <w:rPr>
                <w:sz w:val="5"/>
                <w:szCs w:val="5"/>
                <w:color w:val="auto"/>
              </w:rPr>
            </w:pPr>
          </w:p>
        </w:tc>
        <w:tc>
          <w:tcPr>
            <w:tcW w:w="9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20"/>
                <w:szCs w:val="20"/>
                <w:color w:val="auto"/>
              </w:rPr>
            </w:pP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reference to Exhibit 10.2 filed with our Current Report on Form 8-K filed on November 18, 2013).</w:t>
            </w:r>
          </w:p>
        </w:tc>
        <w:tc>
          <w:tcPr>
            <w:tcW w:w="0" w:type="dxa"/>
            <w:vAlign w:val="bottom"/>
          </w:tcPr>
          <w:p>
            <w:pPr>
              <w:spacing w:after="0"/>
              <w:rPr>
                <w:sz w:val="1"/>
                <w:szCs w:val="1"/>
                <w:color w:val="auto"/>
              </w:rPr>
            </w:pPr>
          </w:p>
        </w:tc>
      </w:tr>
      <w:tr>
        <w:trPr>
          <w:trHeight w:val="108"/>
        </w:trPr>
        <w:tc>
          <w:tcPr>
            <w:tcW w:w="440" w:type="dxa"/>
            <w:vAlign w:val="bottom"/>
            <w:shd w:val="clear" w:color="auto" w:fill="CCEEFF"/>
          </w:tcPr>
          <w:p>
            <w:pPr>
              <w:spacing w:after="0"/>
              <w:rPr>
                <w:sz w:val="9"/>
                <w:szCs w:val="9"/>
                <w:color w:val="auto"/>
              </w:rPr>
            </w:pPr>
          </w:p>
        </w:tc>
        <w:tc>
          <w:tcPr>
            <w:tcW w:w="9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10.7</w:t>
            </w:r>
          </w:p>
        </w:tc>
        <w:tc>
          <w:tcPr>
            <w:tcW w:w="9920" w:type="dxa"/>
            <w:vAlign w:val="bottom"/>
          </w:tcPr>
          <w:p>
            <w:pPr>
              <w:ind w:left="100"/>
              <w:spacing w:after="0"/>
              <w:rPr>
                <w:sz w:val="20"/>
                <w:szCs w:val="20"/>
                <w:color w:val="auto"/>
              </w:rPr>
            </w:pPr>
            <w:r>
              <w:rPr>
                <w:rFonts w:ascii="Arial" w:cs="Arial" w:eastAsia="Arial" w:hAnsi="Arial"/>
                <w:sz w:val="18"/>
                <w:szCs w:val="18"/>
                <w:color w:val="auto"/>
                <w:w w:val="93"/>
              </w:rPr>
              <w:t>Loan Agreement dated December 23, 2010 between the Company and Bank of America, N.A. (Incorporated by reference to Exhibit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920" w:type="dxa"/>
            <w:vAlign w:val="bottom"/>
          </w:tcPr>
          <w:p>
            <w:pPr>
              <w:ind w:left="100"/>
              <w:spacing w:after="0"/>
              <w:rPr>
                <w:sz w:val="20"/>
                <w:szCs w:val="20"/>
                <w:color w:val="auto"/>
              </w:rPr>
            </w:pPr>
            <w:r>
              <w:rPr>
                <w:rFonts w:ascii="Arial" w:cs="Arial" w:eastAsia="Arial" w:hAnsi="Arial"/>
                <w:sz w:val="18"/>
                <w:szCs w:val="18"/>
                <w:color w:val="auto"/>
              </w:rPr>
              <w:t>10.3 filed with our Current Report on Form 8-K filed on November 17, 2011).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10.8</w:t>
            </w:r>
          </w:p>
        </w:tc>
        <w:tc>
          <w:tcPr>
            <w:tcW w:w="9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Second Amendment to Loan Agreement dated November 15, 2011 by and between the Company and Bank of America, N.A.</w:t>
            </w:r>
          </w:p>
        </w:tc>
        <w:tc>
          <w:tcPr>
            <w:tcW w:w="0" w:type="dxa"/>
            <w:vAlign w:val="bottom"/>
          </w:tcPr>
          <w:p>
            <w:pPr>
              <w:spacing w:after="0"/>
              <w:rPr>
                <w:sz w:val="1"/>
                <w:szCs w:val="1"/>
                <w:color w:val="auto"/>
              </w:rPr>
            </w:pP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(Incorporated by reference to Exhibit 10.5 filed with our Current Report on Form 8-K filed on November 17, 2011).</w:t>
            </w:r>
          </w:p>
        </w:tc>
        <w:tc>
          <w:tcPr>
            <w:tcW w:w="0" w:type="dxa"/>
            <w:vAlign w:val="bottom"/>
          </w:tcPr>
          <w:p>
            <w:pPr>
              <w:spacing w:after="0"/>
              <w:rPr>
                <w:sz w:val="1"/>
                <w:szCs w:val="1"/>
                <w:color w:val="auto"/>
              </w:rPr>
            </w:pPr>
          </w:p>
        </w:tc>
      </w:tr>
      <w:tr>
        <w:trPr>
          <w:trHeight w:val="229"/>
        </w:trPr>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10.9</w:t>
            </w:r>
          </w:p>
        </w:tc>
        <w:tc>
          <w:tcPr>
            <w:tcW w:w="9920" w:type="dxa"/>
            <w:vAlign w:val="bottom"/>
          </w:tcPr>
          <w:p>
            <w:pPr>
              <w:ind w:left="100"/>
              <w:spacing w:after="0"/>
              <w:rPr>
                <w:sz w:val="20"/>
                <w:szCs w:val="20"/>
                <w:color w:val="auto"/>
              </w:rPr>
            </w:pPr>
            <w:r>
              <w:rPr>
                <w:rFonts w:ascii="Arial" w:cs="Arial" w:eastAsia="Arial" w:hAnsi="Arial"/>
                <w:sz w:val="18"/>
                <w:szCs w:val="18"/>
                <w:color w:val="auto"/>
                <w:w w:val="93"/>
              </w:rPr>
              <w:t>Third Amendment to Loan Agreement dated July 2, 2012 by and between the Company and Bank of America, N.A. (Incorporated by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920" w:type="dxa"/>
            <w:vAlign w:val="bottom"/>
          </w:tcPr>
          <w:p>
            <w:pPr>
              <w:ind w:left="100"/>
              <w:spacing w:after="0"/>
              <w:rPr>
                <w:sz w:val="20"/>
                <w:szCs w:val="20"/>
                <w:color w:val="auto"/>
              </w:rPr>
            </w:pPr>
            <w:r>
              <w:rPr>
                <w:rFonts w:ascii="Arial" w:cs="Arial" w:eastAsia="Arial" w:hAnsi="Arial"/>
                <w:sz w:val="18"/>
                <w:szCs w:val="18"/>
                <w:color w:val="auto"/>
              </w:rPr>
              <w:t>reference to Exhibit 10.1 filed with our Current Report on Form 8-K filed on July 3, 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65862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10.10  Fourth Amendment to Loan Agreement dated November 9, 2012 by and between the Company and Bank of America, N.A.</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(Incorporated by reference to Exhibit 10.3 filed with our Current Report on Form 8-K filed on November 9, 2012).</w:t>
      </w:r>
    </w:p>
    <w:p>
      <w:pPr>
        <w:spacing w:after="0" w:line="49" w:lineRule="exact"/>
        <w:rPr>
          <w:sz w:val="20"/>
          <w:szCs w:val="20"/>
          <w:color w:val="auto"/>
        </w:rPr>
      </w:pPr>
    </w:p>
    <w:p>
      <w:pPr>
        <w:ind w:left="1040" w:right="720" w:hanging="526"/>
        <w:spacing w:after="0" w:line="264" w:lineRule="auto"/>
        <w:rPr>
          <w:sz w:val="20"/>
          <w:szCs w:val="20"/>
          <w:color w:val="auto"/>
        </w:rPr>
      </w:pPr>
      <w:r>
        <w:rPr>
          <w:rFonts w:ascii="Arial" w:cs="Arial" w:eastAsia="Arial" w:hAnsi="Arial"/>
          <w:sz w:val="18"/>
          <w:szCs w:val="18"/>
          <w:color w:val="auto"/>
        </w:rPr>
        <w:t>10.11 Reaffirmation and Second Amendment to Unlimited Guaranty Agreement dated November 9, 2012 by and between the Company and Bank of America, N.A. (Incorporated by reference to Exhibit 10.4 filed with our Current Report on Form 8-K filed on November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65862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ind w:left="1040" w:right="700" w:hanging="526"/>
        <w:spacing w:after="0" w:line="277" w:lineRule="auto"/>
        <w:rPr>
          <w:sz w:val="20"/>
          <w:szCs w:val="20"/>
          <w:color w:val="auto"/>
        </w:rPr>
      </w:pPr>
      <w:r>
        <w:rPr>
          <w:rFonts w:ascii="Arial" w:cs="Arial" w:eastAsia="Arial" w:hAnsi="Arial"/>
          <w:sz w:val="18"/>
          <w:szCs w:val="18"/>
          <w:color w:val="auto"/>
        </w:rPr>
        <w:t>10.12 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1040" w:right="680" w:hanging="526"/>
        <w:spacing w:after="0" w:line="298" w:lineRule="auto"/>
        <w:rPr>
          <w:sz w:val="20"/>
          <w:szCs w:val="20"/>
          <w:color w:val="auto"/>
        </w:rPr>
      </w:pPr>
      <w:r>
        <w:rPr>
          <w:rFonts w:ascii="Arial" w:cs="Arial" w:eastAsia="Arial" w:hAnsi="Arial"/>
          <w:sz w:val="17"/>
          <w:szCs w:val="17"/>
          <w:color w:val="auto"/>
        </w:rPr>
        <w:t>10.13 Twelfth Amendment to Loan Agreement dated November 15, 2013 by and between the Company and U.S. Bank National Association (Incorporated by reference to Exhibit 10.1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-6985</wp:posOffset>
            </wp:positionV>
            <wp:extent cx="65862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jc w:val="center"/>
        <w:ind w:right="500"/>
        <w:spacing w:after="0"/>
        <w:rPr>
          <w:sz w:val="20"/>
          <w:szCs w:val="20"/>
          <w:color w:val="auto"/>
        </w:rPr>
      </w:pPr>
      <w:r>
        <w:rPr>
          <w:rFonts w:ascii="Arial" w:cs="Arial" w:eastAsia="Arial" w:hAnsi="Arial"/>
          <w:sz w:val="17"/>
          <w:szCs w:val="17"/>
          <w:color w:val="auto"/>
        </w:rPr>
        <w:t>10.14  Fifth Amendment to Loan Agreement dated November 15, 2013 by and between the Company and Bank of America, N.A.</w:t>
      </w:r>
    </w:p>
    <w:p>
      <w:pPr>
        <w:spacing w:after="0" w:line="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(Incorporated by reference to Exhibit 10.3 filed with our Current Report on Form 8-K filed on November 18, 2013).</w:t>
      </w:r>
    </w:p>
    <w:p>
      <w:pPr>
        <w:spacing w:after="0" w:line="49" w:lineRule="exact"/>
        <w:rPr>
          <w:sz w:val="20"/>
          <w:szCs w:val="20"/>
          <w:color w:val="auto"/>
        </w:rPr>
      </w:pPr>
    </w:p>
    <w:p>
      <w:pPr>
        <w:ind w:left="1040" w:right="760" w:hanging="526"/>
        <w:spacing w:after="0" w:line="264" w:lineRule="auto"/>
        <w:rPr>
          <w:sz w:val="20"/>
          <w:szCs w:val="20"/>
          <w:color w:val="auto"/>
        </w:rPr>
      </w:pPr>
      <w:r>
        <w:rPr>
          <w:rFonts w:ascii="Arial" w:cs="Arial" w:eastAsia="Arial" w:hAnsi="Arial"/>
          <w:sz w:val="18"/>
          <w:szCs w:val="18"/>
          <w:color w:val="auto"/>
        </w:rPr>
        <w:t>10.15 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65862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171450"/>
                    </a:xfrm>
                    <a:prstGeom prst="rect">
                      <a:avLst/>
                    </a:prstGeom>
                    <a:noFill/>
                  </pic:spPr>
                </pic:pic>
              </a:graphicData>
            </a:graphic>
          </wp:anchor>
        </w:drawing>
      </w:r>
    </w:p>
    <w:p>
      <w:pPr>
        <w:ind w:left="52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(1)</w:t>
      </w:r>
    </w:p>
    <w:p>
      <w:pPr>
        <w:spacing w:after="0" w:line="6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5862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171450"/>
                    </a:xfrm>
                    <a:prstGeom prst="rect">
                      <a:avLst/>
                    </a:prstGeom>
                    <a:noFill/>
                  </pic:spPr>
                </pic:pic>
              </a:graphicData>
            </a:graphic>
          </wp:anchor>
        </w:drawing>
      </w:r>
    </w:p>
    <w:p>
      <w:pPr>
        <w:spacing w:after="0" w:line="4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(1)</w:t>
      </w:r>
    </w:p>
    <w:p>
      <w:pPr>
        <w:spacing w:after="0" w:line="63" w:lineRule="exact"/>
        <w:rPr>
          <w:sz w:val="20"/>
          <w:szCs w:val="20"/>
          <w:color w:val="auto"/>
        </w:rPr>
      </w:pPr>
    </w:p>
    <w:p>
      <w:pPr>
        <w:ind w:left="1040" w:right="720" w:hanging="526"/>
        <w:spacing w:after="0" w:line="277" w:lineRule="auto"/>
        <w:tabs>
          <w:tab w:leader="none" w:pos="102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65862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86220" cy="308610"/>
                    </a:xfrm>
                    <a:prstGeom prst="rect">
                      <a:avLst/>
                    </a:prstGeom>
                    <a:noFill/>
                  </pic:spPr>
                </pic:pic>
              </a:graphicData>
            </a:graphic>
          </wp:anchor>
        </w:drawing>
      </w:r>
    </w:p>
    <w:p>
      <w:pPr>
        <w:ind w:left="1040" w:right="760" w:hanging="526"/>
        <w:spacing w:after="0" w:line="277" w:lineRule="auto"/>
        <w:tabs>
          <w:tab w:leader="none" w:pos="102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5862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171450"/>
                    </a:xfrm>
                    <a:prstGeom prst="rect">
                      <a:avLst/>
                    </a:prstGeom>
                    <a:noFill/>
                  </pic:spPr>
                </pic:pic>
              </a:graphicData>
            </a:graphic>
          </wp:anchor>
        </w:drawing>
      </w:r>
    </w:p>
    <w:p>
      <w:pPr>
        <w:spacing w:after="0" w:line="4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ind w:left="1040" w:right="620" w:hanging="546"/>
        <w:spacing w:after="0" w:line="286"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our Annual Report on Form 10-K for the fiscal year ended April 26, 2014,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w:t>
      </w:r>
    </w:p>
    <w:p>
      <w:pPr>
        <w:spacing w:after="0" w:line="1"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22860</wp:posOffset>
            </wp:positionV>
            <wp:extent cx="65862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180340"/>
                    </a:xfrm>
                    <a:prstGeom prst="rect">
                      <a:avLst/>
                    </a:prstGeom>
                    <a:noFill/>
                  </pic:spPr>
                </pic:pic>
              </a:graphicData>
            </a:graphic>
          </wp:anchor>
        </w:drawing>
      </w:r>
    </w:p>
    <w:p>
      <w:pPr>
        <w:spacing w:after="0" w:line="29" w:lineRule="exact"/>
        <w:rPr>
          <w:sz w:val="20"/>
          <w:szCs w:val="20"/>
          <w:color w:val="auto"/>
        </w:rPr>
      </w:pPr>
    </w:p>
    <w:p>
      <w:pPr>
        <w:ind w:left="1440" w:hanging="392"/>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6" w:lineRule="exact"/>
        <w:rPr>
          <w:rFonts w:ascii="Arial" w:cs="Arial" w:eastAsia="Arial" w:hAnsi="Arial"/>
          <w:sz w:val="18"/>
          <w:szCs w:val="18"/>
          <w:color w:val="auto"/>
        </w:rPr>
      </w:pPr>
    </w:p>
    <w:p>
      <w:pPr>
        <w:ind w:left="1460" w:right="600" w:hanging="412"/>
        <w:spacing w:after="0" w:line="25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Annual Report on Form 10-K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8890</wp:posOffset>
            </wp:positionV>
            <wp:extent cx="65862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171450"/>
                    </a:xfrm>
                    <a:prstGeom prst="rect">
                      <a:avLst/>
                    </a:prstGeom>
                    <a:noFill/>
                  </pic:spPr>
                </pic:pic>
              </a:graphicData>
            </a:graphic>
          </wp:anchor>
        </w:drawing>
      </w:r>
    </w:p>
    <w:p>
      <w:pPr>
        <w:spacing w:after="0" w:line="6" w:lineRule="exact"/>
        <w:rPr>
          <w:sz w:val="20"/>
          <w:szCs w:val="20"/>
          <w:color w:val="auto"/>
        </w:rPr>
      </w:pPr>
    </w:p>
    <w:p>
      <w:pPr>
        <w:ind w:left="1460" w:hanging="412"/>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sz w:val="20"/>
          <w:szCs w:val="20"/>
          <w:color w:val="auto"/>
        </w:rPr>
      </w:pPr>
    </w:p>
    <w:p>
      <w:pPr>
        <w:jc w:val="both"/>
        <w:ind w:left="500"/>
        <w:spacing w:after="0" w:line="203" w:lineRule="auto"/>
        <w:rPr>
          <w:sz w:val="20"/>
          <w:szCs w:val="20"/>
          <w:color w:val="auto"/>
        </w:rPr>
      </w:pPr>
      <w:r>
        <w:rPr>
          <w:rFonts w:ascii="Arial" w:cs="Arial" w:eastAsia="Arial" w:hAnsi="Arial"/>
          <w:sz w:val="18"/>
          <w:szCs w:val="18"/>
          <w:color w:val="auto"/>
        </w:rPr>
        <w:t>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ProTour</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Valo</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V-Net</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V-Link</w:t>
      </w:r>
      <w:r>
        <w:rPr>
          <w:rFonts w:ascii="Arial" w:cs="Arial" w:eastAsia="Arial" w:hAnsi="Arial"/>
          <w:sz w:val="25"/>
          <w:szCs w:val="25"/>
          <w:color w:val="auto"/>
          <w:vertAlign w:val="superscript"/>
        </w:rPr>
        <w:t>®</w:t>
      </w:r>
      <w:r>
        <w:rPr>
          <w:rFonts w:ascii="Arial" w:cs="Arial" w:eastAsia="Arial" w:hAnsi="Arial"/>
          <w:sz w:val="18"/>
          <w:szCs w:val="18"/>
          <w:color w:val="auto"/>
        </w:rPr>
        <w:t>, and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12, 2014.</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8"/>
          </w:tcPr>
          <w:p>
            <w:pPr>
              <w:ind w:left="40"/>
              <w:spacing w:after="0"/>
              <w:rPr>
                <w:sz w:val="20"/>
                <w:szCs w:val="20"/>
                <w:color w:val="auto"/>
              </w:rPr>
            </w:pPr>
            <w:r>
              <w:rPr>
                <w:rFonts w:ascii="Arial" w:cs="Arial" w:eastAsia="Arial" w:hAnsi="Arial"/>
                <w:sz w:val="18"/>
                <w:szCs w:val="18"/>
                <w:b w:val="1"/>
                <w:bCs w:val="1"/>
                <w:color w:val="auto"/>
              </w:rPr>
              <w:t>Signature</w:t>
            </w:r>
          </w:p>
        </w:tc>
        <w:tc>
          <w:tcPr>
            <w:tcW w:w="2440" w:type="dxa"/>
            <w:vAlign w:val="bottom"/>
          </w:tcPr>
          <w:p>
            <w:pPr>
              <w:ind w:left="1060"/>
              <w:spacing w:after="0"/>
              <w:rPr>
                <w:sz w:val="20"/>
                <w:szCs w:val="20"/>
                <w:color w:val="auto"/>
              </w:rPr>
            </w:pPr>
            <w:r>
              <w:rPr>
                <w:rFonts w:ascii="Arial" w:cs="Arial" w:eastAsia="Arial" w:hAnsi="Arial"/>
                <w:sz w:val="18"/>
                <w:szCs w:val="18"/>
                <w:b w:val="1"/>
                <w:bCs w:val="1"/>
                <w:color w:val="auto"/>
              </w:rPr>
              <w:t>Title</w:t>
            </w:r>
          </w:p>
        </w:tc>
        <w:tc>
          <w:tcPr>
            <w:tcW w:w="1780" w:type="dxa"/>
            <w:vAlign w:val="bottom"/>
          </w:tcPr>
          <w:p>
            <w:pPr>
              <w:ind w:left="780"/>
              <w:spacing w:after="0"/>
              <w:rPr>
                <w:sz w:val="20"/>
                <w:szCs w:val="20"/>
                <w:color w:val="auto"/>
              </w:rPr>
            </w:pPr>
            <w:r>
              <w:rPr>
                <w:rFonts w:ascii="Arial" w:cs="Arial" w:eastAsia="Arial" w:hAnsi="Arial"/>
                <w:sz w:val="18"/>
                <w:szCs w:val="18"/>
                <w:b w:val="1"/>
                <w:bCs w:val="1"/>
                <w:color w:val="auto"/>
              </w:rPr>
              <w:t>Date</w:t>
            </w:r>
          </w:p>
        </w:tc>
      </w:tr>
      <w:tr>
        <w:trPr>
          <w:trHeight w:val="500"/>
        </w:trPr>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Byron J. Anderson</w:t>
            </w:r>
          </w:p>
        </w:tc>
        <w:tc>
          <w:tcPr>
            <w:tcW w:w="1400" w:type="dxa"/>
            <w:vAlign w:val="bottom"/>
            <w:gridSpan w:val="2"/>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Byron J. Anderson</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By /s/ Robert G. Dutcher</w:t>
            </w:r>
          </w:p>
        </w:tc>
        <w:tc>
          <w:tcPr>
            <w:tcW w:w="1420" w:type="dxa"/>
            <w:vAlign w:val="bottom"/>
            <w:gridSpan w:val="3"/>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Robert G. Dutcher</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By /s/ Nancy D. Frame</w:t>
            </w:r>
          </w:p>
        </w:tc>
        <w:tc>
          <w:tcPr>
            <w:tcW w:w="1560" w:type="dxa"/>
            <w:vAlign w:val="bottom"/>
            <w:gridSpan w:val="6"/>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Nancy D. Frame</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By /s/ Aelred J. Kurtenbach</w:t>
            </w:r>
          </w:p>
        </w:tc>
        <w:tc>
          <w:tcPr>
            <w:tcW w:w="1220" w:type="dxa"/>
            <w:vAlign w:val="bottom"/>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Aelred J. Kurtenbach</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By /s/ Reece A. Kurtenbach</w:t>
            </w:r>
          </w:p>
        </w:tc>
        <w:tc>
          <w:tcPr>
            <w:tcW w:w="1220" w:type="dxa"/>
            <w:vAlign w:val="bottom"/>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Reece A. Kurtenbach</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James B. Morgan</w:t>
            </w:r>
          </w:p>
        </w:tc>
        <w:tc>
          <w:tcPr>
            <w:tcW w:w="1500" w:type="dxa"/>
            <w:vAlign w:val="bottom"/>
            <w:gridSpan w:val="4"/>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James B. Morgan</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By /s/ John L. Mulligan</w:t>
            </w:r>
          </w:p>
        </w:tc>
        <w:tc>
          <w:tcPr>
            <w:tcW w:w="1520" w:type="dxa"/>
            <w:vAlign w:val="bottom"/>
            <w:gridSpan w:val="5"/>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John L. Mulligan</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By /s/ Bruce W. Tobin</w:t>
            </w:r>
          </w:p>
        </w:tc>
        <w:tc>
          <w:tcPr>
            <w:tcW w:w="1620" w:type="dxa"/>
            <w:vAlign w:val="bottom"/>
            <w:gridSpan w:val="7"/>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Bruce W. Tobin</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By /s/ James A. Vellenga</w:t>
            </w:r>
          </w:p>
        </w:tc>
        <w:tc>
          <w:tcPr>
            <w:tcW w:w="1420" w:type="dxa"/>
            <w:vAlign w:val="bottom"/>
            <w:gridSpan w:val="3"/>
          </w:tcPr>
          <w:p>
            <w:pPr>
              <w:spacing w:after="0"/>
              <w:rPr>
                <w:sz w:val="24"/>
                <w:szCs w:val="24"/>
                <w:color w:val="auto"/>
              </w:rPr>
            </w:pPr>
          </w:p>
        </w:tc>
        <w:tc>
          <w:tcPr>
            <w:tcW w:w="244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12, 2014</w:t>
            </w:r>
          </w:p>
        </w:tc>
      </w:tr>
      <w:tr>
        <w:trPr>
          <w:trHeight w:val="291"/>
        </w:trPr>
        <w:tc>
          <w:tcPr>
            <w:tcW w:w="3280" w:type="dxa"/>
            <w:vAlign w:val="bottom"/>
            <w:gridSpan w:val="8"/>
          </w:tcPr>
          <w:p>
            <w:pPr>
              <w:ind w:left="680"/>
              <w:spacing w:after="0"/>
              <w:rPr>
                <w:sz w:val="20"/>
                <w:szCs w:val="20"/>
                <w:color w:val="auto"/>
              </w:rPr>
            </w:pPr>
            <w:r>
              <w:rPr>
                <w:rFonts w:ascii="Arial" w:cs="Arial" w:eastAsia="Arial" w:hAnsi="Arial"/>
                <w:sz w:val="18"/>
                <w:szCs w:val="18"/>
                <w:color w:val="auto"/>
              </w:rPr>
              <w:t>James A. Vellenga</w:t>
            </w:r>
          </w:p>
        </w:tc>
        <w:tc>
          <w:tcPr>
            <w:tcW w:w="24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26, 2014, April 27, 2013 and April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Additions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Charged to</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Expenses</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Accounts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27, 2013:</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(2,660)</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3,286</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28, 2012:</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(1,836)</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4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3" w:lineRule="exact"/>
        <w:rPr>
          <w:sz w:val="20"/>
          <w:szCs w:val="20"/>
          <w:color w:val="auto"/>
        </w:rPr>
      </w:pPr>
    </w:p>
    <w:p>
      <w:pPr>
        <w:ind w:left="1520" w:hanging="864"/>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Translation adjustment on foreign subsidiary balances.</w:t>
      </w:r>
    </w:p>
    <w:p>
      <w:pPr>
        <w:spacing w:after="0" w:line="49" w:lineRule="exact"/>
        <w:rPr>
          <w:rFonts w:ascii="Arial" w:cs="Arial" w:eastAsia="Arial" w:hAnsi="Arial"/>
          <w:sz w:val="18"/>
          <w:szCs w:val="18"/>
          <w:color w:val="auto"/>
        </w:rPr>
      </w:pPr>
    </w:p>
    <w:p>
      <w:pPr>
        <w:ind w:left="1520" w:hanging="864"/>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w:t>
      </w:r>
    </w:p>
    <w:p>
      <w:pPr>
        <w:spacing w:after="0" w:line="49" w:lineRule="exact"/>
        <w:rPr>
          <w:rFonts w:ascii="Arial" w:cs="Arial" w:eastAsia="Arial" w:hAnsi="Arial"/>
          <w:sz w:val="18"/>
          <w:szCs w:val="18"/>
          <w:color w:val="auto"/>
        </w:rPr>
      </w:pPr>
    </w:p>
    <w:p>
      <w:pPr>
        <w:ind w:left="1520" w:hanging="864"/>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Obsolete and excess inventory disposals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6915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96" w:lineRule="exact"/>
        <w:rPr>
          <w:sz w:val="20"/>
          <w:szCs w:val="20"/>
          <w:color w:val="auto"/>
        </w:rPr>
      </w:pPr>
    </w:p>
    <w:p>
      <w:pPr>
        <w:ind w:left="720" w:right="480" w:hanging="688"/>
        <w:spacing w:after="0" w:line="277" w:lineRule="auto"/>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ind w:left="40"/>
              <w:spacing w:after="0"/>
              <w:rPr>
                <w:sz w:val="20"/>
                <w:szCs w:val="20"/>
                <w:color w:val="auto"/>
              </w:rPr>
            </w:pPr>
            <w:r>
              <w:rPr>
                <w:rFonts w:ascii="Arial" w:cs="Arial" w:eastAsia="Arial" w:hAnsi="Arial"/>
                <w:sz w:val="18"/>
                <w:szCs w:val="18"/>
                <w:color w:val="auto"/>
              </w:rPr>
              <w:t>3.2</w:t>
            </w:r>
          </w:p>
        </w:tc>
        <w:tc>
          <w:tcPr>
            <w:tcW w:w="10720" w:type="dxa"/>
            <w:vAlign w:val="bottom"/>
          </w:tcPr>
          <w:p>
            <w:pPr>
              <w:ind w:left="140"/>
              <w:spacing w:after="0"/>
              <w:rPr>
                <w:sz w:val="20"/>
                <w:szCs w:val="20"/>
                <w:color w:val="auto"/>
              </w:rPr>
            </w:pPr>
            <w:r>
              <w:rPr>
                <w:rFonts w:ascii="Arial" w:cs="Arial" w:eastAsia="Arial" w:hAnsi="Arial"/>
                <w:sz w:val="18"/>
                <w:szCs w:val="18"/>
                <w:color w:val="auto"/>
                <w:w w:val="91"/>
              </w:rPr>
              <w:t>Amended and Restated Bylaws of the Company (Incorporated by reference to Exhibit 3.4 filed with our Annual Report on Form 10-K on June 12,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Form of Stock Certificate evidencing Common Stock, without par value, of the Company (Incorporated by reference to Exhibit 4.1 filed with our</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Amendment No. 1 to the Registration Statement on Form S-1 on January 12, 1994 as Commission File No. 33-72466).</w:t>
            </w:r>
          </w:p>
        </w:tc>
        <w:tc>
          <w:tcPr>
            <w:tcW w:w="0" w:type="dxa"/>
            <w:vAlign w:val="bottom"/>
          </w:tcPr>
          <w:p>
            <w:pPr>
              <w:spacing w:after="0"/>
              <w:rPr>
                <w:sz w:val="1"/>
                <w:szCs w:val="1"/>
                <w:color w:val="auto"/>
              </w:rPr>
            </w:pPr>
          </w:p>
        </w:tc>
      </w:tr>
      <w:tr>
        <w:trPr>
          <w:trHeight w:val="243"/>
        </w:trPr>
        <w:tc>
          <w:tcPr>
            <w:tcW w:w="580" w:type="dxa"/>
            <w:vAlign w:val="bottom"/>
          </w:tcPr>
          <w:p>
            <w:pPr>
              <w:ind w:left="40"/>
              <w:spacing w:after="0"/>
              <w:rPr>
                <w:sz w:val="20"/>
                <w:szCs w:val="20"/>
                <w:color w:val="auto"/>
              </w:rPr>
            </w:pPr>
            <w:r>
              <w:rPr>
                <w:rFonts w:ascii="Arial" w:cs="Arial" w:eastAsia="Arial" w:hAnsi="Arial"/>
                <w:sz w:val="18"/>
                <w:szCs w:val="18"/>
                <w:color w:val="auto"/>
              </w:rPr>
              <w:t>4.2</w:t>
            </w:r>
          </w:p>
        </w:tc>
        <w:tc>
          <w:tcPr>
            <w:tcW w:w="10720" w:type="dxa"/>
            <w:vAlign w:val="bottom"/>
          </w:tcPr>
          <w:p>
            <w:pPr>
              <w:ind w:left="140"/>
              <w:spacing w:after="0"/>
              <w:rPr>
                <w:sz w:val="20"/>
                <w:szCs w:val="20"/>
                <w:color w:val="auto"/>
              </w:rPr>
            </w:pPr>
            <w:r>
              <w:rPr>
                <w:rFonts w:ascii="Arial" w:cs="Arial" w:eastAsia="Arial" w:hAnsi="Arial"/>
                <w:sz w:val="18"/>
                <w:szCs w:val="18"/>
                <w:color w:val="auto"/>
              </w:rPr>
              <w:t>Rights Agreement (Incorporated by reference to Exhibit 4.1 filed with our Form 8-A on August 29, 2008).</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2001 Incentive Stock Option Plan (Incorporated by reference to Exhibit 4.1 to our Registration Statement on Form S-8 filed on November 8, 2001</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 Commission File No. 333-72990).*</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4.4</w:t>
            </w:r>
          </w:p>
        </w:tc>
        <w:tc>
          <w:tcPr>
            <w:tcW w:w="10720" w:type="dxa"/>
            <w:vAlign w:val="bottom"/>
          </w:tcPr>
          <w:p>
            <w:pPr>
              <w:ind w:left="140"/>
              <w:spacing w:after="0"/>
              <w:rPr>
                <w:sz w:val="20"/>
                <w:szCs w:val="20"/>
                <w:color w:val="auto"/>
              </w:rPr>
            </w:pPr>
            <w:r>
              <w:rPr>
                <w:rFonts w:ascii="Arial" w:cs="Arial" w:eastAsia="Arial" w:hAnsi="Arial"/>
                <w:sz w:val="18"/>
                <w:szCs w:val="18"/>
                <w:color w:val="auto"/>
                <w:w w:val="99"/>
              </w:rPr>
              <w:t>2001 Outside Directors Stock Option Plan (Incorporated by reference to Exhibit 4.2 to our Registration Statement on Form S-8 filed on</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November 8, 2001 as Commission File No. 333-72990).*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Daktronics, Inc. 2007 Incentive Stock Plan (Incorporated by reference to Exhibit 10.1 filed with our Quarterly Report on Form 10-Q on August</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 2007).*</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10.1</w:t>
            </w:r>
          </w:p>
        </w:tc>
        <w:tc>
          <w:tcPr>
            <w:tcW w:w="10720" w:type="dxa"/>
            <w:vAlign w:val="bottom"/>
          </w:tcPr>
          <w:p>
            <w:pPr>
              <w:ind w:left="140"/>
              <w:spacing w:after="0"/>
              <w:rPr>
                <w:sz w:val="20"/>
                <w:szCs w:val="20"/>
                <w:color w:val="auto"/>
              </w:rPr>
            </w:pPr>
            <w:r>
              <w:rPr>
                <w:rFonts w:ascii="Arial" w:cs="Arial" w:eastAsia="Arial" w:hAnsi="Arial"/>
                <w:sz w:val="18"/>
                <w:szCs w:val="18"/>
                <w:color w:val="auto"/>
                <w:w w:val="91"/>
              </w:rPr>
              <w:t>Amended and Restated Deferred Compensation Agreement Between the Company and Aelred Kurtenbach (Incorporated by reference to Exhibit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10.1 filed with our Annual Report on Form 10-K on June 28, 2004).*</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Loan Agreement dated October 14, 1998 between U.S. Bank National Association and the Company (Incorporated by reference to Exhibit 10.6</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with our Quarterly Report on Form 10-Q filed on December 11, 1998).</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10.3</w:t>
            </w:r>
          </w:p>
        </w:tc>
        <w:tc>
          <w:tcPr>
            <w:tcW w:w="10720" w:type="dxa"/>
            <w:vAlign w:val="bottom"/>
          </w:tcPr>
          <w:p>
            <w:pPr>
              <w:ind w:left="140"/>
              <w:spacing w:after="0"/>
              <w:rPr>
                <w:sz w:val="20"/>
                <w:szCs w:val="20"/>
                <w:color w:val="auto"/>
              </w:rPr>
            </w:pPr>
            <w:r>
              <w:rPr>
                <w:rFonts w:ascii="Arial" w:cs="Arial" w:eastAsia="Arial" w:hAnsi="Arial"/>
                <w:sz w:val="18"/>
                <w:szCs w:val="18"/>
                <w:color w:val="auto"/>
                <w:w w:val="99"/>
              </w:rPr>
              <w:t>Eighth Amendment to Loan Agreement dated November 12, 2009 by and between the Company and U.S. Bank National Association</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12, 2009).</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Tenth Amendment to Loan Agreement dated November 15, 2011 by and between the Company and U.S. Bank National Association</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17, 2011).</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10.5</w:t>
            </w:r>
          </w:p>
        </w:tc>
        <w:tc>
          <w:tcPr>
            <w:tcW w:w="10720" w:type="dxa"/>
            <w:vAlign w:val="bottom"/>
          </w:tcPr>
          <w:p>
            <w:pPr>
              <w:ind w:left="140"/>
              <w:spacing w:after="0"/>
              <w:rPr>
                <w:sz w:val="20"/>
                <w:szCs w:val="20"/>
                <w:color w:val="auto"/>
              </w:rPr>
            </w:pPr>
            <w:r>
              <w:rPr>
                <w:rFonts w:ascii="Arial" w:cs="Arial" w:eastAsia="Arial" w:hAnsi="Arial"/>
                <w:sz w:val="18"/>
                <w:szCs w:val="18"/>
                <w:color w:val="auto"/>
                <w:w w:val="99"/>
              </w:rPr>
              <w:t>Eleventh Amendment to Loan Agreement dated November 9, 2012 by and between the Company and U.S. Bank National Association</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9, 2012).</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107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2"/>
              </w:rPr>
              <w:t>Renewal Revolving Note dated November 15, 2013 issued by the Company to the U.S. Bank National Association (Incorporated by reference to</w:t>
            </w:r>
          </w:p>
        </w:tc>
        <w:tc>
          <w:tcPr>
            <w:tcW w:w="0" w:type="dxa"/>
            <w:vAlign w:val="bottom"/>
          </w:tcPr>
          <w:p>
            <w:pPr>
              <w:spacing w:after="0"/>
              <w:rPr>
                <w:sz w:val="1"/>
                <w:szCs w:val="1"/>
                <w:color w:val="auto"/>
              </w:rPr>
            </w:pPr>
          </w:p>
        </w:tc>
      </w:tr>
      <w:tr>
        <w:trPr>
          <w:trHeight w:val="67"/>
        </w:trPr>
        <w:tc>
          <w:tcPr>
            <w:tcW w:w="580" w:type="dxa"/>
            <w:vAlign w:val="bottom"/>
            <w:shd w:val="clear" w:color="auto" w:fill="CCEEFF"/>
          </w:tcPr>
          <w:p>
            <w:pPr>
              <w:spacing w:after="0"/>
              <w:rPr>
                <w:sz w:val="5"/>
                <w:szCs w:val="5"/>
                <w:color w:val="auto"/>
              </w:rPr>
            </w:pPr>
          </w:p>
        </w:tc>
        <w:tc>
          <w:tcPr>
            <w:tcW w:w="10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 10.2 filed with our Current Report on Form 8-K filed on November 18, 2013).</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10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10.7</w:t>
            </w:r>
          </w:p>
        </w:tc>
        <w:tc>
          <w:tcPr>
            <w:tcW w:w="10720" w:type="dxa"/>
            <w:vAlign w:val="bottom"/>
          </w:tcPr>
          <w:p>
            <w:pPr>
              <w:ind w:left="140"/>
              <w:spacing w:after="0"/>
              <w:rPr>
                <w:sz w:val="20"/>
                <w:szCs w:val="20"/>
                <w:color w:val="auto"/>
              </w:rPr>
            </w:pPr>
            <w:r>
              <w:rPr>
                <w:rFonts w:ascii="Arial" w:cs="Arial" w:eastAsia="Arial" w:hAnsi="Arial"/>
                <w:sz w:val="18"/>
                <w:szCs w:val="18"/>
                <w:color w:val="auto"/>
                <w:w w:val="94"/>
              </w:rPr>
              <w:t>Loan Agreement dated December 23, 2010 between the Company and Bank of America, N.A. (Incorporated by reference to Exhibit 10.3 filed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with our Current Report on Form 8-K filed on November 17, 2011).</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Second Amendment to Loan Agreement Dated November 15, 2011 by and between the Company and Bank of America, N.A. (Incorporated by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reference to Exhibit 10.5 filed with our Current Report on Form 8-K filed on November 17, 2011).</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10.9</w:t>
            </w:r>
          </w:p>
        </w:tc>
        <w:tc>
          <w:tcPr>
            <w:tcW w:w="10720" w:type="dxa"/>
            <w:vAlign w:val="bottom"/>
          </w:tcPr>
          <w:p>
            <w:pPr>
              <w:ind w:left="140"/>
              <w:spacing w:after="0"/>
              <w:rPr>
                <w:sz w:val="20"/>
                <w:szCs w:val="20"/>
                <w:color w:val="auto"/>
              </w:rPr>
            </w:pPr>
            <w:r>
              <w:rPr>
                <w:rFonts w:ascii="Arial" w:cs="Arial" w:eastAsia="Arial" w:hAnsi="Arial"/>
                <w:sz w:val="18"/>
                <w:szCs w:val="18"/>
                <w:color w:val="auto"/>
                <w:w w:val="91"/>
              </w:rPr>
              <w:t>Third Amendment to Loan Agreement dated July 2, 2012 by and between the Company and Bank of America, N.A. (Incorporated by reference to</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Exhibit 10.1 filed with our Current Report on Form 8-K filed on July 3, 2012).</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10.10</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Fourth Amendment to Loan Agreement dated November 9, 2012 by and between the Company and Bank of America, N.A. (Incorporated by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reference to Exhibit 10.3 filed with our Current Report on Form 8-K filed on November 9, 2012).</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10.11</w:t>
            </w:r>
          </w:p>
        </w:tc>
        <w:tc>
          <w:tcPr>
            <w:tcW w:w="10720" w:type="dxa"/>
            <w:vAlign w:val="bottom"/>
          </w:tcPr>
          <w:p>
            <w:pPr>
              <w:ind w:left="140"/>
              <w:spacing w:after="0"/>
              <w:rPr>
                <w:sz w:val="20"/>
                <w:szCs w:val="20"/>
                <w:color w:val="auto"/>
              </w:rPr>
            </w:pPr>
            <w:r>
              <w:rPr>
                <w:rFonts w:ascii="Arial" w:cs="Arial" w:eastAsia="Arial" w:hAnsi="Arial"/>
                <w:sz w:val="18"/>
                <w:szCs w:val="18"/>
                <w:color w:val="auto"/>
                <w:w w:val="93"/>
              </w:rPr>
              <w:t>Reaffirmation and Second Amendment to Unlimited Guaranty Agreement dated November 9, 2012 by and between the Company and Bank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9, 2012).</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Amended and Restated Revolving Note dated November 15, 2013 issued by the Company to Bank of America, N.A. (Incorporated by reference</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Exhibit 10.5 filed with our Current Report on Form 8-K filed on November 18, 2013.</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10.13</w:t>
            </w:r>
          </w:p>
        </w:tc>
        <w:tc>
          <w:tcPr>
            <w:tcW w:w="10720" w:type="dxa"/>
            <w:vAlign w:val="bottom"/>
          </w:tcPr>
          <w:p>
            <w:pPr>
              <w:ind w:left="140"/>
              <w:spacing w:after="0"/>
              <w:rPr>
                <w:sz w:val="20"/>
                <w:szCs w:val="20"/>
                <w:color w:val="auto"/>
              </w:rPr>
            </w:pPr>
            <w:r>
              <w:rPr>
                <w:rFonts w:ascii="Arial" w:cs="Arial" w:eastAsia="Arial" w:hAnsi="Arial"/>
                <w:sz w:val="18"/>
                <w:szCs w:val="18"/>
                <w:color w:val="auto"/>
                <w:w w:val="94"/>
              </w:rPr>
              <w:t>Renewal Revolving Note dated November 15, 2013 issued by the Company to U.S. Bank National Association (Incorporated by reference to</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Exhibit 10.2 filed with our Current Report on Form 8-K filed on November 18, 2013).</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10.14</w:t>
            </w:r>
          </w:p>
        </w:tc>
        <w:tc>
          <w:tcPr>
            <w:tcW w:w="10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Fifth Amendment to Loan Agreement dated November 15, 2013 by and between the Company and Bank of America, N.A. (Incorporated by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reference to Exhibit 10.3 filed with our Current Report on Form 8-K filed on November 18, 2013).</w:t>
            </w:r>
          </w:p>
        </w:tc>
        <w:tc>
          <w:tcPr>
            <w:tcW w:w="0" w:type="dxa"/>
            <w:vAlign w:val="bottom"/>
          </w:tcPr>
          <w:p>
            <w:pPr>
              <w:spacing w:after="0"/>
              <w:rPr>
                <w:sz w:val="1"/>
                <w:szCs w:val="1"/>
                <w:color w:val="auto"/>
              </w:rPr>
            </w:pPr>
          </w:p>
        </w:tc>
      </w:tr>
      <w:tr>
        <w:trPr>
          <w:trHeight w:val="229"/>
        </w:trPr>
        <w:tc>
          <w:tcPr>
            <w:tcW w:w="580" w:type="dxa"/>
            <w:vAlign w:val="bottom"/>
          </w:tcPr>
          <w:p>
            <w:pPr>
              <w:ind w:left="40"/>
              <w:spacing w:after="0"/>
              <w:rPr>
                <w:sz w:val="20"/>
                <w:szCs w:val="20"/>
                <w:color w:val="auto"/>
              </w:rPr>
            </w:pPr>
            <w:r>
              <w:rPr>
                <w:rFonts w:ascii="Arial" w:cs="Arial" w:eastAsia="Arial" w:hAnsi="Arial"/>
                <w:sz w:val="18"/>
                <w:szCs w:val="18"/>
                <w:color w:val="auto"/>
              </w:rPr>
              <w:t>10.15</w:t>
            </w:r>
          </w:p>
        </w:tc>
        <w:tc>
          <w:tcPr>
            <w:tcW w:w="10720" w:type="dxa"/>
            <w:vAlign w:val="bottom"/>
          </w:tcPr>
          <w:p>
            <w:pPr>
              <w:ind w:left="140"/>
              <w:spacing w:after="0"/>
              <w:rPr>
                <w:sz w:val="20"/>
                <w:szCs w:val="20"/>
                <w:color w:val="auto"/>
              </w:rPr>
            </w:pPr>
            <w:r>
              <w:rPr>
                <w:rFonts w:ascii="Arial" w:cs="Arial" w:eastAsia="Arial" w:hAnsi="Arial"/>
                <w:sz w:val="18"/>
                <w:szCs w:val="18"/>
                <w:color w:val="auto"/>
                <w:w w:val="92"/>
              </w:rPr>
              <w:t>Reaffirmation of and Third Amendment to Unlimited Guaranty Agreement dated November 15, 2013 by and between the Company and Bank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18, 2013).</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10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Subsidiaries of the Company. (1)</w:t>
            </w:r>
          </w:p>
        </w:tc>
        <w:tc>
          <w:tcPr>
            <w:tcW w:w="0" w:type="dxa"/>
            <w:vAlign w:val="bottom"/>
          </w:tcPr>
          <w:p>
            <w:pPr>
              <w:spacing w:after="0"/>
              <w:rPr>
                <w:sz w:val="1"/>
                <w:szCs w:val="1"/>
                <w:color w:val="auto"/>
              </w:rPr>
            </w:pPr>
          </w:p>
        </w:tc>
      </w:tr>
      <w:tr>
        <w:trPr>
          <w:trHeight w:val="243"/>
        </w:trPr>
        <w:tc>
          <w:tcPr>
            <w:tcW w:w="580" w:type="dxa"/>
            <w:vAlign w:val="bottom"/>
          </w:tcPr>
          <w:p>
            <w:pPr>
              <w:ind w:left="40"/>
              <w:spacing w:after="0"/>
              <w:rPr>
                <w:sz w:val="20"/>
                <w:szCs w:val="20"/>
                <w:color w:val="auto"/>
              </w:rPr>
            </w:pPr>
            <w:r>
              <w:rPr>
                <w:rFonts w:ascii="Arial" w:cs="Arial" w:eastAsia="Arial" w:hAnsi="Arial"/>
                <w:sz w:val="18"/>
                <w:szCs w:val="18"/>
                <w:color w:val="auto"/>
              </w:rPr>
              <w:t>23.1</w:t>
            </w:r>
          </w:p>
        </w:tc>
        <w:tc>
          <w:tcPr>
            <w:tcW w:w="10720" w:type="dxa"/>
            <w:vAlign w:val="bottom"/>
          </w:tcPr>
          <w:p>
            <w:pPr>
              <w:ind w:left="140"/>
              <w:spacing w:after="0"/>
              <w:rPr>
                <w:sz w:val="20"/>
                <w:szCs w:val="20"/>
                <w:color w:val="auto"/>
              </w:rPr>
            </w:pPr>
            <w:r>
              <w:rPr>
                <w:rFonts w:ascii="Arial" w:cs="Arial" w:eastAsia="Arial" w:hAnsi="Arial"/>
                <w:sz w:val="18"/>
                <w:szCs w:val="18"/>
                <w:color w:val="auto"/>
              </w:rPr>
              <w:t>Consent of Ernst &amp; Young LLP. (1)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69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(1)</w:t>
      </w:r>
    </w:p>
    <w:p>
      <w:pPr>
        <w:spacing w:after="0" w:line="63" w:lineRule="exact"/>
        <w:rPr>
          <w:sz w:val="20"/>
          <w:szCs w:val="20"/>
          <w:color w:val="auto"/>
        </w:rPr>
      </w:pPr>
    </w:p>
    <w:p>
      <w:pPr>
        <w:ind w:left="720" w:right="60" w:hanging="688"/>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915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ind w:left="720" w:right="100" w:hanging="688"/>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691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ind w:left="720" w:hanging="685"/>
        <w:spacing w:after="0" w:line="279"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April 26, 2014,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ind w:left="1040" w:hanging="316"/>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6" w:lineRule="exact"/>
        <w:rPr>
          <w:rFonts w:ascii="Arial" w:cs="Arial" w:eastAsia="Arial" w:hAnsi="Arial"/>
          <w:sz w:val="18"/>
          <w:szCs w:val="18"/>
          <w:color w:val="auto"/>
        </w:rPr>
      </w:pPr>
    </w:p>
    <w:p>
      <w:pPr>
        <w:ind w:left="1060" w:right="100" w:hanging="336"/>
        <w:spacing w:after="0" w:line="279"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Annual Report on Form 10-K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691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ind w:left="5620" w:right="5020" w:hanging="4896"/>
        <w:spacing w:after="0" w:line="976" w:lineRule="auto"/>
        <w:tabs>
          <w:tab w:leader="none" w:pos="10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71</w:t>
      </w:r>
    </w:p>
    <w:p>
      <w:pPr>
        <w:sectPr>
          <w:pgSz w:w="11900" w:h="16838" w:orient="portrait"/>
          <w:cols w:equalWidth="0" w:num="1">
            <w:col w:w="11240"/>
          </w:cols>
          <w:pgMar w:left="240" w:top="122" w:right="4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Canada,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GmbH</w:t>
            </w:r>
          </w:p>
        </w:tc>
        <w:tc>
          <w:tcPr>
            <w:tcW w:w="56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UK,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Britain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Shanghai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France SARL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Beijing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Australia Pty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Australia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Installation, Inc.</w:t>
            </w:r>
          </w:p>
        </w:tc>
        <w:tc>
          <w:tcPr>
            <w:tcW w:w="5680" w:type="dxa"/>
            <w:vAlign w:val="bottom"/>
            <w:gridSpan w:val="2"/>
          </w:tcPr>
          <w:p>
            <w:pPr>
              <w:spacing w:after="0"/>
              <w:rPr>
                <w:sz w:val="20"/>
                <w:szCs w:val="20"/>
                <w:color w:val="auto"/>
              </w:rPr>
            </w:pPr>
            <w:r>
              <w:rPr>
                <w:rFonts w:ascii="Arial" w:cs="Arial" w:eastAsia="Arial" w:hAnsi="Arial"/>
                <w:sz w:val="18"/>
                <w:szCs w:val="18"/>
                <w:color w:val="auto"/>
              </w:rPr>
              <w:t>South Dakota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Japan,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HK Limited</w:t>
            </w:r>
          </w:p>
        </w:tc>
        <w:tc>
          <w:tcPr>
            <w:tcW w:w="56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(International) Limited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Macau</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Singapore Pte.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Spain S.L.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Brazil, Ltda.</w:t>
            </w:r>
          </w:p>
        </w:tc>
        <w:tc>
          <w:tcPr>
            <w:tcW w:w="56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Daktronics Belgium N.V.</w:t>
            </w: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7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333-169568, 333-146768, 333-109962, 333-100842, 333-72990) and the Registration Statement on Form S-3 (No. 333-54006) of Daktronics, Inc., respectively, of our reports dated June 12, 2014, with respect to the consolidated financial statements and schedule of Daktronics, Inc. and the effectiveness of internal control over financial reporting of Daktronics, Inc. included in this Annual Report (Form 10-K) of Daktronics, Inc. for the year ended April 26, 2014.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2014</w:t>
      </w:r>
    </w:p>
    <w:p>
      <w:pPr>
        <w:sectPr>
          <w:pgSz w:w="11900" w:h="16838" w:orient="portrait"/>
          <w:cols w:equalWidth="0" w:num="1">
            <w:col w:w="11420"/>
          </w:cols>
          <w:pgMar w:left="240" w:top="58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26, 2014,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ectPr>
          <w:pgSz w:w="11900" w:h="16838" w:orient="portrait"/>
          <w:cols w:equalWidth="0" w:num="1">
            <w:col w:w="11420"/>
          </w:cols>
          <w:pgMar w:left="240" w:top="58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3500" w:type="dxa"/>
            <w:vAlign w:val="bottom"/>
            <w:gridSpan w:val="7"/>
          </w:tcPr>
          <w:p>
            <w:pPr>
              <w:spacing w:after="0"/>
              <w:rPr>
                <w:sz w:val="20"/>
                <w:szCs w:val="20"/>
                <w:color w:val="auto"/>
              </w:rPr>
            </w:pPr>
            <w:r>
              <w:rPr>
                <w:rFonts w:ascii="Arial" w:cs="Arial" w:eastAsia="Arial" w:hAnsi="Arial"/>
                <w:sz w:val="18"/>
                <w:szCs w:val="18"/>
                <w:b w:val="1"/>
                <w:bCs w:val="1"/>
                <w:color w:val="auto"/>
              </w:rPr>
              <w:t>Signature</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rPr>
              <w:t>Title</w:t>
            </w:r>
          </w:p>
        </w:tc>
        <w:tc>
          <w:tcPr>
            <w:tcW w:w="188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3500" w:type="dxa"/>
            <w:vAlign w:val="bottom"/>
            <w:gridSpan w:val="7"/>
          </w:tcPr>
          <w:p>
            <w:pPr>
              <w:spacing w:after="0"/>
              <w:rPr>
                <w:sz w:val="20"/>
                <w:szCs w:val="20"/>
                <w:color w:val="auto"/>
              </w:rPr>
            </w:pPr>
            <w:r>
              <w:rPr>
                <w:rFonts w:ascii="Arial" w:cs="Arial" w:eastAsia="Arial" w:hAnsi="Arial"/>
                <w:sz w:val="18"/>
                <w:szCs w:val="18"/>
                <w:color w:val="auto"/>
              </w:rPr>
              <w:t>By /s/ Byron J. Anderson</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0"/>
        </w:trPr>
        <w:tc>
          <w:tcPr>
            <w:tcW w:w="1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Byron J. Anderson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By /s/ Robert G. Dutcher</w:t>
            </w:r>
          </w:p>
        </w:tc>
        <w:tc>
          <w:tcPr>
            <w:tcW w:w="168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Robert G. Dutcher</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By /s/ Nancy D. Frame</w:t>
            </w:r>
          </w:p>
        </w:tc>
        <w:tc>
          <w:tcPr>
            <w:tcW w:w="184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Nancy D. Frame</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By /s/ Aelred J. Kurtenbach</w:t>
            </w:r>
          </w:p>
        </w:tc>
        <w:tc>
          <w:tcPr>
            <w:tcW w:w="150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Aelred J. Kurtenbach</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3500" w:type="dxa"/>
            <w:vAlign w:val="bottom"/>
            <w:gridSpan w:val="7"/>
          </w:tcPr>
          <w:p>
            <w:pPr>
              <w:spacing w:after="0"/>
              <w:rPr>
                <w:sz w:val="20"/>
                <w:szCs w:val="20"/>
                <w:color w:val="auto"/>
              </w:rPr>
            </w:pPr>
            <w:r>
              <w:rPr>
                <w:rFonts w:ascii="Arial" w:cs="Arial" w:eastAsia="Arial" w:hAnsi="Arial"/>
                <w:sz w:val="18"/>
                <w:szCs w:val="18"/>
                <w:color w:val="auto"/>
              </w:rPr>
              <w:t>By /s/ Reece A. Kurtenbach</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0"/>
        </w:trPr>
        <w:tc>
          <w:tcPr>
            <w:tcW w:w="16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Reece A. Kurtenbach</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By /s/ James B. Morgan</w:t>
            </w:r>
          </w:p>
        </w:tc>
        <w:tc>
          <w:tcPr>
            <w:tcW w:w="176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James B. Morgan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John L. Mulligan</w:t>
            </w:r>
          </w:p>
        </w:tc>
        <w:tc>
          <w:tcPr>
            <w:tcW w:w="178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John L. Mulligan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3500" w:type="dxa"/>
            <w:vAlign w:val="bottom"/>
            <w:gridSpan w:val="7"/>
          </w:tcPr>
          <w:p>
            <w:pPr>
              <w:spacing w:after="0"/>
              <w:rPr>
                <w:sz w:val="20"/>
                <w:szCs w:val="20"/>
                <w:color w:val="auto"/>
              </w:rPr>
            </w:pPr>
            <w:r>
              <w:rPr>
                <w:rFonts w:ascii="Arial" w:cs="Arial" w:eastAsia="Arial" w:hAnsi="Arial"/>
                <w:sz w:val="18"/>
                <w:szCs w:val="18"/>
                <w:color w:val="auto"/>
              </w:rPr>
              <w:t>By /s/ Bruce W. Tobin</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0"/>
        </w:trPr>
        <w:tc>
          <w:tcPr>
            <w:tcW w:w="1600" w:type="dxa"/>
            <w:vAlign w:val="bottom"/>
            <w:shd w:val="clear" w:color="auto" w:fill="000000"/>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Bruce W. Tobin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By /s/ James A. Vellenga</w:t>
            </w:r>
          </w:p>
        </w:tc>
        <w:tc>
          <w:tcPr>
            <w:tcW w:w="168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12, 2014</w:t>
            </w:r>
          </w:p>
        </w:tc>
      </w:tr>
      <w:tr>
        <w:trPr>
          <w:trHeight w:val="291"/>
        </w:trPr>
        <w:tc>
          <w:tcPr>
            <w:tcW w:w="3500" w:type="dxa"/>
            <w:vAlign w:val="bottom"/>
            <w:gridSpan w:val="7"/>
          </w:tcPr>
          <w:p>
            <w:pPr>
              <w:ind w:left="580"/>
              <w:spacing w:after="0"/>
              <w:rPr>
                <w:sz w:val="20"/>
                <w:szCs w:val="20"/>
                <w:color w:val="auto"/>
              </w:rPr>
            </w:pPr>
            <w:r>
              <w:rPr>
                <w:rFonts w:ascii="Arial" w:cs="Arial" w:eastAsia="Arial" w:hAnsi="Arial"/>
                <w:sz w:val="18"/>
                <w:szCs w:val="18"/>
                <w:color w:val="auto"/>
              </w:rPr>
              <w:t>James A. Vellenga</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179"/>
          </w:cols>
          <w:pgMar w:left="280" w:top="742"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26, 2014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300" w:hanging="244"/>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June 12, 2014</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26, 2014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274"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June 12, 2014</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April 26, 2014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June 12, 2014</w:t>
      </w:r>
    </w:p>
    <w:p>
      <w:pPr>
        <w:sectPr>
          <w:pgSz w:w="11900" w:h="16838" w:orient="portrait"/>
          <w:cols w:equalWidth="0" w:num="1">
            <w:col w:w="11420"/>
          </w:cols>
          <w:pgMar w:left="240" w:top="5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 connection with the Annual Report on Form 10-K of Daktronics, Inc. (the “Company”) for the annual period ended April 26, 2014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June 12, 2014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decimal"/>
      <w:start w:val="10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2019-12-06T09:58:45Z</dcterms:created>
  <dcterms:modified xsi:type="dcterms:W3CDTF">2019-12-06T09:58:45Z</dcterms:modified>
</cp:coreProperties>
</file>