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ind w:left="3340"/>
        <w:spacing w:after="0"/>
        <w:rPr>
          <w:sz w:val="20"/>
          <w:szCs w:val="20"/>
          <w:color w:val="auto"/>
        </w:rPr>
      </w:pPr>
      <w:r>
        <w:rPr>
          <w:rFonts w:ascii="Arial" w:cs="Arial" w:eastAsia="Arial" w:hAnsi="Arial"/>
          <w:sz w:val="18"/>
          <w:szCs w:val="18"/>
          <w:b w:val="1"/>
          <w:bCs w:val="1"/>
          <w:i w:val="1"/>
          <w:iCs w:val="1"/>
          <w:color w:val="auto"/>
        </w:rPr>
        <w:t>(Mark One)</w:t>
      </w:r>
    </w:p>
    <w:p>
      <w:pPr>
        <w:spacing w:after="0" w:line="219" w:lineRule="exact"/>
        <w:rPr>
          <w:sz w:val="24"/>
          <w:szCs w:val="24"/>
          <w:color w:val="auto"/>
        </w:rPr>
      </w:pPr>
    </w:p>
    <w:p>
      <w:pPr>
        <w:ind w:left="4660" w:right="1820" w:hanging="2452"/>
        <w:spacing w:after="0" w:line="525" w:lineRule="auto"/>
        <w:tabs>
          <w:tab w:leader="none" w:pos="262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left="4660" w:right="1920" w:hanging="2525"/>
        <w:spacing w:after="0" w:line="501" w:lineRule="auto"/>
        <w:tabs>
          <w:tab w:leader="none" w:pos="232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ind w:left="3980"/>
        <w:spacing w:after="0"/>
        <w:rPr>
          <w:sz w:val="20"/>
          <w:szCs w:val="20"/>
          <w:color w:val="auto"/>
        </w:rPr>
      </w:pPr>
      <w:r>
        <w:rPr>
          <w:rFonts w:ascii="Arial" w:cs="Arial" w:eastAsia="Arial" w:hAnsi="Arial"/>
          <w:sz w:val="18"/>
          <w:szCs w:val="18"/>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275590</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ectPr>
          <w:pgSz w:w="11900" w:h="16838" w:orient="portrait"/>
          <w:cols w:equalWidth="0" w:num="1">
            <w:col w:w="11220"/>
          </w:cols>
          <w:pgMar w:left="240" w:top="6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331 32nd Avenue</w:t>
      </w:r>
    </w:p>
    <w:p>
      <w:pPr>
        <w:spacing w:after="0" w:line="21"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280"/>
        <w:spacing w:after="0"/>
        <w:rPr>
          <w:sz w:val="20"/>
          <w:szCs w:val="20"/>
          <w:color w:val="auto"/>
        </w:rPr>
      </w:pPr>
      <w:r>
        <w:rPr>
          <w:rFonts w:ascii="Arial" w:cs="Arial" w:eastAsia="Arial" w:hAnsi="Arial"/>
          <w:sz w:val="15"/>
          <w:szCs w:val="15"/>
          <w:b w:val="1"/>
          <w:bCs w:val="1"/>
          <w:color w:val="auto"/>
        </w:rPr>
        <w:t>57006</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00" w:space="300"/>
            <w:col w:w="4320"/>
          </w:cols>
          <w:pgMar w:left="240" w:top="625" w:right="439" w:bottom="0" w:gutter="0" w:footer="0" w:header="0"/>
          <w:type w:val="continuous"/>
        </w:sectPr>
      </w:pP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Yes [ X] No [ ]</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August 18, 2004 was 18,918,610.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DAKTRONICS, INC. AND SUBSIDIARIES</w:t>
      </w:r>
    </w:p>
    <w:p>
      <w:pPr>
        <w:spacing w:after="0" w:line="3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 Ended July 31, 2004</w:t>
      </w:r>
    </w:p>
    <w:p>
      <w:pPr>
        <w:spacing w:after="0" w:line="28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220"/>
          </w:cols>
          <w:pgMar w:left="240" w:top="625" w:right="439" w:bottom="0" w:gutter="0" w:footer="0" w:header="0"/>
          <w:type w:val="continuous"/>
        </w:sectPr>
      </w:pPr>
    </w:p>
    <w:bookmarkStart w:id="1" w:name="page2"/>
    <w:bookmarkEnd w:id="1"/>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184"/>
        </w:trPr>
        <w:tc>
          <w:tcPr>
            <w:tcW w:w="8560" w:type="dxa"/>
            <w:vAlign w:val="bottom"/>
            <w:gridSpan w:val="23"/>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SPECIAL NOTE REGARDING FORWARD LOOKING STATEMENT</w:t>
              </w:r>
            </w:hyperlink>
          </w:p>
        </w:tc>
        <w:tc>
          <w:tcPr>
            <w:tcW w:w="98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439"/>
        </w:trPr>
        <w:tc>
          <w:tcPr>
            <w:tcW w:w="510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46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2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FINANCIAL STATEMENTS</w:t>
              </w:r>
            </w:hyperlink>
          </w:p>
        </w:tc>
        <w:tc>
          <w:tcPr>
            <w:tcW w:w="240" w:type="dxa"/>
            <w:vAlign w:val="bottom"/>
            <w:tcBorders>
              <w:top w:val="single" w:sz="8" w:color="0000EE"/>
            </w:tcBorders>
          </w:tcPr>
          <w:p>
            <w:pPr>
              <w:spacing w:after="0"/>
              <w:rPr>
                <w:sz w:val="17"/>
                <w:szCs w:val="17"/>
                <w:color w:val="auto"/>
              </w:rPr>
            </w:pPr>
          </w:p>
        </w:tc>
        <w:tc>
          <w:tcPr>
            <w:tcW w:w="5520" w:type="dxa"/>
            <w:vAlign w:val="bottom"/>
            <w:gridSpan w:val="14"/>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9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CONSOLIDATED BALANCE SHEETS AS OF JULY 31, 2004 AND MAY 1, 2004</w:t>
              </w:r>
            </w:hyperlink>
          </w:p>
        </w:tc>
        <w:tc>
          <w:tcPr>
            <w:tcW w:w="182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60" w:type="dxa"/>
            <w:vAlign w:val="bottom"/>
          </w:tcPr>
          <w:p>
            <w:pPr>
              <w:spacing w:after="0"/>
              <w:rPr>
                <w:sz w:val="17"/>
                <w:szCs w:val="17"/>
                <w:color w:val="auto"/>
              </w:rPr>
            </w:pPr>
          </w:p>
        </w:tc>
        <w:tc>
          <w:tcPr>
            <w:tcW w:w="63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INCOME FOR THE THREE MONTHS ENDED</w:t>
              </w:r>
            </w:hyperlink>
          </w:p>
        </w:tc>
        <w:tc>
          <w:tcPr>
            <w:tcW w:w="150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JULY 31, 2004 AND AUGUST 2, 2003</w:t>
              </w:r>
            </w:hyperlink>
          </w:p>
        </w:tc>
        <w:tc>
          <w:tcPr>
            <w:tcW w:w="4760" w:type="dxa"/>
            <w:vAlign w:val="bottom"/>
            <w:gridSpan w:val="1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78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THREE MONTHS ENDED</w:t>
              </w:r>
            </w:hyperlink>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JULY 31, 2004 AND AUGUST 2, 2003</w:t>
              </w:r>
            </w:hyperlink>
          </w:p>
        </w:tc>
        <w:tc>
          <w:tcPr>
            <w:tcW w:w="3680" w:type="dxa"/>
            <w:vAlign w:val="bottom"/>
            <w:tcBorders>
              <w:top w:val="single" w:sz="8" w:color="0000EE"/>
            </w:tcBorders>
            <w:gridSpan w:val="9"/>
          </w:tcPr>
          <w:p>
            <w:pPr>
              <w:spacing w:after="0"/>
              <w:rPr>
                <w:sz w:val="17"/>
                <w:szCs w:val="17"/>
                <w:color w:val="auto"/>
              </w:rPr>
            </w:pPr>
          </w:p>
        </w:tc>
        <w:tc>
          <w:tcPr>
            <w:tcW w:w="110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780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CONSOLIDATED FINANCIAL STATEMENTS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9"/>
        </w:trPr>
        <w:tc>
          <w:tcPr>
            <w:tcW w:w="826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ITEM 2. MANAGEMENT'S DISCUSSION AND ANALYSIS OF FINANCIAL CONDITION AND RESULTS OF</w:t>
              </w:r>
            </w:hyperlink>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8560" w:type="dxa"/>
            <w:vAlign w:val="bottom"/>
            <w:gridSpan w:val="2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OPERATIONS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ITEM 3. QUANTITATIVE AND QUALITATIVE DISCLOSURES ABOUT MARKET RISK</w:t>
              </w:r>
            </w:hyperlink>
          </w:p>
        </w:tc>
        <w:tc>
          <w:tcPr>
            <w:tcW w:w="1860" w:type="dxa"/>
            <w:vAlign w:val="bottom"/>
            <w:gridSpan w:val="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2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ITEM 4. CONTROLS AND PROCEDURES</w:t>
              </w:r>
            </w:hyperlink>
          </w:p>
        </w:tc>
        <w:tc>
          <w:tcPr>
            <w:tcW w:w="5320" w:type="dxa"/>
            <w:vAlign w:val="bottom"/>
            <w:gridSpan w:val="13"/>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439"/>
        </w:trPr>
        <w:tc>
          <w:tcPr>
            <w:tcW w:w="8560" w:type="dxa"/>
            <w:vAlign w:val="bottom"/>
            <w:gridSpan w:val="23"/>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 OTHER INFORMATION</w:t>
              </w:r>
            </w:hyperlink>
          </w:p>
        </w:tc>
        <w:tc>
          <w:tcPr>
            <w:tcW w:w="980" w:type="dxa"/>
            <w:vAlign w:val="bottom"/>
          </w:tcPr>
          <w:p>
            <w:pPr>
              <w:spacing w:after="0"/>
              <w:rPr>
                <w:sz w:val="24"/>
                <w:szCs w:val="24"/>
                <w:color w:val="auto"/>
              </w:rPr>
            </w:pPr>
          </w:p>
        </w:tc>
      </w:tr>
      <w:tr>
        <w:trPr>
          <w:trHeight w:val="196"/>
        </w:trPr>
        <w:tc>
          <w:tcPr>
            <w:tcW w:w="2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ITEM 1. LEGAL PROCEEDINGS</w:t>
              </w:r>
            </w:hyperlink>
          </w:p>
        </w:tc>
        <w:tc>
          <w:tcPr>
            <w:tcW w:w="160" w:type="dxa"/>
            <w:vAlign w:val="bottom"/>
            <w:tcBorders>
              <w:top w:val="single" w:sz="8" w:color="0000EE"/>
            </w:tcBorders>
          </w:tcPr>
          <w:p>
            <w:pPr>
              <w:spacing w:after="0"/>
              <w:rPr>
                <w:sz w:val="17"/>
                <w:szCs w:val="17"/>
                <w:color w:val="auto"/>
              </w:rPr>
            </w:pPr>
          </w:p>
        </w:tc>
        <w:tc>
          <w:tcPr>
            <w:tcW w:w="5860" w:type="dxa"/>
            <w:vAlign w:val="bottom"/>
            <w:gridSpan w:val="16"/>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5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ITEM 2. CHANGES IN SECURITIES, USE OF PROCEEDS AND ISSUER PURCHASES OF EQUITY SECURITIES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7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ITEM 3. DEFAULTS UPON SENIOR SECURITES</w:t>
              </w:r>
            </w:hyperlink>
          </w:p>
        </w:tc>
        <w:tc>
          <w:tcPr>
            <w:tcW w:w="4800" w:type="dxa"/>
            <w:vAlign w:val="bottom"/>
            <w:gridSpan w:val="1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586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ITEM 4. SUBMISSION OF MATTERS TO A VOTE OF SECURITY HOLDERS</w:t>
              </w:r>
            </w:hyperlink>
          </w:p>
        </w:tc>
        <w:tc>
          <w:tcPr>
            <w:tcW w:w="2700" w:type="dxa"/>
            <w:vAlign w:val="bottom"/>
            <w:gridSpan w:val="6"/>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56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5. OTHER INFORMATION</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140" w:type="dxa"/>
            <w:vAlign w:val="bottom"/>
            <w:gridSpan w:val="5"/>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56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6. EXHIBITS AND REPORTS ON FORM 8-K</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412"/>
        </w:trPr>
        <w:tc>
          <w:tcPr>
            <w:tcW w:w="11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4"/>
              </w:rPr>
            </w:pPr>
            <w:hyperlink w:anchor="page14">
              <w:r>
                <w:rPr>
                  <w:rFonts w:ascii="Arial" w:cs="Arial" w:eastAsia="Arial" w:hAnsi="Arial"/>
                  <w:sz w:val="18"/>
                  <w:szCs w:val="18"/>
                  <w:b w:val="1"/>
                  <w:bCs w:val="1"/>
                  <w:color w:val="0000EE"/>
                  <w:w w:val="94"/>
                </w:rPr>
                <w:t>SIGNATURES</w:t>
              </w:r>
            </w:hyperlink>
          </w:p>
        </w:tc>
        <w:tc>
          <w:tcPr>
            <w:tcW w:w="2740" w:type="dxa"/>
            <w:vAlign w:val="bottom"/>
            <w:tcBorders>
              <w:top w:val="single" w:sz="8" w:color="0000EE"/>
            </w:tcBorders>
            <w:gridSpan w:val="9"/>
          </w:tcPr>
          <w:p>
            <w:pPr>
              <w:spacing w:after="0"/>
              <w:rPr>
                <w:sz w:val="24"/>
                <w:szCs w:val="24"/>
                <w:color w:val="auto"/>
              </w:rPr>
            </w:pPr>
          </w:p>
        </w:tc>
        <w:tc>
          <w:tcPr>
            <w:tcW w:w="468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u w:val="single" w:color="auto"/>
          <w:color w:val="0000EE"/>
        </w:rPr>
        <w:t>Ex. 31.1</w:t>
      </w:r>
      <w:r>
        <w:rPr>
          <w:sz w:val="20"/>
          <w:szCs w:val="20"/>
          <w:color w:val="auto"/>
        </w:rPr>
        <w:tab/>
      </w:r>
      <w:r>
        <w:rPr>
          <w:rFonts w:ascii="Arial" w:cs="Arial" w:eastAsia="Arial" w:hAnsi="Arial"/>
          <w:sz w:val="16"/>
          <w:szCs w:val="16"/>
          <w:color w:val="auto"/>
        </w:rPr>
        <w:t>CERTIFICATION OF THE CHIEF EXECUTIVE OFFICER REQUIRED BY RULE 13a-14(a)</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OR RULE 15d-14(a) OF THE SECURITIES EXCHANGE ACT OF 1934,</w:t>
      </w:r>
    </w:p>
    <w:p>
      <w:pPr>
        <w:spacing w:after="0" w:line="9" w:lineRule="exact"/>
        <w:rPr>
          <w:sz w:val="20"/>
          <w:szCs w:val="20"/>
          <w:color w:val="auto"/>
        </w:rPr>
      </w:pPr>
    </w:p>
    <w:p>
      <w:pPr>
        <w:ind w:left="1520" w:right="3740" w:hanging="9"/>
        <w:spacing w:after="0" w:line="250" w:lineRule="auto"/>
        <w:rPr>
          <w:sz w:val="20"/>
          <w:szCs w:val="20"/>
          <w:color w:val="auto"/>
        </w:rPr>
      </w:pPr>
      <w:r>
        <w:rPr>
          <w:rFonts w:ascii="Arial" w:cs="Arial" w:eastAsia="Arial" w:hAnsi="Arial"/>
          <w:sz w:val="18"/>
          <w:szCs w:val="18"/>
          <w:color w:val="auto"/>
        </w:rPr>
        <w:t>AS ADOPTED PURSUANT TO SECTION 302 OF THE SARBANES-OXLEY ACT OF 2002</w:t>
      </w:r>
    </w:p>
    <w:p>
      <w:pPr>
        <w:spacing w:after="0" w:line="1" w:lineRule="exact"/>
        <w:rPr>
          <w:sz w:val="20"/>
          <w:szCs w:val="20"/>
          <w:color w:val="auto"/>
        </w:rPr>
      </w:pPr>
    </w:p>
    <w:p>
      <w:pPr>
        <w:jc w:val="both"/>
        <w:ind w:left="1520" w:right="3740" w:hanging="735"/>
        <w:spacing w:after="0" w:line="250" w:lineRule="auto"/>
        <w:tabs>
          <w:tab w:leader="none" w:pos="1500" w:val="left"/>
        </w:tabs>
        <w:rPr>
          <w:sz w:val="20"/>
          <w:szCs w:val="20"/>
          <w:color w:val="auto"/>
        </w:rPr>
      </w:pPr>
      <w:r>
        <w:rPr>
          <w:rFonts w:ascii="Arial" w:cs="Arial" w:eastAsia="Arial" w:hAnsi="Arial"/>
          <w:sz w:val="18"/>
          <w:szCs w:val="18"/>
          <w:u w:val="single" w:color="auto"/>
          <w:color w:val="0000EE"/>
        </w:rPr>
        <w:t>Ex. 31.2</w:t>
      </w:r>
      <w:r>
        <w:rPr>
          <w:sz w:val="20"/>
          <w:szCs w:val="20"/>
          <w:color w:val="auto"/>
        </w:rPr>
        <w:tab/>
      </w:r>
      <w:r>
        <w:rPr>
          <w:rFonts w:ascii="Arial" w:cs="Arial" w:eastAsia="Arial" w:hAnsi="Arial"/>
          <w:sz w:val="18"/>
          <w:szCs w:val="18"/>
          <w:color w:val="auto"/>
        </w:rPr>
        <w:t>CERTIFICATION OF THE CHIEF FINANCIAL OFFICER REQUIRED BY RULE 13a-14(a) OR RULE 15d-14(a) OF THE SECURITIES EXCHANGE ACT OF 1934, AS ADOPTED PURSUANT TO SECTION 302 OF THE SARBANES-OXLEY ACT OF 2002</w:t>
      </w:r>
    </w:p>
    <w:p>
      <w:pPr>
        <w:spacing w:after="0" w:line="2"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u w:val="single" w:color="auto"/>
          <w:color w:val="0000EE"/>
        </w:rPr>
        <w:t>Ex. 32.1</w:t>
      </w:r>
      <w:r>
        <w:rPr>
          <w:sz w:val="20"/>
          <w:szCs w:val="20"/>
          <w:color w:val="auto"/>
        </w:rPr>
        <w:tab/>
      </w:r>
      <w:r>
        <w:rPr>
          <w:rFonts w:ascii="Arial" w:cs="Arial" w:eastAsia="Arial" w:hAnsi="Arial"/>
          <w:sz w:val="16"/>
          <w:szCs w:val="16"/>
          <w:color w:val="auto"/>
        </w:rPr>
        <w:t>CERTIFICATION OF THE CHIEF EXECUTIVE OFFICER PURSUANT TO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SECTION 906 OF THE SARBANES-OXLEY ACT OF 2002 (18 U.S.C. SECTION 1350)</w:t>
      </w:r>
    </w:p>
    <w:p>
      <w:pPr>
        <w:spacing w:after="0" w:line="9"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u w:val="single" w:color="auto"/>
          <w:color w:val="0000EE"/>
        </w:rPr>
        <w:t>Ex. 32.2</w:t>
      </w:r>
      <w:r>
        <w:rPr>
          <w:sz w:val="20"/>
          <w:szCs w:val="20"/>
          <w:color w:val="auto"/>
        </w:rPr>
        <w:tab/>
      </w:r>
      <w:r>
        <w:rPr>
          <w:rFonts w:ascii="Arial" w:cs="Arial" w:eastAsia="Arial" w:hAnsi="Arial"/>
          <w:sz w:val="16"/>
          <w:szCs w:val="16"/>
          <w:color w:val="auto"/>
        </w:rPr>
        <w:t>CERTIFICATION OF THE CHIEF FINANCIAL OFFICER PURSUANT TO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30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and those factors discussed in detail in our filings with the Securities and Exchange Commission, including in our Annual Report on Form 10-K for the fiscal year ended May 1, 2004 in the section entitled “Item F. Management’s discussion and Analysis of Financial Condition and Results of Operations – Business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data)</w:t>
      </w:r>
    </w:p>
    <w:tbl>
      <w:tblPr>
        <w:tblLayout w:type="fixed"/>
        <w:tblInd w:w="166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July 31,</w:t>
            </w:r>
          </w:p>
        </w:tc>
        <w:tc>
          <w:tcPr>
            <w:tcW w:w="680" w:type="dxa"/>
            <w:vAlign w:val="bottom"/>
          </w:tcPr>
          <w:p>
            <w:pPr>
              <w:jc w:val="center"/>
              <w:ind w:left="44"/>
              <w:spacing w:after="0" w:line="147" w:lineRule="exact"/>
              <w:rPr>
                <w:sz w:val="20"/>
                <w:szCs w:val="20"/>
                <w:color w:val="auto"/>
              </w:rPr>
            </w:pPr>
            <w:r>
              <w:rPr>
                <w:rFonts w:ascii="Arial" w:cs="Arial" w:eastAsia="Arial" w:hAnsi="Arial"/>
                <w:sz w:val="14"/>
                <w:szCs w:val="14"/>
                <w:b w:val="1"/>
                <w:bCs w:val="1"/>
                <w:color w:val="auto"/>
                <w:w w:val="93"/>
              </w:rPr>
              <w:t>May 1,</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780" w:type="dxa"/>
            <w:vAlign w:val="bottom"/>
            <w:gridSpan w:val="2"/>
          </w:tcPr>
          <w:p>
            <w:pPr>
              <w:jc w:val="center"/>
              <w:ind w:left="1239"/>
              <w:spacing w:after="0" w:line="149" w:lineRule="exact"/>
              <w:rPr>
                <w:sz w:val="20"/>
                <w:szCs w:val="20"/>
                <w:color w:val="auto"/>
              </w:rPr>
            </w:pPr>
            <w:r>
              <w:rPr>
                <w:rFonts w:ascii="Arial" w:cs="Arial" w:eastAsia="Arial" w:hAnsi="Arial"/>
                <w:sz w:val="14"/>
                <w:szCs w:val="14"/>
                <w:b w:val="1"/>
                <w:bCs w:val="1"/>
                <w:color w:val="auto"/>
                <w:w w:val="83"/>
              </w:rPr>
              <w:t>2004</w:t>
            </w:r>
          </w:p>
        </w:tc>
        <w:tc>
          <w:tcPr>
            <w:tcW w:w="240" w:type="dxa"/>
            <w:vAlign w:val="bottom"/>
          </w:tcPr>
          <w:p>
            <w:pPr>
              <w:spacing w:after="0"/>
              <w:rPr>
                <w:sz w:val="12"/>
                <w:szCs w:val="12"/>
                <w:color w:val="auto"/>
              </w:rPr>
            </w:pPr>
          </w:p>
        </w:tc>
        <w:tc>
          <w:tcPr>
            <w:tcW w:w="680" w:type="dxa"/>
            <w:vAlign w:val="bottom"/>
          </w:tcPr>
          <w:p>
            <w:pPr>
              <w:jc w:val="center"/>
              <w:ind w:left="64"/>
              <w:spacing w:after="0" w:line="149" w:lineRule="exact"/>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174"/>
        </w:trPr>
        <w:tc>
          <w:tcPr>
            <w:tcW w:w="5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(unaudited)</w:t>
            </w:r>
          </w:p>
        </w:tc>
        <w:tc>
          <w:tcPr>
            <w:tcW w:w="680" w:type="dxa"/>
            <w:vAlign w:val="bottom"/>
          </w:tcPr>
          <w:p>
            <w:pPr>
              <w:jc w:val="center"/>
              <w:ind w:left="44"/>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2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$ 17,372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$ 16,255</w:t>
            </w:r>
          </w:p>
        </w:tc>
        <w:tc>
          <w:tcPr>
            <w:tcW w:w="0" w:type="dxa"/>
            <w:vAlign w:val="bottom"/>
          </w:tcPr>
          <w:p>
            <w:pPr>
              <w:spacing w:after="0"/>
              <w:rPr>
                <w:sz w:val="1"/>
                <w:szCs w:val="1"/>
                <w:color w:val="auto"/>
              </w:rPr>
            </w:pPr>
          </w:p>
        </w:tc>
      </w:tr>
      <w:tr>
        <w:trPr>
          <w:trHeight w:val="216"/>
        </w:trPr>
        <w:tc>
          <w:tcPr>
            <w:tcW w:w="5260" w:type="dxa"/>
            <w:vAlign w:val="bottom"/>
          </w:tcPr>
          <w:p>
            <w:pPr>
              <w:ind w:left="80"/>
              <w:spacing w:after="0"/>
              <w:rPr>
                <w:sz w:val="20"/>
                <w:szCs w:val="20"/>
                <w:color w:val="auto"/>
              </w:rPr>
            </w:pPr>
            <w:r>
              <w:rPr>
                <w:rFonts w:ascii="Arial" w:cs="Arial" w:eastAsia="Arial" w:hAnsi="Arial"/>
                <w:sz w:val="18"/>
                <w:szCs w:val="18"/>
                <w:color w:val="auto"/>
              </w:rPr>
              <w:t>Accounts receivable, less allowance for doubtful accounts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20"/>
              <w:spacing w:after="0"/>
              <w:rPr>
                <w:sz w:val="20"/>
                <w:szCs w:val="20"/>
                <w:color w:val="auto"/>
              </w:rPr>
            </w:pPr>
            <w:r>
              <w:rPr>
                <w:rFonts w:ascii="Arial" w:cs="Arial" w:eastAsia="Arial" w:hAnsi="Arial"/>
                <w:sz w:val="18"/>
                <w:szCs w:val="18"/>
                <w:color w:val="auto"/>
              </w:rPr>
              <w:t>of $1,368 at July 31, 2004 and $1,131 at May 1, 2004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31,521</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bl>
    <w:p>
      <w:pPr>
        <w:sectPr>
          <w:pgSz w:w="11900" w:h="16855" w:orient="portrait"/>
          <w:cols w:equalWidth="0" w:num="1">
            <w:col w:w="11340"/>
          </w:cols>
          <w:pgMar w:left="240" w:top="131" w:right="3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receivables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21,731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16,604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Costs and estimated earnings in excess of billings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16,213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12,862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Prepaid expenses and other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Income tax receivable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96,587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84,421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Advertising rights, net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Long term receivables, less current maturities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9,988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10,267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Goodwill, net of accumulated amortization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Intangible and other assets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13,803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14,013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color w:val="auto"/>
              </w:rPr>
              <w:t>PROPERTY AND EQUIPMENT:</w:t>
            </w: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Land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Buildings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12,479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12,415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Machinery and equipment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18,981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18,123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Office furniture and equipment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17,065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15,706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Equipment held for rent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4,794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Transportation equipment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57,145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54,533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Less accumulated depreciation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28,431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26,731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28,714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27,802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$139,104</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126,236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960" w:type="dxa"/>
            <w:vAlign w:val="bottom"/>
            <w:gridSpan w:val="2"/>
          </w:tcPr>
          <w:p>
            <w:pPr>
              <w:jc w:val="center"/>
              <w:ind w:left="3372"/>
              <w:spacing w:after="0"/>
              <w:rPr>
                <w:sz w:val="20"/>
                <w:szCs w:val="20"/>
                <w:color w:val="auto"/>
              </w:rPr>
            </w:pPr>
            <w:r>
              <w:rPr>
                <w:rFonts w:ascii="Arial" w:cs="Arial" w:eastAsia="Arial" w:hAnsi="Arial"/>
                <w:sz w:val="18"/>
                <w:szCs w:val="18"/>
                <w:b w:val="1"/>
                <w:bCs w:val="1"/>
                <w:color w:val="auto"/>
                <w:w w:val="97"/>
              </w:rPr>
              <w:t>DAKTRONICS, INC. AND SUBSIDIARIES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jc w:val="center"/>
              <w:ind w:left="3372"/>
              <w:spacing w:after="0"/>
              <w:rPr>
                <w:sz w:val="20"/>
                <w:szCs w:val="20"/>
                <w:color w:val="auto"/>
              </w:rPr>
            </w:pPr>
            <w:r>
              <w:rPr>
                <w:rFonts w:ascii="Arial" w:cs="Arial" w:eastAsia="Arial" w:hAnsi="Arial"/>
                <w:sz w:val="18"/>
                <w:szCs w:val="18"/>
                <w:b w:val="1"/>
                <w:bCs w:val="1"/>
                <w:color w:val="auto"/>
                <w:w w:val="95"/>
              </w:rPr>
              <w:t xml:space="preserve">CONSOLIDATED BALANCE SHEETS </w:t>
            </w:r>
            <w:r>
              <w:rPr>
                <w:rFonts w:ascii="Arial" w:cs="Arial" w:eastAsia="Arial" w:hAnsi="Arial"/>
                <w:sz w:val="18"/>
                <w:szCs w:val="18"/>
                <w:color w:val="auto"/>
                <w:w w:val="95"/>
              </w:rPr>
              <w:t>(continued)</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jc w:val="center"/>
              <w:ind w:left="3332"/>
              <w:spacing w:after="0"/>
              <w:rPr>
                <w:sz w:val="20"/>
                <w:szCs w:val="20"/>
                <w:color w:val="auto"/>
              </w:rPr>
            </w:pPr>
            <w:r>
              <w:rPr>
                <w:rFonts w:ascii="Arial" w:cs="Arial" w:eastAsia="Arial" w:hAnsi="Arial"/>
                <w:sz w:val="18"/>
                <w:szCs w:val="18"/>
                <w:color w:val="auto"/>
                <w:w w:val="86"/>
              </w:rPr>
              <w:t>(in thousands, except share data)</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5"/>
              </w:rPr>
              <w:t>July 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2"/>
            <w:vMerge w:val="restart"/>
          </w:tcPr>
          <w:p>
            <w:pPr>
              <w:jc w:val="center"/>
              <w:ind w:right="1800"/>
              <w:spacing w:after="0"/>
              <w:rPr>
                <w:sz w:val="20"/>
                <w:szCs w:val="20"/>
                <w:color w:val="auto"/>
              </w:rPr>
            </w:pPr>
            <w:r>
              <w:rPr>
                <w:rFonts w:ascii="Arial" w:cs="Arial" w:eastAsia="Arial" w:hAnsi="Arial"/>
                <w:sz w:val="14"/>
                <w:szCs w:val="14"/>
                <w:b w:val="1"/>
                <w:bCs w:val="1"/>
                <w:color w:val="auto"/>
                <w:w w:val="93"/>
              </w:rPr>
              <w:t>May 1,</w:t>
            </w:r>
          </w:p>
        </w:tc>
        <w:tc>
          <w:tcPr>
            <w:tcW w:w="0" w:type="dxa"/>
            <w:vAlign w:val="bottom"/>
          </w:tcPr>
          <w:p>
            <w:pPr>
              <w:spacing w:after="0"/>
              <w:rPr>
                <w:sz w:val="1"/>
                <w:szCs w:val="1"/>
                <w:color w:val="auto"/>
              </w:rPr>
            </w:pPr>
          </w:p>
        </w:tc>
      </w:tr>
      <w:tr>
        <w:trPr>
          <w:trHeight w:val="138"/>
        </w:trPr>
        <w:tc>
          <w:tcPr>
            <w:tcW w:w="7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2004</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Notes payable, bank</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12,586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11,611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debt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Billings in excess of costs and estimated 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Customer deposits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Income taxes payable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41,760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35,297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debt, less current maturities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1,498</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Deferred income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5,571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47,331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39,972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Common stock, no par value, authorized 60,000,000 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840"/>
              <w:spacing w:after="0"/>
              <w:rPr>
                <w:sz w:val="20"/>
                <w:szCs w:val="20"/>
                <w:color w:val="auto"/>
              </w:rPr>
            </w:pPr>
            <w:r>
              <w:rPr>
                <w:rFonts w:ascii="Arial" w:cs="Arial" w:eastAsia="Arial" w:hAnsi="Arial"/>
                <w:sz w:val="18"/>
                <w:szCs w:val="18"/>
                <w:color w:val="auto"/>
              </w:rPr>
              <w:t>18,918,610 and 18,886,492 shares issued at July 31, 2004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840"/>
              <w:spacing w:after="0"/>
              <w:rPr>
                <w:sz w:val="20"/>
                <w:szCs w:val="20"/>
                <w:color w:val="auto"/>
              </w:rPr>
            </w:pPr>
            <w:r>
              <w:rPr>
                <w:rFonts w:ascii="Arial" w:cs="Arial" w:eastAsia="Arial" w:hAnsi="Arial"/>
                <w:sz w:val="18"/>
                <w:szCs w:val="18"/>
                <w:color w:val="auto"/>
              </w:rPr>
              <w:t>and May 1, 2004, respectively</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16,406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67,677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Treasury stock, at cost, 19,680 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2"/>
          </w:tcPr>
          <w:p>
            <w:pPr>
              <w:jc w:val="right"/>
              <w:ind w:right="17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Accumulated other comprehensive income (loss)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2"/>
          </w:tcPr>
          <w:p>
            <w:pPr>
              <w:jc w:val="right"/>
              <w:ind w:right="17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91,773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86,264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$139,104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126,236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-6083935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-6083935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-6083935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-6083935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 w:name="page4"/>
    <w:bookmarkEnd w:id="3"/>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10"/>
          </w:tcPr>
          <w:p>
            <w:pPr>
              <w:jc w:val="right"/>
              <w:ind w:right="19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29"/>
        </w:trPr>
        <w:tc>
          <w:tcPr>
            <w:tcW w:w="7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1"/>
              </w:rPr>
              <w:t>July 31,</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August</w:t>
            </w:r>
          </w:p>
        </w:tc>
        <w:tc>
          <w:tcPr>
            <w:tcW w:w="1900" w:type="dxa"/>
            <w:vAlign w:val="bottom"/>
            <w:gridSpan w:val="2"/>
          </w:tcPr>
          <w:p>
            <w:pPr>
              <w:jc w:val="right"/>
              <w:ind w:right="1800"/>
              <w:spacing w:after="0" w:line="129" w:lineRule="exact"/>
              <w:rPr>
                <w:sz w:val="20"/>
                <w:szCs w:val="20"/>
                <w:color w:val="auto"/>
              </w:rPr>
            </w:pPr>
            <w:r>
              <w:rPr>
                <w:rFonts w:ascii="Arial" w:cs="Arial" w:eastAsia="Arial" w:hAnsi="Arial"/>
                <w:sz w:val="12"/>
                <w:szCs w:val="12"/>
                <w:b w:val="1"/>
                <w:bCs w:val="1"/>
                <w:color w:val="auto"/>
                <w:w w:val="79"/>
              </w:rPr>
              <w:t>2,</w:t>
            </w:r>
          </w:p>
        </w:tc>
        <w:tc>
          <w:tcPr>
            <w:tcW w:w="0" w:type="dxa"/>
            <w:vAlign w:val="bottom"/>
          </w:tcPr>
          <w:p>
            <w:pPr>
              <w:spacing w:after="0"/>
              <w:rPr>
                <w:sz w:val="1"/>
                <w:szCs w:val="1"/>
                <w:color w:val="auto"/>
              </w:rPr>
            </w:pPr>
          </w:p>
        </w:tc>
      </w:tr>
      <w:tr>
        <w:trPr>
          <w:trHeight w:val="174"/>
        </w:trPr>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7240" w:type="dxa"/>
            <w:vAlign w:val="bottom"/>
          </w:tcPr>
          <w:p>
            <w:pPr>
              <w:ind w:left="1660"/>
              <w:spacing w:after="0"/>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24"/>
                <w:szCs w:val="24"/>
                <w:color w:val="auto"/>
              </w:rPr>
            </w:pPr>
          </w:p>
        </w:tc>
        <w:tc>
          <w:tcPr>
            <w:tcW w:w="1220" w:type="dxa"/>
            <w:vAlign w:val="bottom"/>
            <w:gridSpan w:val="7"/>
          </w:tcPr>
          <w:p>
            <w:pPr>
              <w:jc w:val="right"/>
              <w:spacing w:after="0"/>
              <w:rPr>
                <w:sz w:val="20"/>
                <w:szCs w:val="20"/>
                <w:color w:val="auto"/>
              </w:rPr>
            </w:pPr>
            <w:r>
              <w:rPr>
                <w:rFonts w:ascii="Arial" w:cs="Arial" w:eastAsia="Arial" w:hAnsi="Arial"/>
                <w:sz w:val="18"/>
                <w:szCs w:val="18"/>
                <w:color w:val="auto"/>
              </w:rPr>
              <w:t>$ 58,710</w:t>
            </w:r>
          </w:p>
        </w:tc>
        <w:tc>
          <w:tcPr>
            <w:tcW w:w="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48,918</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240" w:type="dxa"/>
            <w:vAlign w:val="bottom"/>
          </w:tcPr>
          <w:p>
            <w:pPr>
              <w:ind w:left="166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38,592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31,468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20,118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17,450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66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Arial" w:cs="Arial" w:eastAsia="Arial" w:hAnsi="Arial"/>
                <w:sz w:val="18"/>
                <w:szCs w:val="18"/>
                <w:color w:val="auto"/>
              </w:rPr>
              <w:t>Selling</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7,379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6,429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2,618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2,122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Pr>
          <w:p>
            <w:pPr>
              <w:ind w:left="1760"/>
              <w:spacing w:after="0"/>
              <w:rPr>
                <w:sz w:val="20"/>
                <w:szCs w:val="20"/>
                <w:color w:val="auto"/>
              </w:rPr>
            </w:pPr>
            <w:r>
              <w:rPr>
                <w:rFonts w:ascii="Arial" w:cs="Arial" w:eastAsia="Arial" w:hAnsi="Arial"/>
                <w:sz w:val="18"/>
                <w:szCs w:val="18"/>
                <w:color w:val="auto"/>
              </w:rPr>
              <w:t>Product design and development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2,238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2,205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12,235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10,756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7,883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6,694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240" w:type="dxa"/>
            <w:vAlign w:val="bottom"/>
          </w:tcPr>
          <w:p>
            <w:pPr>
              <w:ind w:left="166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3"/>
          </w:tcPr>
          <w:p>
            <w:pPr>
              <w:jc w:val="right"/>
              <w:ind w:right="17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2"/>
        </w:trPr>
        <w:tc>
          <w:tcPr>
            <w:tcW w:w="7240" w:type="dxa"/>
            <w:vAlign w:val="bottom"/>
          </w:tcPr>
          <w:p>
            <w:pPr>
              <w:ind w:left="176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Income before income taxes and minority interest</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8,217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7,131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240" w:type="dxa"/>
            <w:vAlign w:val="bottom"/>
          </w:tcPr>
          <w:p>
            <w:pPr>
              <w:ind w:left="166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3,185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2,812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Income before minority interest</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5,032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4,319</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tcPr>
          <w:p>
            <w:pPr>
              <w:ind w:left="1700"/>
              <w:spacing w:after="0"/>
              <w:rPr>
                <w:sz w:val="20"/>
                <w:szCs w:val="20"/>
                <w:color w:val="auto"/>
              </w:rPr>
            </w:pPr>
            <w:r>
              <w:rPr>
                <w:rFonts w:ascii="Arial" w:cs="Arial" w:eastAsia="Arial" w:hAnsi="Arial"/>
                <w:sz w:val="18"/>
                <w:szCs w:val="18"/>
                <w:color w:val="auto"/>
              </w:rPr>
              <w:t>Minority interest in income of subsidiary</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3"/>
          </w:tcPr>
          <w:p>
            <w:pPr>
              <w:jc w:val="right"/>
              <w:ind w:right="17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76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5,032</w:t>
            </w:r>
          </w:p>
        </w:tc>
        <w:tc>
          <w:tcPr>
            <w:tcW w:w="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4,308</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40" w:type="dxa"/>
            <w:vAlign w:val="bottom"/>
            <w:vMerge w:val="restart"/>
          </w:tcPr>
          <w:p>
            <w:pPr>
              <w:ind w:left="166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240" w:type="dxa"/>
            <w:vAlign w:val="bottom"/>
          </w:tcPr>
          <w:p>
            <w:pPr>
              <w:ind w:left="17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40" w:type="dxa"/>
            <w:vAlign w:val="bottom"/>
          </w:tcPr>
          <w:p>
            <w:pPr>
              <w:ind w:left="17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4"/>
                <w:szCs w:val="24"/>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40" w:type="dxa"/>
            <w:vAlign w:val="bottom"/>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4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480" w:type="dxa"/>
            <w:vAlign w:val="bottom"/>
            <w:gridSpan w:val="2"/>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480" w:type="dxa"/>
            <w:vAlign w:val="bottom"/>
            <w:gridSpan w:val="2"/>
          </w:tcPr>
          <w:p>
            <w:pPr>
              <w:jc w:val="center"/>
              <w:ind w:left="3852"/>
              <w:spacing w:after="0"/>
              <w:rPr>
                <w:sz w:val="20"/>
                <w:szCs w:val="20"/>
                <w:color w:val="auto"/>
              </w:rPr>
            </w:pPr>
            <w:r>
              <w:rPr>
                <w:rFonts w:ascii="Arial" w:cs="Arial" w:eastAsia="Arial" w:hAnsi="Arial"/>
                <w:sz w:val="18"/>
                <w:szCs w:val="18"/>
                <w:b w:val="1"/>
                <w:bCs w:val="1"/>
                <w:color w:val="auto"/>
                <w:w w:val="97"/>
              </w:rPr>
              <w:t>DAKTRONICS, INC. AND SUBSIDIARIES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180" w:type="dxa"/>
            <w:vAlign w:val="bottom"/>
            <w:gridSpan w:val="6"/>
          </w:tcPr>
          <w:p>
            <w:pPr>
              <w:jc w:val="center"/>
              <w:ind w:left="311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tcPr>
          <w:p>
            <w:pPr>
              <w:jc w:val="center"/>
              <w:ind w:left="407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Pr>
          <w:p>
            <w:pPr>
              <w:jc w:val="center"/>
              <w:ind w:left="4092"/>
              <w:spacing w:after="0"/>
              <w:rPr>
                <w:sz w:val="20"/>
                <w:szCs w:val="20"/>
                <w:color w:val="auto"/>
              </w:rPr>
            </w:pPr>
            <w:r>
              <w:rPr>
                <w:rFonts w:ascii="Arial" w:cs="Arial" w:eastAsia="Arial" w:hAnsi="Arial"/>
                <w:sz w:val="18"/>
                <w:szCs w:val="18"/>
                <w:color w:val="auto"/>
                <w:w w:val="90"/>
              </w:rPr>
              <w:t>(unaudited)</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11"/>
          </w:tcPr>
          <w:p>
            <w:pPr>
              <w:jc w:val="right"/>
              <w:ind w:right="32"/>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ind w:left="80"/>
              <w:spacing w:after="0" w:line="129" w:lineRule="exact"/>
              <w:rPr>
                <w:sz w:val="20"/>
                <w:szCs w:val="20"/>
                <w:color w:val="auto"/>
              </w:rPr>
            </w:pPr>
            <w:r>
              <w:rPr>
                <w:rFonts w:ascii="Arial" w:cs="Arial" w:eastAsia="Arial" w:hAnsi="Arial"/>
                <w:sz w:val="14"/>
                <w:szCs w:val="14"/>
                <w:b w:val="1"/>
                <w:bCs w:val="1"/>
                <w:color w:val="auto"/>
                <w:w w:val="71"/>
              </w:rPr>
              <w:t>July</w:t>
            </w:r>
          </w:p>
        </w:tc>
        <w:tc>
          <w:tcPr>
            <w:tcW w:w="40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rPr>
              <w:t>31,</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rPr>
              <w:t>August</w:t>
            </w:r>
          </w:p>
        </w:tc>
        <w:tc>
          <w:tcPr>
            <w:tcW w:w="10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79"/>
              </w:rPr>
              <w:t>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40" w:type="dxa"/>
            <w:vAlign w:val="bottom"/>
            <w:vMerge w:val="restart"/>
          </w:tcPr>
          <w:p>
            <w:pPr>
              <w:ind w:left="166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  4,308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40"/>
              <w:spacing w:after="0"/>
              <w:rPr>
                <w:sz w:val="20"/>
                <w:szCs w:val="20"/>
                <w:color w:val="auto"/>
              </w:rPr>
            </w:pPr>
            <w:r>
              <w:rPr>
                <w:rFonts w:ascii="Arial" w:cs="Arial" w:eastAsia="Arial" w:hAnsi="Arial"/>
                <w:sz w:val="18"/>
                <w:szCs w:val="18"/>
                <w:color w:val="auto"/>
              </w:rPr>
              <w:t>Adjustments to reconcile net income to net cash provided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Arial" w:cs="Arial" w:eastAsia="Arial" w:hAnsi="Arial"/>
                <w:sz w:val="18"/>
                <w:szCs w:val="18"/>
                <w:color w:val="auto"/>
              </w:rPr>
              <w:t>by operating activities: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Arial" w:cs="Arial" w:eastAsia="Arial" w:hAnsi="Arial"/>
                <w:sz w:val="18"/>
                <w:szCs w:val="18"/>
                <w:color w:val="auto"/>
              </w:rPr>
              <w:t>(Gain) loss on sale of property and equipment</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8"/>
          </w:tcPr>
          <w:p>
            <w:pPr>
              <w:jc w:val="right"/>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Arial" w:cs="Arial" w:eastAsia="Arial" w:hAnsi="Arial"/>
                <w:sz w:val="18"/>
                <w:szCs w:val="18"/>
                <w:color w:val="auto"/>
              </w:rPr>
              <w:t>Minority interest in income of subsidiary</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177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8"/>
          </w:tcPr>
          <w:p>
            <w:pPr>
              <w:jc w:val="right"/>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Pr>
          <w:p>
            <w:pPr>
              <w:ind w:left="184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Pr>
          <w:p>
            <w:pPr>
              <w:spacing w:after="0"/>
              <w:rPr>
                <w:sz w:val="19"/>
                <w:szCs w:val="19"/>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(3,258)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964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808080"/>
            </w:tcBorders>
            <w:gridSpan w:val="4"/>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4,087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6,550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66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(2,663)</w:t>
            </w:r>
          </w:p>
        </w:tc>
        <w:tc>
          <w:tcPr>
            <w:tcW w:w="940" w:type="dxa"/>
            <w:vAlign w:val="bottom"/>
            <w:gridSpan w:val="8"/>
          </w:tcPr>
          <w:p>
            <w:pPr>
              <w:jc w:val="right"/>
              <w:spacing w:after="0"/>
              <w:rPr>
                <w:sz w:val="20"/>
                <w:szCs w:val="20"/>
                <w:color w:val="auto"/>
              </w:rPr>
            </w:pPr>
            <w:r>
              <w:rPr>
                <w:rFonts w:ascii="Arial" w:cs="Arial" w:eastAsia="Arial" w:hAnsi="Arial"/>
                <w:sz w:val="18"/>
                <w:szCs w:val="18"/>
                <w:color w:val="auto"/>
              </w:rPr>
              <w:t>(1,748)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Pr>
          <w:p>
            <w:pPr>
              <w:ind w:left="1760"/>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666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808080"/>
            </w:tcBorders>
            <w:gridSpan w:val="4"/>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(2,658)</w:t>
            </w:r>
          </w:p>
        </w:tc>
        <w:tc>
          <w:tcPr>
            <w:tcW w:w="940" w:type="dxa"/>
            <w:vAlign w:val="bottom"/>
            <w:gridSpan w:val="8"/>
          </w:tcPr>
          <w:p>
            <w:pPr>
              <w:jc w:val="right"/>
              <w:spacing w:after="0"/>
              <w:rPr>
                <w:sz w:val="20"/>
                <w:szCs w:val="20"/>
                <w:color w:val="auto"/>
              </w:rPr>
            </w:pPr>
            <w:r>
              <w:rPr>
                <w:rFonts w:ascii="Arial" w:cs="Arial" w:eastAsia="Arial" w:hAnsi="Arial"/>
                <w:sz w:val="18"/>
                <w:szCs w:val="18"/>
                <w:color w:val="auto"/>
              </w:rPr>
              <w:t>(1,082)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-5070475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-5070475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-5070475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-5070475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-4641850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-4641850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-4641850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-4641850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-4350385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-4350385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-4350385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-4350385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1" w:orient="portrait"/>
          <w:cols w:equalWidth="0" w:num="1">
            <w:col w:w="11420"/>
          </w:cols>
          <w:pgMar w:left="240" w:top="131" w:right="239" w:bottom="0" w:gutter="0" w:footer="0" w:header="0"/>
        </w:sectPr>
      </w:pPr>
    </w:p>
    <w:bookmarkStart w:id="4" w:name="page5"/>
    <w:bookmarkEnd w:id="4"/>
    <w:tbl>
      <w:tblPr>
        <w:tblLayout w:type="fixed"/>
        <w:tblInd w:w="166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Principal payments on long-term debt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(3,879)</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Net borrowings (payments) on notes payable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100"/>
              <w:spacing w:after="0"/>
              <w:rPr>
                <w:sz w:val="20"/>
                <w:szCs w:val="20"/>
                <w:color w:val="auto"/>
              </w:rPr>
            </w:pPr>
            <w:r>
              <w:rPr>
                <w:rFonts w:ascii="Arial" w:cs="Arial" w:eastAsia="Arial" w:hAnsi="Arial"/>
                <w:sz w:val="18"/>
                <w:szCs w:val="18"/>
                <w:color w:val="auto"/>
              </w:rPr>
              <w:t>Proceeds from long-term debt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(3,587)</w:t>
            </w: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Beginning</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16,255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spacing w:after="0"/>
              <w:rPr>
                <w:sz w:val="20"/>
                <w:szCs w:val="20"/>
                <w:color w:val="auto"/>
              </w:rPr>
            </w:pPr>
            <w:r>
              <w:rPr>
                <w:rFonts w:ascii="Arial" w:cs="Arial" w:eastAsia="Arial" w:hAnsi="Arial"/>
                <w:sz w:val="18"/>
                <w:szCs w:val="18"/>
                <w:color w:val="auto"/>
              </w:rPr>
              <w:t>Ending</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17,372</w:t>
            </w:r>
          </w:p>
        </w:tc>
        <w:tc>
          <w:tcPr>
            <w:tcW w:w="1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11,182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Cash payments for: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Supplemental schedule of non-cash investing and</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220"/>
              <w:spacing w:after="0"/>
              <w:rPr>
                <w:sz w:val="20"/>
                <w:szCs w:val="20"/>
                <w:color w:val="auto"/>
              </w:rPr>
            </w:pPr>
            <w:r>
              <w:rPr>
                <w:rFonts w:ascii="Arial" w:cs="Arial" w:eastAsia="Arial" w:hAnsi="Arial"/>
                <w:sz w:val="18"/>
                <w:szCs w:val="18"/>
                <w:color w:val="auto"/>
              </w:rPr>
              <w:t>Tax benefits related to exercise of stock options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4745355</wp:posOffset>
            </wp:positionH>
            <wp:positionV relativeFrom="page">
              <wp:posOffset>88900</wp:posOffset>
            </wp:positionV>
            <wp:extent cx="1149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-1191895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-1191895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-1191895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-1191895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DAKTRONICS, INC. AND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20"/>
        <w:spacing w:after="0"/>
        <w:rPr>
          <w:sz w:val="20"/>
          <w:szCs w:val="20"/>
          <w:color w:val="auto"/>
        </w:rPr>
      </w:pPr>
      <w:r>
        <w:rPr>
          <w:rFonts w:ascii="Arial" w:cs="Arial" w:eastAsia="Arial" w:hAnsi="Arial"/>
          <w:sz w:val="18"/>
          <w:szCs w:val="18"/>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May 1, 2004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May 1, 2004,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consolidated financial statements include the accounts of our wholly-owned subsidiaries, Daktronics GmbH, Star Circuits, Inc., SportsLink, Ltd, MSC Technologies, Inc. and Daktronics Canada, Inc. Investments in affiliates owned 50% or less are accounted for by the equity method. Intercompany balances and transactions have been eliminated in consolidation.</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Certain reclassifications have been made to the fiscal year 2004 financial statements to conform to the presentation used in the fiscal year 2005 financial statements. The reclassifications had no effect on shareholders’ equity or net income as previously reported.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9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u w:val="single" w:color="auto"/>
          <w:color w:val="auto"/>
        </w:rPr>
        <w:t>Stock based compensation:</w:t>
      </w:r>
      <w:r>
        <w:rPr>
          <w:rFonts w:ascii="Arial" w:cs="Arial" w:eastAsia="Arial" w:hAnsi="Arial"/>
          <w:sz w:val="18"/>
          <w:szCs w:val="18"/>
          <w:color w:val="auto"/>
        </w:rPr>
        <w:t xml:space="preserve"> At July 31, 2004, we had four stock-based employee compensation plans, which are described more fully in our Annual Report on Form 10-K. We account for these plans under the recognition and measurement principles of APB Opinion No. 25, “Accounting for Stock Issued to Employees</w:t>
      </w:r>
      <w:r>
        <w:rPr>
          <w:rFonts w:ascii="Arial" w:cs="Arial" w:eastAsia="Arial" w:hAnsi="Arial"/>
          <w:sz w:val="18"/>
          <w:szCs w:val="18"/>
          <w:i w:val="1"/>
          <w:iCs w:val="1"/>
          <w:color w:val="auto"/>
        </w:rPr>
        <w:t>”,</w:t>
      </w:r>
      <w:r>
        <w:rPr>
          <w:rFonts w:ascii="Arial" w:cs="Arial" w:eastAsia="Arial" w:hAnsi="Arial"/>
          <w:sz w:val="18"/>
          <w:szCs w:val="18"/>
          <w:color w:val="auto"/>
        </w:rPr>
        <w:t xml:space="preserve">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we had applied the fair value recognition provisions of FASB Statement No. 123, “Accounting for Stock-Based Compensation,” to stock-based compensation.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2,</w:t>
            </w:r>
          </w:p>
        </w:tc>
        <w:tc>
          <w:tcPr>
            <w:tcW w:w="0" w:type="dxa"/>
            <w:vAlign w:val="bottom"/>
          </w:tcPr>
          <w:p>
            <w:pPr>
              <w:spacing w:after="0" w:line="20" w:lineRule="exact"/>
              <w:rPr>
                <w:sz w:val="1"/>
                <w:szCs w:val="1"/>
                <w:color w:val="auto"/>
              </w:rPr>
            </w:pPr>
          </w:p>
        </w:tc>
      </w:tr>
      <w:tr>
        <w:trPr>
          <w:trHeight w:val="129"/>
        </w:trPr>
        <w:tc>
          <w:tcPr>
            <w:tcW w:w="3980" w:type="dxa"/>
            <w:vAlign w:val="bottom"/>
          </w:tcPr>
          <w:p>
            <w:pPr>
              <w:spacing w:after="0"/>
              <w:rPr>
                <w:sz w:val="11"/>
                <w:szCs w:val="11"/>
                <w:color w:val="auto"/>
              </w:rPr>
            </w:pPr>
          </w:p>
        </w:tc>
        <w:tc>
          <w:tcPr>
            <w:tcW w:w="1060" w:type="dxa"/>
            <w:vAlign w:val="bottom"/>
            <w:gridSpan w:val="3"/>
          </w:tcPr>
          <w:p>
            <w:pPr>
              <w:ind w:left="300"/>
              <w:spacing w:after="0" w:line="129" w:lineRule="exact"/>
              <w:rPr>
                <w:sz w:val="20"/>
                <w:szCs w:val="20"/>
                <w:color w:val="auto"/>
              </w:rPr>
            </w:pPr>
            <w:r>
              <w:rPr>
                <w:rFonts w:ascii="Arial" w:cs="Arial" w:eastAsia="Arial" w:hAnsi="Arial"/>
                <w:sz w:val="14"/>
                <w:szCs w:val="14"/>
                <w:b w:val="1"/>
                <w:bCs w:val="1"/>
                <w:color w:val="auto"/>
              </w:rPr>
              <w:t>July 31,</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August</w:t>
            </w:r>
          </w:p>
        </w:tc>
        <w:tc>
          <w:tcPr>
            <w:tcW w:w="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Income, as reported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5,032</w:t>
            </w: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4,308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Deduct: Total stock-based method employee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compensation expense determined under fair</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value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based method for all awards, net of related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20"/>
              <w:spacing w:after="0"/>
              <w:rPr>
                <w:sz w:val="20"/>
                <w:szCs w:val="20"/>
                <w:color w:val="auto"/>
              </w:rPr>
            </w:pPr>
            <w:r>
              <w:rPr>
                <w:rFonts w:ascii="Arial" w:cs="Arial" w:eastAsia="Arial" w:hAnsi="Arial"/>
                <w:sz w:val="18"/>
                <w:szCs w:val="18"/>
                <w:color w:val="auto"/>
              </w:rPr>
              <w:t>tax effects</w:t>
            </w:r>
          </w:p>
        </w:tc>
        <w:tc>
          <w:tcPr>
            <w:tcW w:w="1060" w:type="dxa"/>
            <w:vAlign w:val="bottom"/>
            <w:gridSpan w:val="3"/>
          </w:tcPr>
          <w:p>
            <w:pPr>
              <w:ind w:left="400"/>
              <w:spacing w:after="0"/>
              <w:rPr>
                <w:sz w:val="20"/>
                <w:szCs w:val="20"/>
                <w:color w:val="auto"/>
              </w:rPr>
            </w:pPr>
            <w:r>
              <w:rPr>
                <w:rFonts w:ascii="Arial" w:cs="Arial" w:eastAsia="Arial" w:hAnsi="Arial"/>
                <w:sz w:val="18"/>
                <w:szCs w:val="18"/>
                <w:color w:val="auto"/>
              </w:rPr>
              <w:t>(132)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ectPr>
          <w:pgSz w:w="11900" w:h="16838" w:orient="portrait"/>
          <w:cols w:equalWidth="0" w:num="1">
            <w:col w:w="11400"/>
          </w:cols>
          <w:pgMar w:left="240" w:top="253" w:right="259" w:bottom="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88900</wp:posOffset>
            </wp:positionV>
            <wp:extent cx="11322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Pro forma net income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4,900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120"/>
        </w:trPr>
        <w:tc>
          <w:tcPr>
            <w:tcW w:w="39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Basic - as reported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Basic - pro forma</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Diluted - as reported</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3980" w:type="dxa"/>
            <w:vAlign w:val="bottom"/>
          </w:tcPr>
          <w:p>
            <w:pPr>
              <w:ind w:left="140"/>
              <w:spacing w:after="0"/>
              <w:rPr>
                <w:sz w:val="20"/>
                <w:szCs w:val="20"/>
                <w:color w:val="auto"/>
              </w:rPr>
            </w:pPr>
            <w:r>
              <w:rPr>
                <w:rFonts w:ascii="Arial" w:cs="Arial" w:eastAsia="Arial" w:hAnsi="Arial"/>
                <w:sz w:val="18"/>
                <w:szCs w:val="18"/>
                <w:color w:val="auto"/>
              </w:rPr>
              <w:t>Diluted - pro forma</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-765810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-765810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-765810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-765810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 xml:space="preserve"> In connection with certain sales of equipment, we have agreed to accept a specified level of recourse on the money owed by our customers to other financial institutions. At July 31, 2004 and at May 1, 2004, we were contingently liable on such recourse agreements in the amount of $250.</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are involved in various claims and legal actions arising in the ordinary course of business. In our opinion, based upon consultation with legal counsel, the ultimate disposition of these matters will not have a material adverse effect on our consolidated financial position.</w:t>
      </w:r>
    </w:p>
    <w:p>
      <w:pPr>
        <w:spacing w:after="0" w:line="186"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u w:val="single" w:color="auto"/>
          <w:color w:val="auto"/>
        </w:rPr>
        <w:t>Product Warranties.</w:t>
      </w:r>
      <w:r>
        <w:rPr>
          <w:rFonts w:ascii="Arial" w:cs="Arial" w:eastAsia="Arial" w:hAnsi="Arial"/>
          <w:sz w:val="15"/>
          <w:szCs w:val="15"/>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order is received. Factors that affect our warranty liability include historical and anticipated costs. We periodically assess the adequacy of our recorded warranty costs and adjust the amounts as necessary.</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for the three months ended July 31, 2004 consisted of the following:</w:t>
      </w:r>
    </w:p>
    <w:p>
      <w:pPr>
        <w:spacing w:after="0" w:line="22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July 31,</w:t>
      </w:r>
    </w:p>
    <w:p>
      <w:pPr>
        <w:spacing w:after="0" w:line="1" w:lineRule="exact"/>
        <w:rPr>
          <w:sz w:val="20"/>
          <w:szCs w:val="20"/>
          <w:color w:val="auto"/>
        </w:rPr>
      </w:pPr>
    </w:p>
    <w:p>
      <w:pPr>
        <w:jc w:val="center"/>
        <w:ind w:left="4300"/>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60325</wp:posOffset>
            </wp:positionV>
            <wp:extent cx="668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1">
            <w:col w:w="11420"/>
          </w:cols>
          <w:pgMar w:left="240" w:top="253" w:right="239" w:bottom="0" w:gutter="0" w:footer="0" w:header="0"/>
        </w:sectPr>
      </w:pPr>
    </w:p>
    <w:p>
      <w:pPr>
        <w:spacing w:after="0" w:line="20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Beginning accrued warranty costs</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Settlements made during the period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Changes in accrued warranty costs for pre-</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existing warranties during the period,</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including expirations</w:t>
      </w:r>
    </w:p>
    <w:p>
      <w:pPr>
        <w:spacing w:after="0" w:line="23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600" w:hanging="591"/>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4,184</w:t>
      </w:r>
    </w:p>
    <w:p>
      <w:pPr>
        <w:spacing w:after="0" w:line="38"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851</w:t>
      </w:r>
    </w:p>
    <w:p>
      <w:pPr>
        <w:spacing w:after="0" w:line="9" w:lineRule="exact"/>
        <w:rPr>
          <w:sz w:val="20"/>
          <w:szCs w:val="20"/>
          <w:color w:val="auto"/>
        </w:rPr>
      </w:pPr>
    </w:p>
    <w:p>
      <w:pPr>
        <w:jc w:val="right"/>
        <w:ind w:right="2980"/>
        <w:spacing w:after="0"/>
        <w:rPr>
          <w:sz w:val="20"/>
          <w:szCs w:val="20"/>
          <w:color w:val="auto"/>
        </w:rPr>
      </w:pPr>
      <w:r>
        <w:rPr>
          <w:rFonts w:ascii="Arial" w:cs="Arial" w:eastAsia="Arial" w:hAnsi="Arial"/>
          <w:sz w:val="18"/>
          <w:szCs w:val="18"/>
          <w:color w:val="auto"/>
        </w:rPr>
        <w:t>(669)</w:t>
      </w:r>
    </w:p>
    <w:p>
      <w:pPr>
        <w:spacing w:after="0" w:line="200" w:lineRule="exact"/>
        <w:rPr>
          <w:sz w:val="20"/>
          <w:szCs w:val="20"/>
          <w:color w:val="auto"/>
        </w:rPr>
      </w:pPr>
    </w:p>
    <w:p>
      <w:pPr>
        <w:spacing w:after="0" w:line="2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80010</wp:posOffset>
            </wp:positionV>
            <wp:extent cx="668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19" w:lineRule="exact"/>
        <w:rPr>
          <w:sz w:val="20"/>
          <w:szCs w:val="20"/>
          <w:color w:val="auto"/>
        </w:rPr>
      </w:pPr>
    </w:p>
    <w:p>
      <w:pPr>
        <w:ind w:left="600" w:hanging="591"/>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4,686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92075</wp:posOffset>
            </wp:positionV>
            <wp:extent cx="67310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0" cy="215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680" w:space="720"/>
            <w:col w:w="4020"/>
          </w:cols>
          <w:pgMar w:left="240" w:top="253" w:right="239" w:bottom="0" w:gutter="0" w:footer="0" w:header="0"/>
          <w:type w:val="continuous"/>
        </w:sectPr>
      </w:pPr>
    </w:p>
    <w:p>
      <w:pPr>
        <w:spacing w:after="0" w:line="26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u w:val="single" w:color="auto"/>
          <w:color w:val="auto"/>
        </w:rPr>
        <w:t>Lease Commitments</w:t>
      </w:r>
      <w:r>
        <w:rPr>
          <w:rFonts w:ascii="Arial" w:cs="Arial" w:eastAsia="Arial" w:hAnsi="Arial"/>
          <w:sz w:val="18"/>
          <w:szCs w:val="18"/>
          <w:color w:val="auto"/>
        </w:rPr>
        <w:t>. We lease office space for various sales and service locations and various equipment, primarily office equipment. Rental expense for operating leases amounted to $301 and $279 for the three months ended July 31, 2004 and August 2, 2003, respectively. Future minimum payments under noncancelable operating leases, excluding executory costs such as management and maintenance fees, with initial or remaining terms of one year or more consisted of the following at July 31, 2004:</w:t>
      </w:r>
    </w:p>
    <w:p>
      <w:pPr>
        <w:spacing w:after="0" w:line="174"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1,326</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xml:space="preserve"> From time to time, we commit to purchase inventory and advertising rights over periods that extend over a year. As of July 31, 2004, we were obligated to purchase inventory and advertising rights through fiscal year 2009 as follows:</w:t>
      </w:r>
    </w:p>
    <w:p>
      <w:pPr>
        <w:spacing w:after="0" w:line="163"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2,195</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2,548</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476250</wp:posOffset>
            </wp:positionV>
            <wp:extent cx="7250430"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Recently Issued Accounting Pronouncements</w:t>
      </w:r>
    </w:p>
    <w:p>
      <w:pPr>
        <w:spacing w:after="0" w:line="299"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January 2003, the FASB issued Interpretation No. 46, “Consolidation of Variable Interest Entities, an interpretation of Accounting Research Bulletin No. 51” (FIN No. 46). FIN No. 46 will be effective no later than the end of the first reporting period that ends after March 15, 2004. FIN No. 46 requires the consolidation of entities in which an enterprise absorbs a majority of the entity’s expected losses, receives a majority of the entity’s expected residual returns, or both, as a result of ownership, contractual or other financial interest in the entity. Currently, entities are generally consolidated by an enterprise when it has a</w:t>
      </w:r>
    </w:p>
    <w:p>
      <w:pPr>
        <w:sectPr>
          <w:pgSz w:w="11900" w:h="16838" w:orient="portrait"/>
          <w:cols w:equalWidth="0" w:num="1">
            <w:col w:w="11420"/>
          </w:cols>
          <w:pgMar w:left="240" w:top="253" w:right="239" w:bottom="0" w:gutter="0" w:footer="0" w:header="0"/>
          <w:type w:val="continuous"/>
        </w:sectPr>
      </w:pPr>
    </w:p>
    <w:bookmarkStart w:id="6" w:name="page7"/>
    <w:bookmarkEnd w:id="6"/>
    <w:p>
      <w:pPr>
        <w:spacing w:after="0" w:line="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controlling financial interest through ownership of a majority voting interest in the entity. The adoption of FIN No. 46 did not have a material impact on our net earnings, cash flows or financial position.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31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w:t>
      </w:r>
    </w:p>
    <w:p>
      <w:pPr>
        <w:spacing w:after="0" w:line="186" w:lineRule="exact"/>
        <w:rPr>
          <w:sz w:val="20"/>
          <w:szCs w:val="20"/>
          <w:color w:val="auto"/>
        </w:rPr>
      </w:pPr>
    </w:p>
    <w:p>
      <w:pPr>
        <w:ind w:right="20" w:firstLine="395"/>
        <w:spacing w:after="0" w:line="314" w:lineRule="auto"/>
        <w:rPr>
          <w:sz w:val="20"/>
          <w:szCs w:val="20"/>
          <w:color w:val="auto"/>
        </w:rPr>
      </w:pPr>
      <w:r>
        <w:rPr>
          <w:rFonts w:ascii="Arial" w:cs="Arial" w:eastAsia="Arial" w:hAnsi="Arial"/>
          <w:sz w:val="15"/>
          <w:szCs w:val="15"/>
          <w:i w:val="1"/>
          <w:iCs w:val="1"/>
          <w:color w:val="auto"/>
        </w:rPr>
        <w:t xml:space="preserve">Long-term receivables and advertising rights: </w:t>
      </w:r>
      <w:r>
        <w:rPr>
          <w:rFonts w:ascii="Arial" w:cs="Arial" w:eastAsia="Arial" w:hAnsi="Arial"/>
          <w:sz w:val="15"/>
          <w:szCs w:val="15"/>
          <w:color w:val="auto"/>
        </w:rPr>
        <w:t>We occasionally sell and install our products at facilities in exchange for the rights to retain future advertising</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generated at the facility.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15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cases where we receive advertising rights, as opposed to just the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net of amortization, was $1,459 as of July 31, 2004 and $1,415 as of May 1, 2004.</w:t>
      </w:r>
    </w:p>
    <w:p>
      <w:pPr>
        <w:spacing w:after="0" w:line="225"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i w:val="1"/>
          <w:iCs w:val="1"/>
          <w:color w:val="auto"/>
        </w:rPr>
        <w:t xml:space="preserve">Product maintenance: </w:t>
      </w:r>
      <w:r>
        <w:rPr>
          <w:rFonts w:ascii="Arial" w:cs="Arial" w:eastAsia="Arial" w:hAnsi="Arial"/>
          <w:sz w:val="15"/>
          <w:szCs w:val="15"/>
          <w:color w:val="auto"/>
        </w:rPr>
        <w:t>In connection with the sale of our products, we also occasionally sell separately priced extended warranties and product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The revenue related to such contracts are deferred and recognized ratably as net sales over the term of the contracts, which varies from one to 10 years.</w:t>
      </w:r>
    </w:p>
    <w:p>
      <w:pPr>
        <w:spacing w:after="0" w:line="11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 American Institute of Certified Public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continuing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operators of our equipment are recognized as net sales as the services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We utilize derivative financial instruments to manage the economic impact of fluctuations in currency exchange rates on those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denominated in a currency other than our functional currency, which is the US dollar. This includes entering into currency forward contracts to manage these economic risks. As of January 1, 2001, we adopted “SFAS No. 133, “Accounting for Derivative Instruments and Hedging Activities, as amended by Statements No. 137 and No. 138” (“SFAS No. 133”). SFAS No. 133 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 As of July 31, 2004, there were no derivatives outstanding. As of May 1, 2004, we had determined that the derivatives outstanding at that date, which consisted of foreign currency forward contracts that are intended to minimize our exposure on certain foreign currency transactions with notional amounts equal to our exposure on certain Euro, Austrailian and Canadian currency denominated transactions, were not considered hedges. Therefore, they were recognized at fair value in the statement of financial condition, and the changes in fair value were recognized in other income, net. The fair value of these derivatives were included in prepaid expenses and other in the statement of financial condition as of May 1, 2004.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31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6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three months ended July 31, 2004 and August 2, 2003 follows:</w:t>
      </w:r>
    </w:p>
    <w:p>
      <w:pPr>
        <w:spacing w:after="0" w:line="180"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Net Income</w:t>
            </w:r>
          </w:p>
        </w:tc>
        <w:tc>
          <w:tcPr>
            <w:tcW w:w="24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Shares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110"/>
        </w:trPr>
        <w:tc>
          <w:tcPr>
            <w:tcW w:w="3640" w:type="dxa"/>
            <w:vAlign w:val="bottom"/>
            <w:vMerge w:val="restart"/>
          </w:tcPr>
          <w:p>
            <w:pPr>
              <w:spacing w:after="0"/>
              <w:rPr>
                <w:sz w:val="20"/>
                <w:szCs w:val="20"/>
                <w:color w:val="auto"/>
              </w:rPr>
            </w:pPr>
            <w:r>
              <w:rPr>
                <w:rFonts w:ascii="Arial" w:cs="Arial" w:eastAsia="Arial" w:hAnsi="Arial"/>
                <w:sz w:val="18"/>
                <w:szCs w:val="18"/>
                <w:color w:val="auto"/>
              </w:rPr>
              <w:t>For the three months ended July 31, 2004:</w:t>
            </w: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9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18,889,106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1,235,011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10"/>
        </w:trPr>
        <w:tc>
          <w:tcPr>
            <w:tcW w:w="3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9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20,124,117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640" w:type="dxa"/>
            <w:vAlign w:val="bottom"/>
            <w:vMerge w:val="restart"/>
          </w:tcPr>
          <w:p>
            <w:pPr>
              <w:spacing w:after="0"/>
              <w:rPr>
                <w:sz w:val="20"/>
                <w:szCs w:val="20"/>
                <w:color w:val="auto"/>
              </w:rPr>
            </w:pPr>
            <w:r>
              <w:rPr>
                <w:rFonts w:ascii="Arial" w:cs="Arial" w:eastAsia="Arial" w:hAnsi="Arial"/>
                <w:sz w:val="18"/>
                <w:szCs w:val="18"/>
                <w:color w:val="auto"/>
              </w:rPr>
              <w:t>For the three months ended August 2, 2003:</w:t>
            </w:r>
          </w:p>
        </w:tc>
        <w:tc>
          <w:tcPr>
            <w:tcW w:w="5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9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18,590,942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1,213,459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3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-706755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-706755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-706755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-706755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-706755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-706755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00"/>
          </w:cols>
          <w:pgMar w:left="240" w:top="131" w:right="259" w:bottom="0" w:gutter="0" w:footer="0" w:header="0"/>
        </w:sectPr>
      </w:pPr>
    </w:p>
    <w:bookmarkStart w:id="7" w:name="page8"/>
    <w:bookmarkEnd w:id="7"/>
    <w:p>
      <w:pPr>
        <w:spacing w:after="0" w:line="32" w:lineRule="exact"/>
        <w:rPr>
          <w:sz w:val="20"/>
          <w:szCs w:val="20"/>
          <w:color w:val="auto"/>
        </w:rPr>
      </w:pPr>
    </w:p>
    <w:p>
      <w:pPr>
        <w:ind w:left="1920"/>
        <w:spacing w:after="0"/>
        <w:tabs>
          <w:tab w:leader="none" w:pos="5840" w:val="left"/>
          <w:tab w:leader="none" w:pos="6420" w:val="left"/>
          <w:tab w:leader="none" w:pos="7320" w:val="left"/>
          <w:tab w:leader="none" w:pos="8520" w:val="left"/>
          <w:tab w:leader="none" w:pos="9280" w:val="left"/>
        </w:tabs>
        <w:rPr>
          <w:sz w:val="20"/>
          <w:szCs w:val="20"/>
          <w:color w:val="auto"/>
        </w:rPr>
      </w:pPr>
      <w:r>
        <w:rPr>
          <w:rFonts w:ascii="Arial" w:cs="Arial" w:eastAsia="Arial" w:hAnsi="Arial"/>
          <w:sz w:val="18"/>
          <w:szCs w:val="18"/>
          <w:color w:val="auto"/>
        </w:rPr>
        <w:t>Diluted earnings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4,308</w:t>
      </w:r>
      <w:r>
        <w:rPr>
          <w:sz w:val="20"/>
          <w:szCs w:val="20"/>
          <w:color w:val="auto"/>
        </w:rPr>
        <w:tab/>
      </w:r>
      <w:r>
        <w:rPr>
          <w:rFonts w:ascii="Arial" w:cs="Arial" w:eastAsia="Arial" w:hAnsi="Arial"/>
          <w:sz w:val="18"/>
          <w:szCs w:val="18"/>
          <w:color w:val="auto"/>
        </w:rPr>
        <w:t>19,804,401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77470</wp:posOffset>
            </wp:positionV>
            <wp:extent cx="238823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88235" cy="215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 — Adoption of SFAS No. 142</w:t>
      </w:r>
    </w:p>
    <w:p>
      <w:pPr>
        <w:spacing w:after="0" w:line="31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account for goodwill and other intangible assets in accordance with SFAS No. 142, we complete an impairment analysis at least on an annual basis and more frequently if circumstances warrant.</w:t>
      </w:r>
    </w:p>
    <w:p>
      <w:pPr>
        <w:spacing w:after="0" w:line="186" w:lineRule="exact"/>
        <w:rPr>
          <w:sz w:val="20"/>
          <w:szCs w:val="20"/>
          <w:color w:val="auto"/>
        </w:rPr>
      </w:pPr>
    </w:p>
    <w:p>
      <w:pPr>
        <w:ind w:right="340" w:firstLine="615"/>
        <w:spacing w:after="0" w:line="259" w:lineRule="auto"/>
        <w:rPr>
          <w:sz w:val="20"/>
          <w:szCs w:val="20"/>
          <w:color w:val="auto"/>
        </w:rPr>
      </w:pPr>
      <w:r>
        <w:rPr>
          <w:rFonts w:ascii="Arial" w:cs="Arial" w:eastAsia="Arial" w:hAnsi="Arial"/>
          <w:sz w:val="18"/>
          <w:szCs w:val="18"/>
          <w:color w:val="auto"/>
        </w:rPr>
        <w:t>Goodwill, net of accumulated amortization, was $1,442 at July 31, 2004 and $1,411 at May 1, 2004. Accumulated amortization was $157 at July 31, 2004 and at May 1, 2004. We performed our annual impairment analysis of goodwill as of November 2, 2003. The results of this analysis indicated that no goodwill impairment existed as of that date.</w:t>
      </w:r>
    </w:p>
    <w:p>
      <w:pPr>
        <w:spacing w:after="0" w:line="194"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required by SFAS No. 142, intangibles with finite lives continue to be amortized. Included in intangible assets are a non-compete agreement and a patent license. Intangible assets before accumulated amortization were $550 at July 31, 2004 and at May 1, 2004. Accumulated amortization was $493 and $483 at July 31, 2004 and May 1, 2004, respectively. The net value of intangible assets is included as a component of intangible and other assets in the accompanying consolidated balance sheets. Estimated amortization expense based on intangibles as of May 1, 2004 is $40 and $26 for the fiscal years ending 2005 and 2006,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2004</w:t>
            </w:r>
          </w:p>
        </w:tc>
        <w:tc>
          <w:tcPr>
            <w:tcW w:w="300" w:type="dxa"/>
            <w:vAlign w:val="bottom"/>
          </w:tcPr>
          <w:p>
            <w:pPr>
              <w:spacing w:after="0"/>
              <w:rPr>
                <w:sz w:val="15"/>
                <w:szCs w:val="15"/>
                <w:color w:val="auto"/>
              </w:rPr>
            </w:pPr>
          </w:p>
        </w:tc>
        <w:tc>
          <w:tcPr>
            <w:tcW w:w="1340" w:type="dxa"/>
            <w:vAlign w:val="bottom"/>
          </w:tcPr>
          <w:p>
            <w:pPr>
              <w:jc w:val="right"/>
              <w:ind w:right="356"/>
              <w:spacing w:after="0"/>
              <w:rPr>
                <w:sz w:val="20"/>
                <w:szCs w:val="20"/>
                <w:color w:val="auto"/>
              </w:rPr>
            </w:pPr>
            <w:r>
              <w:rPr>
                <w:rFonts w:ascii="Arial" w:cs="Arial" w:eastAsia="Arial" w:hAnsi="Arial"/>
                <w:sz w:val="14"/>
                <w:szCs w:val="14"/>
                <w:b w:val="1"/>
                <w:bCs w:val="1"/>
                <w:color w:val="auto"/>
              </w:rPr>
              <w:t>May 1, 2004</w:t>
            </w:r>
          </w:p>
        </w:tc>
      </w:tr>
      <w:tr>
        <w:trPr>
          <w:trHeight w:val="95"/>
        </w:trPr>
        <w:tc>
          <w:tcPr>
            <w:tcW w:w="38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r>
      <w:tr>
        <w:trPr>
          <w:trHeight w:val="309"/>
        </w:trPr>
        <w:tc>
          <w:tcPr>
            <w:tcW w:w="3880" w:type="dxa"/>
            <w:vAlign w:val="bottom"/>
          </w:tcPr>
          <w:p>
            <w:pPr>
              <w:spacing w:after="0"/>
              <w:rPr>
                <w:sz w:val="20"/>
                <w:szCs w:val="20"/>
                <w:color w:val="auto"/>
              </w:rPr>
            </w:pPr>
            <w:r>
              <w:rPr>
                <w:rFonts w:ascii="Arial" w:cs="Arial" w:eastAsia="Arial" w:hAnsi="Arial"/>
                <w:sz w:val="18"/>
                <w:szCs w:val="18"/>
                <w:color w:val="auto"/>
              </w:rPr>
              <w:t>Raw Materials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9,476</w:t>
            </w:r>
          </w:p>
        </w:tc>
        <w:tc>
          <w:tcPr>
            <w:tcW w:w="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6,952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Work-in-progress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6,599</w:t>
            </w:r>
          </w:p>
        </w:tc>
      </w:tr>
      <w:tr>
        <w:trPr>
          <w:trHeight w:val="110"/>
        </w:trPr>
        <w:tc>
          <w:tcPr>
            <w:tcW w:w="38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r>
      <w:tr>
        <w:trPr>
          <w:trHeight w:val="316"/>
        </w:trPr>
        <w:tc>
          <w:tcPr>
            <w:tcW w:w="388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21,731</w:t>
            </w:r>
          </w:p>
        </w:tc>
        <w:tc>
          <w:tcPr>
            <w:tcW w:w="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16,604</w:t>
            </w:r>
          </w:p>
        </w:tc>
      </w:tr>
      <w:tr>
        <w:trPr>
          <w:trHeight w:val="120"/>
        </w:trPr>
        <w:tc>
          <w:tcPr>
            <w:tcW w:w="38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29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do not manage our business by solution or focus area.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United States</w:t>
            </w:r>
          </w:p>
        </w:tc>
        <w:tc>
          <w:tcPr>
            <w:tcW w:w="22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920" w:type="dxa"/>
            <w:vAlign w:val="bottom"/>
            <w:vMerge w:val="restart"/>
          </w:tcPr>
          <w:p>
            <w:pPr>
              <w:spacing w:after="0"/>
              <w:rPr>
                <w:sz w:val="20"/>
                <w:szCs w:val="20"/>
                <w:color w:val="auto"/>
              </w:rPr>
            </w:pPr>
            <w:r>
              <w:rPr>
                <w:rFonts w:ascii="Arial" w:cs="Arial" w:eastAsia="Arial" w:hAnsi="Arial"/>
                <w:sz w:val="18"/>
                <w:szCs w:val="18"/>
                <w:color w:val="auto"/>
              </w:rPr>
              <w:t>Net sales for the three months ended:</w:t>
            </w: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July 31, 2004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53,906</w:t>
            </w:r>
          </w:p>
        </w:tc>
        <w:tc>
          <w:tcPr>
            <w:tcW w:w="1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4,804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58,710</w:t>
            </w:r>
          </w:p>
        </w:tc>
        <w:tc>
          <w:tcPr>
            <w:tcW w:w="0" w:type="dxa"/>
            <w:vAlign w:val="bottom"/>
          </w:tcPr>
          <w:p>
            <w:pPr>
              <w:spacing w:after="0"/>
              <w:rPr>
                <w:sz w:val="1"/>
                <w:szCs w:val="1"/>
                <w:color w:val="auto"/>
              </w:rPr>
            </w:pPr>
          </w:p>
        </w:tc>
      </w:tr>
      <w:tr>
        <w:trPr>
          <w:trHeight w:val="222"/>
        </w:trPr>
        <w:tc>
          <w:tcPr>
            <w:tcW w:w="4920" w:type="dxa"/>
            <w:vAlign w:val="bottom"/>
          </w:tcPr>
          <w:p>
            <w:pPr>
              <w:ind w:left="520"/>
              <w:spacing w:after="0"/>
              <w:rPr>
                <w:sz w:val="20"/>
                <w:szCs w:val="20"/>
                <w:color w:val="auto"/>
              </w:rPr>
            </w:pPr>
            <w:r>
              <w:rPr>
                <w:rFonts w:ascii="Arial" w:cs="Arial" w:eastAsia="Arial" w:hAnsi="Arial"/>
                <w:sz w:val="18"/>
                <w:szCs w:val="18"/>
                <w:color w:val="auto"/>
              </w:rPr>
              <w:t>August 2, 2003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42,431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48,918</w:t>
            </w:r>
          </w:p>
        </w:tc>
        <w:tc>
          <w:tcPr>
            <w:tcW w:w="0" w:type="dxa"/>
            <w:vAlign w:val="bottom"/>
          </w:tcPr>
          <w:p>
            <w:pPr>
              <w:spacing w:after="0"/>
              <w:rPr>
                <w:sz w:val="1"/>
                <w:szCs w:val="1"/>
                <w:color w:val="auto"/>
              </w:rPr>
            </w:pPr>
          </w:p>
        </w:tc>
      </w:tr>
      <w:tr>
        <w:trPr>
          <w:trHeight w:val="426"/>
        </w:trPr>
        <w:tc>
          <w:tcPr>
            <w:tcW w:w="4920" w:type="dxa"/>
            <w:vAlign w:val="bottom"/>
          </w:tcPr>
          <w:p>
            <w:pPr>
              <w:spacing w:after="0"/>
              <w:rPr>
                <w:sz w:val="20"/>
                <w:szCs w:val="20"/>
                <w:color w:val="auto"/>
              </w:rPr>
            </w:pPr>
            <w:r>
              <w:rPr>
                <w:rFonts w:ascii="Arial" w:cs="Arial" w:eastAsia="Arial" w:hAnsi="Arial"/>
                <w:sz w:val="18"/>
                <w:szCs w:val="18"/>
                <w:color w:val="auto"/>
              </w:rPr>
              <w:t>Long-lived assets at:</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July 31, 2004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28,714</w:t>
            </w:r>
          </w:p>
        </w:tc>
        <w:tc>
          <w:tcPr>
            <w:tcW w:w="0" w:type="dxa"/>
            <w:vAlign w:val="bottom"/>
          </w:tcPr>
          <w:p>
            <w:pPr>
              <w:spacing w:after="0"/>
              <w:rPr>
                <w:sz w:val="1"/>
                <w:szCs w:val="1"/>
                <w:color w:val="auto"/>
              </w:rPr>
            </w:pPr>
          </w:p>
        </w:tc>
      </w:tr>
      <w:tr>
        <w:trPr>
          <w:trHeight w:val="222"/>
        </w:trPr>
        <w:tc>
          <w:tcPr>
            <w:tcW w:w="4920" w:type="dxa"/>
            <w:vAlign w:val="bottom"/>
          </w:tcPr>
          <w:p>
            <w:pPr>
              <w:ind w:left="520"/>
              <w:spacing w:after="0"/>
              <w:rPr>
                <w:sz w:val="20"/>
                <w:szCs w:val="20"/>
                <w:color w:val="auto"/>
              </w:rPr>
            </w:pPr>
            <w:r>
              <w:rPr>
                <w:rFonts w:ascii="Arial" w:cs="Arial" w:eastAsia="Arial" w:hAnsi="Arial"/>
                <w:sz w:val="18"/>
                <w:szCs w:val="18"/>
                <w:color w:val="auto"/>
              </w:rPr>
              <w:t>August 2, 2003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24,650</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99"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geographical regions, markets and products. The primary categories of markets include sport, commercial and transportation.</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major league sport facilities and colleges and universities, as well as the seasonality of the sports market. Net sales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larger custom orders, we nevertheless have experienced fluctuations in operating results and expect that our future results of operations may be subject to similar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Orders are booked only upon receipt of a firm contract and, in most cases,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ectPr>
          <w:pgSz w:w="11900" w:h="16870" w:orient="portrait"/>
          <w:cols w:equalWidth="0" w:num="1">
            <w:col w:w="11400"/>
          </w:cols>
          <w:pgMar w:left="240" w:top="199" w:right="259" w:bottom="0" w:gutter="0" w:footer="0" w:header="0"/>
        </w:sectPr>
      </w:pPr>
    </w:p>
    <w:bookmarkStart w:id="8" w:name="page9"/>
    <w:bookmarkEnd w:id="8"/>
    <w:p>
      <w:pPr>
        <w:spacing w:after="0" w:line="5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operate on a 52-53 week fiscal year, with fiscal years ending on the Saturday closest to April 30 of each year. Fiscal years 2004 and 2003 each contained 52 weeks.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our notes to the consolidated financial statements which are included elsewhere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estimatable.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As of July 31, 2004, we had an allowance for doubtful accounts balance of approximately $1.4 million.</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created a reserve for warranties on our products equal to our estimate of the actual costs to be incurred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As of July 31, 2004, we had a total of approximately $4.7 million reserved for these costs.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have deferred revenue related to separately priced extended warranty and product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If we would become aware of an increase in our estimated costs under these agreements in excess of our deferred revenue, additional reserves may be necessary, resulting in an increase in costs of goods sold. As of July 31, 2004, approximately $0.04 million in additional reserves were provided for. In determining if additional reserves are necessary, we examine cost trends on the contracts and other information and compare that to the deferred revenue.</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 except that market may not exceed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(i.e.,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it occurs. All other inventory is valued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percentage of net sales represented by items included in our consolidated statements of income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60" w:type="dxa"/>
            <w:vAlign w:val="bottom"/>
            <w:vMerge w:val="restart"/>
          </w:tcPr>
          <w:p>
            <w:pPr>
              <w:ind w:left="500"/>
              <w:spacing w:after="0"/>
              <w:rPr>
                <w:sz w:val="20"/>
                <w:szCs w:val="20"/>
                <w:color w:val="auto"/>
              </w:rPr>
            </w:pPr>
            <w:r>
              <w:rPr>
                <w:rFonts w:ascii="Arial" w:cs="Arial" w:eastAsia="Arial" w:hAnsi="Arial"/>
                <w:sz w:val="14"/>
                <w:szCs w:val="14"/>
                <w:b w:val="1"/>
                <w:bCs w:val="1"/>
                <w:color w:val="auto"/>
                <w:w w:val="85"/>
              </w:rPr>
              <w:t>July 31,</w:t>
            </w:r>
          </w:p>
        </w:tc>
        <w:tc>
          <w:tcPr>
            <w:tcW w:w="8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2004</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August 2, 2003</w:t>
            </w:r>
          </w:p>
        </w:tc>
        <w:tc>
          <w:tcPr>
            <w:tcW w:w="0" w:type="dxa"/>
            <w:vAlign w:val="bottom"/>
          </w:tcPr>
          <w:p>
            <w:pPr>
              <w:spacing w:after="0"/>
              <w:rPr>
                <w:sz w:val="1"/>
                <w:szCs w:val="1"/>
                <w:color w:val="auto"/>
              </w:rPr>
            </w:pPr>
          </w:p>
        </w:tc>
      </w:tr>
      <w:tr>
        <w:trPr>
          <w:trHeight w:val="82"/>
        </w:trPr>
        <w:tc>
          <w:tcPr>
            <w:tcW w:w="496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4960" w:type="dxa"/>
            <w:vAlign w:val="bottom"/>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24"/>
                <w:szCs w:val="2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5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110"/>
        </w:trPr>
        <w:tc>
          <w:tcPr>
            <w:tcW w:w="49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96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580" w:type="dxa"/>
            <w:vAlign w:val="bottom"/>
          </w:tcPr>
          <w:p>
            <w:pPr>
              <w:spacing w:after="0"/>
              <w:rPr>
                <w:sz w:val="24"/>
                <w:szCs w:val="2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5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10"/>
        </w:trPr>
        <w:tc>
          <w:tcPr>
            <w:tcW w:w="49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96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580" w:type="dxa"/>
            <w:vAlign w:val="bottom"/>
          </w:tcPr>
          <w:p>
            <w:pPr>
              <w:spacing w:after="0"/>
              <w:rPr>
                <w:sz w:val="24"/>
                <w:szCs w:val="2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780" w:type="dxa"/>
            <w:vAlign w:val="bottom"/>
            <w:gridSpan w:val="3"/>
          </w:tcPr>
          <w:p>
            <w:pPr>
              <w:jc w:val="right"/>
              <w:ind w:right="520"/>
              <w:spacing w:after="0"/>
              <w:rPr>
                <w:sz w:val="20"/>
                <w:szCs w:val="20"/>
                <w:color w:val="auto"/>
              </w:rPr>
            </w:pPr>
            <w:r>
              <w:rPr>
                <w:rFonts w:ascii="Arial" w:cs="Arial" w:eastAsia="Arial" w:hAnsi="Arial"/>
                <w:sz w:val="18"/>
                <w:szCs w:val="18"/>
                <w:color w:val="auto"/>
              </w:rPr>
              <w:t>(0.1%)</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Other income, net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10"/>
        </w:trPr>
        <w:tc>
          <w:tcPr>
            <w:tcW w:w="49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96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580" w:type="dxa"/>
            <w:vAlign w:val="bottom"/>
          </w:tcPr>
          <w:p>
            <w:pPr>
              <w:spacing w:after="0"/>
              <w:rPr>
                <w:sz w:val="24"/>
                <w:szCs w:val="2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10"/>
        </w:trPr>
        <w:tc>
          <w:tcPr>
            <w:tcW w:w="49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rPr>
                <w:sz w:val="24"/>
                <w:szCs w:val="2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20"/>
        </w:trPr>
        <w:tc>
          <w:tcPr>
            <w:tcW w:w="496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Net sales increased 20.0% to $58.7 million for the quarter ended July 31, 2004, as compared to $48.9 million for the same period in fiscal year 2004. For the quarter ended July 31, 2004, net sales increased in the commercial and transportation market but decreased in the sports market. Net sales for the quarter were up</w:t>
      </w:r>
    </w:p>
    <w:p>
      <w:pPr>
        <w:sectPr>
          <w:pgSz w:w="11900" w:h="16894" w:orient="portrait"/>
          <w:cols w:equalWidth="0" w:num="1">
            <w:col w:w="11420"/>
          </w:cols>
          <w:pgMar w:left="240" w:top="131" w:right="239" w:bottom="0" w:gutter="0" w:footer="0" w:header="0"/>
        </w:sectPr>
      </w:pPr>
    </w:p>
    <w:bookmarkStart w:id="9" w:name="page10"/>
    <w:bookmarkEnd w:id="9"/>
    <w:p>
      <w:pPr>
        <w:spacing w:after="0" w:line="3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domestically and down internationally. As a percent of overall net sales, standard product orders were approximately 30% of net sales for the first quarter of fiscal year 2005 as compared to approximately 23% for the first quarter of fiscal year 2004.</w:t>
      </w:r>
    </w:p>
    <w:p>
      <w:pPr>
        <w:spacing w:after="0" w:line="18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Within the sports markets, the decline in the first quarter of fiscal year 2005 as compared to the first quarter of fiscal year 2004 was primarily the result of a decline in our international business and a decline in net sales for professional sports facilities within the United States. Domestically, net sales in the sports market were up as compared to the first quarter of fiscal year 2004. The increase was attributable to double digit percentage increases in both the mid-sized institutions, such as colleges and universities, and small facilities, such as high schools and recreation centers, on a domestic basis.</w:t>
      </w:r>
    </w:p>
    <w:p>
      <w:pPr>
        <w:spacing w:after="0" w:line="16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growth in the smaller facilities portion of the sports market is partially attributable to the growth in sales of standard products and custom video displays and other factors which benefit our entire sports market, including the overall level of order bookings during the quarter, the growth in opportunities for additional displays in facilities and the expanding markets for our products. In addition, we benefit from our network of sales and service offices throughout the country, giving us the ability to serve our customers more effectively, which enhances sales. We believe that the effects of the economy have a lesser impact on our sports market as compared to our other markets, since our products are generally revenue generation tools (through advertising) for facilities and the sports business in general is more resistant to negative factors in the economy as a whole. Finally, as mentioned in previous filings, the changes in the competitiveness of the video display portion of our business has stabilized in terms of who the competitors are, and we believe that we are back to more historical competitive environments as compared to the two prior fiscal years, in which the competition was less aggressive. We also believe that our competitors become more aggressive with the larger sports venues due to their desire to win on premier installations. Generally speaking, the type of facility does not alter our desire to obtain an order, as we have developed such a strong base of installations. Our interests focus more on the overall success of the installation rather than getting business through unreasonable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terms of the decline we experienced on an international basis, we believe this is a reflection of the inherent volatility of large orders and the timing of when orders are booked, and over the next quarter we expect our international sports business to continue to be down. However, for fiscal year 2005, we expect that net sales will be up as a whole in our international sports business. We also expect that net sales in professional sports facilities will be down for fiscal year 2005 as compared to fiscal year 2004 as a result of a lower number of expected new and renovated facilities. We expect net sales in the small and mid-sized sports facilities to be higher for the year.</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same factors noted above relating to net sales caused similar changes in components of order bookings for our first quarter of fiscal year 2005 as compared to the first quarter of fiscal year 2004. During the quarter, we continued to benefit from growth opportunities through our sports marketing business as we signed additional orders that included sponsorships by advertisers. This has helped drive sales in smaller facilities as well as in mid-sized facilities. We believe that the growth in the sports market over the long-term is driven by growth internationally, new product development, new uses for existing products, an expanding market as our products become more affordable to more institutions, and our overall product offerings, which we believe are the most complete systems in the marketplace.</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sales in the commercial market grew significantly during the first quarter of fiscal year 2005 as compared to the same period of fiscal year 2004. Sales of standard products were especially strong in our standard Galaxy® display product line and in our sales to national account customers. This portion of our business has experienced the greatest percentage growth as compared to our sports and transportation markets. Like our sports market, net sales in the commercial market on an international basis were down also due to the inherent volatility mentioned above.</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Order bookings in the commercial market were also up significantly for the first quarter of fiscal year 2005 as compared to the same period of fiscal year 2004. Although sales and orders in the commercial market depend to a large degree on current economic conditions, we have been able to grow the business due to our product offerings and growing acceptance and demand of the products, our international expansion, our network of sales and service offices throughout the country, the development of resellers, primarily in the United States, and the integrated offerings we provide. As we continue to penetrate the opportunities in the commercial market, including national accounts and business outside of the United States, and further develop our regional sales force, we expect the trend of increasing standard order volume to continue double-digit percentage growth rates.</w:t>
      </w:r>
    </w:p>
    <w:p>
      <w:pPr>
        <w:spacing w:after="0" w:line="174"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Net sales in the transportation markets decreased during the first quarter of fiscal year 2005 as compared to the same period of fiscal 2004 primarily due to the scheduling of deliveries. Overall order bookings in the transportation market were up significantly and outpaced the sports and commercial markets during the quarter on a percentage basis. We expect that for fiscal year 2005, the transportation market will increase as compared to fiscal year 2004 in orders and net sales.</w:t>
      </w:r>
    </w:p>
    <w:p>
      <w:pPr>
        <w:spacing w:after="0" w:line="14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occasionally sell products in exchange for the advertising revenues generated from use of products. These sales represented 0.3% of net sales for the first quarter ended July 31, 2004. The gross profit on these transactions have typically been higher than the gross profit margin on other transactions of similar size, although the selling expenses associated with these transactions are typically higher.</w:t>
      </w:r>
    </w:p>
    <w:p>
      <w:pPr>
        <w:spacing w:after="0" w:line="194"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order backlog as of July 31, 2004 was approximately $58 million, as compared to $56 million as of August 2, 2003 and $54 million at the beginning of the first quarter of fiscal year 2005. Historically, our backlog varies due to the timing of large orders. The increase in backlog for the first quarter of fiscal year 2005 was primarily concentrated in the commercial and transportation markets, while the sports market backlog declined as compared to the first quarter of fiscal year 2004. As compared to the beginning of the first quarter of fiscal year 2005, the backlog increased in all the markets: however, the actual dollar increase was the most significant in the sports market. The changes were the result of the combination of the changes in orders and net sales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Gross profit increased 15.3% to $20.1 million as compared to $17.5 million for the first quarter of fiscal year 2004. As a percent of net sales, gross profit was 34.3% for the first quarter of fiscal year 2005, as compared to 35.7% for the first quarter of fiscal year 2004. The gross margin percentage declined as compared to the first quarter of fiscal year 2004 due to decreased effects of the contribution provided by raw materials price declines, higher freight costs incurred, as the order mix tended to involve quicker turns, requiring us to expedite raw materials deliveries more, and the overall competitive environment (as discussed previously). These effects were offset by a number of positive factors, including the benefits of a number of projects coming in better than projected due to site cost savings, more efficient system configurations, effective execution by our engineering and manufacturing staffs on newly designed products and existing products, and an improved mix between higher margin standard products and large contracts. We strive towards higher gross margins, as a percent of net sales, although depending on the actual mix, performance on larger projects and level of future sales, margin percentages may not increase and are likely to decrease from the levels of last fiscal year and the current quarter. We expect that margins will be lower throughout the rest of the year consistent with statements made in our Annual Report on Form 10-K for fiscal year 2004.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ectPr>
          <w:pgSz w:w="11900" w:h="16874" w:orient="portrait"/>
          <w:cols w:equalWidth="0" w:num="1">
            <w:col w:w="11420"/>
          </w:cols>
          <w:pgMar w:left="240" w:top="131" w:right="239" w:bottom="0" w:gutter="0" w:footer="0" w:header="0"/>
        </w:sectPr>
      </w:pPr>
    </w:p>
    <w:bookmarkStart w:id="10" w:name="page11"/>
    <w:bookmarkEnd w:id="10"/>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expenses and product design and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approximately 13.8% from $10.8 million in the first quarter of fiscal year 2004 to $12.2 million in the first quarter of fiscal year 2005. As a percent of net sales, operating expenses decreased from 22.0% to 20.8%, which contributed to a higher than expected operating margin for the quarter.</w:t>
      </w:r>
    </w:p>
    <w:p>
      <w:pPr>
        <w:spacing w:after="0" w:line="16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i w:val="1"/>
          <w:iCs w:val="1"/>
          <w:color w:val="auto"/>
        </w:rPr>
        <w:t xml:space="preserve">Selling Expenses. </w:t>
      </w:r>
      <w:r>
        <w:rPr>
          <w:rFonts w:ascii="Arial" w:cs="Arial" w:eastAsia="Arial" w:hAnsi="Arial"/>
          <w:sz w:val="15"/>
          <w:szCs w:val="15"/>
          <w:color w:val="auto"/>
        </w:rPr>
        <w:t>Selling expenses consist primarily of salaries, other employee-related costs, travel and entertainment costs, facilities-related costs for sales</w:t>
      </w:r>
      <w:r>
        <w:rPr>
          <w:rFonts w:ascii="Arial" w:cs="Arial" w:eastAsia="Arial" w:hAnsi="Arial"/>
          <w:sz w:val="15"/>
          <w:szCs w:val="15"/>
          <w:i w:val="1"/>
          <w:iCs w:val="1"/>
          <w:color w:val="auto"/>
        </w:rPr>
        <w:t xml:space="preserve"> </w:t>
      </w:r>
      <w:r>
        <w:rPr>
          <w:rFonts w:ascii="Arial" w:cs="Arial" w:eastAsia="Arial" w:hAnsi="Arial"/>
          <w:sz w:val="15"/>
          <w:szCs w:val="15"/>
          <w:color w:val="auto"/>
        </w:rPr>
        <w:t>and service offices, and expenditures for marketing efforts, including such items as collateral materials, conventions and trade shows, product demos and supplies.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Selling expenses increased 14.8% to $7.4 million for the first quarter of fiscal year 2005, as compared to $6.4 million for the first quarter of fiscal year 2004.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decreased to 12.6% of net sales for the first quarter of fiscal year 2005 from 13.1% of net sales for the first quarter of fiscal year 2004.</w:t>
      </w:r>
    </w:p>
    <w:p>
      <w:pPr>
        <w:spacing w:after="0" w:line="24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Selling expenses for the quarter were higher as a result of an increase in personnel costs as we continued to build our sales infrastructure in line with the growth in net sales, higher travel and entertainment costs due to the increased level of net sales, costs associated with the growth in the number of sales and service offices and higher bad debt costs. We expect selling expense as a percent of net sales for the entire fiscal year to decrease as compared to fiscal year 2004, although we are continuing to invest in sales infrastructure corresponding to those areas where we see the greatest returns over the long-term. In addition, as we continue to focus on international development, we can expect to see higher selling costs.</w:t>
      </w:r>
    </w:p>
    <w:p>
      <w:pPr>
        <w:spacing w:after="0" w:line="170"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fees, facilities and equipment-related costs for administration departments, amortization of intangibles and costs of supplies.</w:t>
      </w:r>
    </w:p>
    <w:p>
      <w:pPr>
        <w:spacing w:after="0" w:line="139"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General and administrative expenses increased 23.4% to $2.6 million for the first quarter of fiscal year 2005 as compared to $2.1 million for the same period in fiscal year 2004. General and administrative expenses increased to 4.5% of net sales for the first quarter of fiscal year 2005 from 4.3% of net sales for the first quarter of fiscal year 2004.</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increase for the first quarter of fiscal year 2005 as compared to the first quarter of fiscal year 2004 was due to increases in personnel and related costs in all areas of administration, software maintenance costs, information systems consulting costs, and training costs related to the increased number of employees. These increases were offset by lower costs of shareholder relations expenses and professional fees. We expect that general and administrative costs will decline as a percent of net sales for fiscal year 2005 as compared to fiscal year 2004 although there are investments that are being considered, such as improvements in the integration with our Canadian operations, the effects of Sarbanes-Oxley Act related regulations and the effects of international expansion, that could cause these expenses to rise above expectations.</w:t>
      </w:r>
    </w:p>
    <w:p>
      <w:pPr>
        <w:spacing w:after="0" w:line="198"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and costs of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Product design and development expenses increased 1.5% to $2.2 million for the first quarter of fiscal year 2005 as compared to $2.2 million for the first quarter of fiscal year 2004. Product design and development expenses were 3.8% as a percent of net sales for the first quarter of fiscal year 2005 and 4.5% of net sales for the first quarter of fiscal year 2004. Generally, product design and development expenses increase when our engineering resources are not dedicated to long-term contracts, as the same personnel who work on research and development also work on long-term contracts. During the fiscal quarter of fiscal year 2005, we invested in a number of critical initiatives, including further development of our controllers, various software solutions, video and matrix displays, and product enhancements.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product design and development expenses will approximate 4.0% of net sales on an annual basis.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31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occasionally sell products on an installment basis, under lease arrangements or in exchange for the rights to sell and retain advertising revenues related to the facility where our products are installed, which result in long-term receivables. Interest income resulting from these long-term receivables and interest on higher levels of temporary cash investments increased 37.0% to $0.3 million for the first quarter of fiscal year 2005, as compared to $0.2 million for the first quarter of fiscal year 2004. The increase was the result of higher average levels of long-term receivables outstanding during the first quarter of fiscal year 2005.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Interest expense is comprised primarily of interest costs on our long-term debt. Interest expense decreased 76.9% to $0.1 million for the first quarter of fiscal year 2005, as compared to $0.2 million for the first quarter of fiscal year 2004. The decrease for the quarter was due to the reduction of long-term debt outstanding. In addition, during the first quarter of fiscal year 2004, we incurred penalties to retire debt ahead of its scheduled maturity.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312"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Other income, net decreased from $0.4 million to $0.1 million for the first quarter of fiscal year 2005 as compared to the first quarter of fiscal year 2004. The decrease was primarily the result of gains realized on the sale of the rental equipment used by our video display rental subsidiary in the first quarter of fiscal year 2004.</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31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Income taxes increased 13.3% to 3.2 million in the first quarter of fiscal year 2005 as compared to $2.8 million in the first quarter of fiscal year 2004. The increase was principally due to the higher net income on a pre-tax basis. The effective rate of 38.8% in the first quarter of fiscal year 2005 compares to an effective rate of 39.4% in the first quarter of fiscal year 2004. The lower overall effective income tax rate resulted from the greater benefits estimated as a result of the benefits of the deductions available for the effects of foreign sales. Over the course of the last three years, the World Trade Organization (“WTO”) has ruled that the provisions contained in the FSC Repeal and Extraterritorial Income Exclusion Act of 2000 (“ETI”), are prohibited export subsidies under the rules of the WTO. Federal legislation introduced since 2002 has proposed the repeal of ETI. Until such legislation is signed into law, we expect to earn a net benefit under the ETI provisions similar to that previously earned. If such legislation is signed into law, our effective tax rate could increase and our business, financial condition and results of operations could be affected although as noted in our Annual Report on Form 10-K. The effect for all of fiscal year 2004 was a net tax benefit of $294.</w:t>
      </w:r>
    </w:p>
    <w:p>
      <w:pPr>
        <w:sectPr>
          <w:pgSz w:w="11900" w:h="16838" w:orient="portrait"/>
          <w:cols w:equalWidth="0" w:num="1">
            <w:col w:w="11420"/>
          </w:cols>
          <w:pgMar w:left="240" w:top="131"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5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45085"/>
                    </a:xfrm>
                    <a:prstGeom prst="rect">
                      <a:avLst/>
                    </a:prstGeom>
                    <a:noFill/>
                  </pic:spPr>
                </pic:pic>
              </a:graphicData>
            </a:graphic>
          </wp:anchor>
        </w:drawing>
        <w:t>LIQUIDITY AND CAPITAL RESOURCES</w:t>
      </w:r>
    </w:p>
    <w:p>
      <w:pPr>
        <w:spacing w:after="0" w:line="31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Working capital was $54.8 million at July 31, 2004 and $49.1 million at August 2, 2003. We have historically financed working capital needs through a combination of cash flow from operations and borrowings under bank credit agreements.</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Cash provided by operations for the three months ended July 31, 2004 was $4.1 million. Net income of $5.0 million plus depreciation and amortization of $1.8 million, an increase in accounts payable and accrued expenses, and billings in excess of costs and profits was offset by an increase in accounts receivable, inventories, and costs and estimated earnings in excess of billings. The changes in operating assets and liabilities were primarily related to our growth during the first quarter and reflected higher inventory levels associated with planned increases in standard orders and a concentration of large receivables and costs and estimated earnings in excess of billings related to a small number of large contracts. We expect that the inventory levels could remain slightly higher than expected through the second quarter due to the uncertainty of the actual timing of pending orders.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Cash used by investing activities consisted of $2.7 million of purchases of property and equipment. During the first quarter of fiscal year 2005, we invested approximately $0.2 million in transportation equipment, $0.4 million in manufacturing equipment, $1.7 million in information systems infrastructure, including software, $0.2 million in product demonstration equipment, and $0.2 million in rental equipment. These investments were made to support our continued growth, to increase capacity and to replace obsolete equipment.</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Cash used by financing activities included a $0.3 million net reduction of long-term debt arrangements and was offset by $0.1 million in proceeds from the exercise of stock options.</w:t>
      </w:r>
    </w:p>
    <w:p>
      <w:pPr>
        <w:spacing w:after="0" w:line="186" w:lineRule="exact"/>
        <w:rPr>
          <w:sz w:val="20"/>
          <w:szCs w:val="20"/>
          <w:color w:val="auto"/>
        </w:rPr>
      </w:pPr>
    </w:p>
    <w:p>
      <w:pPr>
        <w:ind w:right="80" w:firstLine="436"/>
        <w:spacing w:after="0" w:line="294" w:lineRule="auto"/>
        <w:rPr>
          <w:sz w:val="20"/>
          <w:szCs w:val="20"/>
          <w:color w:val="auto"/>
        </w:rPr>
      </w:pPr>
      <w:r>
        <w:rPr>
          <w:rFonts w:ascii="Arial" w:cs="Arial" w:eastAsia="Arial" w:hAnsi="Arial"/>
          <w:sz w:val="16"/>
          <w:szCs w:val="16"/>
          <w:color w:val="auto"/>
        </w:rPr>
        <w:t>We have historically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however, in the case of progress payments, the timeframe for collection can extend beyond 30 days. To the extent these payments are not sufficient to fund the costs and other expenses associated with these orders, we use working capital and bank borrowings to finance these cash requirements.</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product development activities include the enhancement of existing products and the development of new products from existing technologies. Product design and development expenses were $2.2 million for the quarter ended July 31, 2004. We intend to continue to incur these expenditures to develop new display products and more cost effective and energy efficient display products and better integration. We also intend to continue developing software applications for our display products to enable these products to continue to meet the needs and expectations of the marketplace.</w:t>
      </w:r>
    </w:p>
    <w:p>
      <w:pPr>
        <w:spacing w:after="0" w:line="16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currently have a credit agreement with a bank that provides for a $20 million line of credit, which includes up to $5 million for standby letters of credit. The interest rate on the line of credit is equal to LIBOR plus 1.55% (3.05% at July 31, 2004) and is due on October 1, 2005. As of July 31, 2004, no advances under the line of credit were outstanding. Five standby letters of credit were issued and outstanding for approximately $0.9 million as of July 31, 2004. These letters of credit were issued to support the issuance of payment and performance guarantees on a project. The credit agreement is unsecured and requires us to meet certain covenants, including the maintenance of tangible net worth of at least $40 million, a minimum liquidity ratio, a limit on dividends and distributions, and a minimum adjusted fixed charge coverage ratio.</w:t>
      </w:r>
    </w:p>
    <w:p>
      <w:pPr>
        <w:spacing w:after="0" w:line="17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Daktronics Canada, Inc., our Canadian subsidiary, has various credit agreements that provide up to a total of $0.2 million in borrowings under lines of credit. The interest rate on the lines of credit is equal to 1% above the prime rate of interest (3.75% at July 31, 2004). As of July 31, 2004, $0.1 had been drawn under the lines. The lines are secured primarily by accounts receivables, inventory and other assets of the subsidiary.</w:t>
      </w:r>
    </w:p>
    <w:p>
      <w:pPr>
        <w:spacing w:after="0" w:line="16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At times, we are required to obtain performance bonds for display installations, and currently we have a bonding line through a surety company that provides for an aggregate of $100.0 million in bonded work outstanding. At July 31, 2004, we had approximately $3.7 million of bonded work outstanding against this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believe that under our current growth estimates for fiscal year 2005, we have sufficient cash reserves and capacity under our lines of credit. Beyond that time, we may need to increase the amount of our credit facility depending on various factors. We anticipate being able to obtain any needed funds under commercially reasonable terms from current lenders. We also believe that cash from operations, from existing or increased credit facilities, and current working capital will be adequate to meet the cash requirements of our operations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Through July 31, 2004, most of our net sales were denominated in United States dollars, and our exposure to foreign currency exchange rate changes has not been significant. Net sales originating outside the United States for the first quarter of fiscal year 2005 were 8.2% of total net sales. We operate in Canada through a wholly-owned subsidiary. Sales of the Canadian subsidiary comprised 4.3% of net sales in the first quarter of fiscal year 2005. If we believed that currency risk in Canada was significant, we would utilize foreign exchange hedging contracts to manage our exposure to the Canadian dollar.</w:t>
      </w:r>
    </w:p>
    <w:p>
      <w:pPr>
        <w:spacing w:after="0" w:line="167"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expect net sales to international markets in the future to increase as a percentage of net sales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ectPr>
          <w:pgSz w:w="11900" w:h="16838" w:orient="portrait"/>
          <w:cols w:equalWidth="0" w:num="1">
            <w:col w:w="11420"/>
          </w:cols>
          <w:pgMar w:left="240" w:top="476" w:right="239" w:bottom="19" w:gutter="0" w:footer="0" w:header="0"/>
        </w:sectPr>
      </w:pPr>
    </w:p>
    <w:bookmarkStart w:id="12" w:name="page13"/>
    <w:bookmarkEnd w:id="12"/>
    <w:p>
      <w:pPr>
        <w:spacing w:after="0" w:line="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July 31, 2004, our outstanding debt approximated $2.6 million, substantially all of which was in fixed rate obligations. Each 100 basis point increase or decrease in interest rates would have an insignificant annual effect on variable rate debt interest based on the balances of such debt as of July 31, 2004. For fixed rate debt, interest rate changes affect its fair market value but do not affect earnings or cash flows.</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July 31, 2004, our outstanding long-term receivables were approximately $13.7 million. Each 25 basis point increase in interest rates would have an associated annual opportunity cost of approximately $0.1 million.</w:t>
      </w:r>
    </w:p>
    <w:p>
      <w:pPr>
        <w:spacing w:after="0" w:line="197"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for the three quarters ending April 30, 2005 and subsequent fiscal years.</w:t>
      </w:r>
    </w:p>
    <w:p>
      <w:pPr>
        <w:spacing w:after="0" w:line="180"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gridSpan w:val="6"/>
          </w:tcPr>
          <w:p>
            <w:pPr>
              <w:spacing w:after="0"/>
              <w:rPr>
                <w:sz w:val="20"/>
                <w:szCs w:val="20"/>
                <w:color w:val="auto"/>
              </w:rPr>
            </w:pPr>
            <w:r>
              <w:rPr>
                <w:rFonts w:ascii="Arial" w:cs="Arial" w:eastAsia="Arial" w:hAnsi="Arial"/>
                <w:sz w:val="18"/>
                <w:szCs w:val="18"/>
                <w:b w:val="1"/>
                <w:bCs w:val="1"/>
                <w:color w:val="auto"/>
                <w:w w:val="90"/>
              </w:rPr>
              <w:t>Fiscal Year Ending</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There-</w:t>
            </w: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90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2008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after</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receivables,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including current portion: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3,317</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3,611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93"/>
              </w:rPr>
              <w:t>1,613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2,242</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8.9%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 and short term debt:</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984</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1,213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8.0%</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7.6%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8.9%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94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33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Substantially all of our cash balances are denominated in United States dollars. Cash balances in foreign currencies are operating balances maintained in accounts of our Canadian subsidiary and accounts to settle Euro-based and Austrailian-based payments. These balances are immaterial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12"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Company carried out an evaluation, under the supervision and with the participation of our management, including our Chief Executive Officer and Chief Financial Officer, of the effectiveness of the design and operation of the Company’s “disclosure controls and procedures,” as that term is defined in Rule 13a-15(e) and Rule 15d-15(e) under the Securities Exchange Act of 1934, as of July 31, 2004, which is the end of the period covered by this report. Based upon that evaluation, the Chief Executive Officer and Chief Financial Officer concluded that as of July 31, 2004, the Company’s disclosure controls and procedures were effective.</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Based on the evaluation described in the foregoing paragraph, the Company’s Chief Executive Officer and Chief Financial Officer concluded that during the quarter ended July 31, 2004, there was no change in the Company’s internal control over financial reporting that materially affected, or is reasonably likely to materially affect, the Company’s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VOTE OF SECURITY HOLDERS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items and the results were submitted to the shareholders at our annual meeting held on August 18, 2004:</w:t>
      </w:r>
    </w:p>
    <w:p>
      <w:pPr>
        <w:spacing w:after="0" w:line="25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the following three nominees as directors of the Company, until their successors are duly elected and qualified:</w:t>
      </w:r>
    </w:p>
    <w:p>
      <w:pPr>
        <w:spacing w:after="0" w:line="252"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8"/>
              </w:rPr>
              <w:t>James B. Morgan:</w:t>
            </w:r>
          </w:p>
        </w:tc>
        <w:tc>
          <w:tcPr>
            <w:tcW w:w="1680" w:type="dxa"/>
            <w:vAlign w:val="bottom"/>
          </w:tcPr>
          <w:p>
            <w:pPr>
              <w:ind w:left="160"/>
              <w:spacing w:after="0"/>
              <w:rPr>
                <w:sz w:val="20"/>
                <w:szCs w:val="20"/>
                <w:color w:val="auto"/>
              </w:rPr>
            </w:pPr>
            <w:r>
              <w:rPr>
                <w:rFonts w:ascii="Arial" w:cs="Arial" w:eastAsia="Arial" w:hAnsi="Arial"/>
                <w:sz w:val="18"/>
                <w:szCs w:val="18"/>
                <w:color w:val="auto"/>
              </w:rPr>
              <w:t>For 17,825,280</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w w:val="90"/>
              </w:rPr>
              <w:t>Withheld 15,870</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John L. Mulligan:</w:t>
            </w:r>
          </w:p>
        </w:tc>
        <w:tc>
          <w:tcPr>
            <w:tcW w:w="1680" w:type="dxa"/>
            <w:vAlign w:val="bottom"/>
          </w:tcPr>
          <w:p>
            <w:pPr>
              <w:ind w:left="160"/>
              <w:spacing w:after="0"/>
              <w:rPr>
                <w:sz w:val="20"/>
                <w:szCs w:val="20"/>
                <w:color w:val="auto"/>
              </w:rPr>
            </w:pPr>
            <w:r>
              <w:rPr>
                <w:rFonts w:ascii="Arial" w:cs="Arial" w:eastAsia="Arial" w:hAnsi="Arial"/>
                <w:sz w:val="18"/>
                <w:szCs w:val="18"/>
                <w:color w:val="auto"/>
              </w:rPr>
              <w:t>For 17,831,580</w:t>
            </w:r>
          </w:p>
        </w:tc>
        <w:tc>
          <w:tcPr>
            <w:tcW w:w="1160" w:type="dxa"/>
            <w:vAlign w:val="bottom"/>
          </w:tcPr>
          <w:p>
            <w:pPr>
              <w:ind w:left="440"/>
              <w:spacing w:after="0"/>
              <w:rPr>
                <w:sz w:val="20"/>
                <w:szCs w:val="20"/>
                <w:color w:val="auto"/>
              </w:rPr>
            </w:pPr>
            <w:r>
              <w:rPr>
                <w:rFonts w:ascii="Arial" w:cs="Arial" w:eastAsia="Arial" w:hAnsi="Arial"/>
                <w:sz w:val="18"/>
                <w:szCs w:val="18"/>
                <w:color w:val="auto"/>
                <w:w w:val="99"/>
              </w:rPr>
              <w:t>Withheld</w:t>
            </w:r>
          </w:p>
        </w:tc>
        <w:tc>
          <w:tcPr>
            <w:tcW w:w="480" w:type="dxa"/>
            <w:vAlign w:val="bottom"/>
          </w:tcPr>
          <w:p>
            <w:pPr>
              <w:jc w:val="right"/>
              <w:spacing w:after="0"/>
              <w:rPr>
                <w:sz w:val="20"/>
                <w:szCs w:val="20"/>
                <w:color w:val="auto"/>
              </w:rPr>
            </w:pPr>
            <w:r>
              <w:rPr>
                <w:rFonts w:ascii="Arial" w:cs="Arial" w:eastAsia="Arial" w:hAnsi="Arial"/>
                <w:sz w:val="18"/>
                <w:szCs w:val="18"/>
                <w:color w:val="auto"/>
              </w:rPr>
              <w:t>9,570</w:t>
            </w:r>
          </w:p>
        </w:tc>
      </w:tr>
      <w:tr>
        <w:trPr>
          <w:trHeight w:val="222"/>
        </w:trPr>
        <w:tc>
          <w:tcPr>
            <w:tcW w:w="1460" w:type="dxa"/>
            <w:vAlign w:val="bottom"/>
          </w:tcPr>
          <w:p>
            <w:pPr>
              <w:spacing w:after="0"/>
              <w:rPr>
                <w:sz w:val="20"/>
                <w:szCs w:val="20"/>
                <w:color w:val="auto"/>
              </w:rPr>
            </w:pPr>
            <w:r>
              <w:rPr>
                <w:rFonts w:ascii="Arial" w:cs="Arial" w:eastAsia="Arial" w:hAnsi="Arial"/>
                <w:sz w:val="18"/>
                <w:szCs w:val="18"/>
                <w:color w:val="auto"/>
                <w:w w:val="94"/>
              </w:rPr>
              <w:t>Duane E. Sanders:</w:t>
            </w:r>
          </w:p>
        </w:tc>
        <w:tc>
          <w:tcPr>
            <w:tcW w:w="1680" w:type="dxa"/>
            <w:vAlign w:val="bottom"/>
          </w:tcPr>
          <w:p>
            <w:pPr>
              <w:ind w:left="160"/>
              <w:spacing w:after="0"/>
              <w:rPr>
                <w:sz w:val="20"/>
                <w:szCs w:val="20"/>
                <w:color w:val="auto"/>
              </w:rPr>
            </w:pPr>
            <w:r>
              <w:rPr>
                <w:rFonts w:ascii="Arial" w:cs="Arial" w:eastAsia="Arial" w:hAnsi="Arial"/>
                <w:sz w:val="18"/>
                <w:szCs w:val="18"/>
                <w:color w:val="auto"/>
              </w:rPr>
              <w:t>For 17,831,580</w:t>
            </w:r>
          </w:p>
        </w:tc>
        <w:tc>
          <w:tcPr>
            <w:tcW w:w="1160" w:type="dxa"/>
            <w:vAlign w:val="bottom"/>
          </w:tcPr>
          <w:p>
            <w:pPr>
              <w:ind w:left="440"/>
              <w:spacing w:after="0"/>
              <w:rPr>
                <w:sz w:val="20"/>
                <w:szCs w:val="20"/>
                <w:color w:val="auto"/>
              </w:rPr>
            </w:pPr>
            <w:r>
              <w:rPr>
                <w:rFonts w:ascii="Arial" w:cs="Arial" w:eastAsia="Arial" w:hAnsi="Arial"/>
                <w:sz w:val="18"/>
                <w:szCs w:val="18"/>
                <w:color w:val="auto"/>
                <w:w w:val="99"/>
              </w:rPr>
              <w:t>Withheld</w:t>
            </w:r>
          </w:p>
        </w:tc>
        <w:tc>
          <w:tcPr>
            <w:tcW w:w="480" w:type="dxa"/>
            <w:vAlign w:val="bottom"/>
          </w:tcPr>
          <w:p>
            <w:pPr>
              <w:jc w:val="right"/>
              <w:spacing w:after="0"/>
              <w:rPr>
                <w:sz w:val="20"/>
                <w:szCs w:val="20"/>
                <w:color w:val="auto"/>
              </w:rPr>
            </w:pPr>
            <w:r>
              <w:rPr>
                <w:rFonts w:ascii="Arial" w:cs="Arial" w:eastAsia="Arial" w:hAnsi="Arial"/>
                <w:sz w:val="18"/>
                <w:szCs w:val="18"/>
                <w:color w:val="auto"/>
              </w:rPr>
              <w:t>9,570</w:t>
            </w:r>
          </w:p>
        </w:tc>
      </w:tr>
    </w:tbl>
    <w:p>
      <w:pPr>
        <w:spacing w:after="0" w:line="200" w:lineRule="exact"/>
        <w:rPr>
          <w:sz w:val="20"/>
          <w:szCs w:val="20"/>
          <w:color w:val="auto"/>
        </w:rPr>
      </w:pPr>
    </w:p>
    <w:p>
      <w:pPr>
        <w:sectPr>
          <w:pgSz w:w="11900" w:h="16843"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2. Ratification of the appointment of Ernst &amp; Young LLP as our independent auditors for the fiscal year ending April 30, 2005.</w:t>
      </w:r>
    </w:p>
    <w:p>
      <w:pPr>
        <w:sectPr>
          <w:pgSz w:w="11900" w:h="16843" w:orient="portrait"/>
          <w:cols w:equalWidth="0" w:num="1">
            <w:col w:w="11420"/>
          </w:cols>
          <w:pgMar w:left="240" w:top="131" w:right="239" w:bottom="0" w:gutter="0" w:footer="0" w:header="0"/>
          <w:type w:val="continuous"/>
        </w:sectPr>
      </w:pPr>
    </w:p>
    <w:bookmarkStart w:id="13" w:name="page14"/>
    <w:bookmarkEnd w:id="13"/>
    <w:p>
      <w:pPr>
        <w:ind w:left="3020"/>
        <w:spacing w:after="0"/>
        <w:tabs>
          <w:tab w:leader="none" w:pos="4780" w:val="left"/>
          <w:tab w:leader="none" w:pos="6580" w:val="left"/>
        </w:tabs>
        <w:rPr>
          <w:sz w:val="20"/>
          <w:szCs w:val="20"/>
          <w:color w:val="auto"/>
        </w:rPr>
      </w:pPr>
      <w:r>
        <w:rPr>
          <w:rFonts w:ascii="Arial" w:cs="Arial" w:eastAsia="Arial" w:hAnsi="Arial"/>
          <w:sz w:val="18"/>
          <w:szCs w:val="18"/>
          <w:color w:val="auto"/>
        </w:rPr>
        <w:t>For 17,725,817</w:t>
      </w:r>
      <w:r>
        <w:rPr>
          <w:sz w:val="20"/>
          <w:szCs w:val="20"/>
          <w:color w:val="auto"/>
        </w:rPr>
        <w:tab/>
      </w:r>
      <w:r>
        <w:rPr>
          <w:rFonts w:ascii="Arial" w:cs="Arial" w:eastAsia="Arial" w:hAnsi="Arial"/>
          <w:sz w:val="18"/>
          <w:szCs w:val="18"/>
          <w:color w:val="auto"/>
        </w:rPr>
        <w:t>Against 104,107</w:t>
      </w:r>
      <w:r>
        <w:rPr>
          <w:sz w:val="20"/>
          <w:szCs w:val="20"/>
          <w:color w:val="auto"/>
        </w:rPr>
        <w:tab/>
      </w:r>
      <w:r>
        <w:rPr>
          <w:rFonts w:ascii="Arial" w:cs="Arial" w:eastAsia="Arial" w:hAnsi="Arial"/>
          <w:sz w:val="16"/>
          <w:szCs w:val="16"/>
          <w:color w:val="auto"/>
        </w:rPr>
        <w:t>Abstain 11,225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5480" w:type="dxa"/>
            <w:vAlign w:val="bottom"/>
          </w:tcPr>
          <w:p>
            <w:pPr>
              <w:ind w:left="240"/>
              <w:spacing w:after="0"/>
              <w:rPr>
                <w:sz w:val="20"/>
                <w:szCs w:val="20"/>
                <w:color w:val="auto"/>
              </w:rPr>
            </w:pPr>
            <w:r>
              <w:rPr>
                <w:rFonts w:ascii="Arial" w:cs="Arial" w:eastAsia="Arial" w:hAnsi="Arial"/>
                <w:sz w:val="18"/>
                <w:szCs w:val="18"/>
                <w:color w:val="auto"/>
              </w:rPr>
              <w:t>Certification Of The Chief Executive Officer Required By Rule</w:t>
            </w:r>
          </w:p>
        </w:tc>
      </w:tr>
      <w:tr>
        <w:trPr>
          <w:trHeight w:val="216"/>
        </w:trPr>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w w:val="92"/>
              </w:rPr>
              <w:t>13a-14(a) OR Rule 15d-14(a) Of The Securities Exchange Act of 1934,</w:t>
            </w:r>
          </w:p>
        </w:tc>
      </w:tr>
      <w:tr>
        <w:trPr>
          <w:trHeight w:val="216"/>
        </w:trPr>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w w:val="88"/>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5480" w:type="dxa"/>
            <w:vAlign w:val="bottom"/>
          </w:tcPr>
          <w:p>
            <w:pPr>
              <w:ind w:left="240"/>
              <w:spacing w:after="0"/>
              <w:rPr>
                <w:sz w:val="20"/>
                <w:szCs w:val="20"/>
                <w:color w:val="auto"/>
              </w:rPr>
            </w:pPr>
            <w:r>
              <w:rPr>
                <w:rFonts w:ascii="Arial" w:cs="Arial" w:eastAsia="Arial" w:hAnsi="Arial"/>
                <w:sz w:val="18"/>
                <w:szCs w:val="18"/>
                <w:color w:val="auto"/>
              </w:rPr>
              <w:t>Certification Of The Chief Financial Officer Required By Rule</w:t>
            </w:r>
          </w:p>
        </w:tc>
      </w:tr>
      <w:tr>
        <w:trPr>
          <w:trHeight w:val="216"/>
        </w:trPr>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w w:val="92"/>
              </w:rPr>
              <w:t>13a-14(a) OR Rule 15d-14(a) Of The Securities Exchange Act of 1934,</w:t>
            </w:r>
          </w:p>
        </w:tc>
      </w:tr>
      <w:tr>
        <w:trPr>
          <w:trHeight w:val="216"/>
        </w:trPr>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w w:val="88"/>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5480" w:type="dxa"/>
            <w:vAlign w:val="bottom"/>
          </w:tcPr>
          <w:p>
            <w:pPr>
              <w:ind w:left="240"/>
              <w:spacing w:after="0"/>
              <w:rPr>
                <w:sz w:val="20"/>
                <w:szCs w:val="20"/>
                <w:color w:val="auto"/>
              </w:rPr>
            </w:pPr>
            <w:r>
              <w:rPr>
                <w:rFonts w:ascii="Arial" w:cs="Arial" w:eastAsia="Arial" w:hAnsi="Arial"/>
                <w:sz w:val="18"/>
                <w:szCs w:val="18"/>
                <w:color w:val="auto"/>
              </w:rPr>
              <w:t>Certification Of The Chief Executive Officer Pursuant To Section</w:t>
            </w:r>
          </w:p>
        </w:tc>
      </w:tr>
      <w:tr>
        <w:trPr>
          <w:trHeight w:val="216"/>
        </w:trPr>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w w:val="99"/>
              </w:rPr>
              <w:t>906 Of The Sarbanes-Oxley Act of 2002 (18 U.S.C. Section 1350)</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32.2*</w:t>
            </w:r>
          </w:p>
        </w:tc>
        <w:tc>
          <w:tcPr>
            <w:tcW w:w="5480" w:type="dxa"/>
            <w:vAlign w:val="bottom"/>
          </w:tcPr>
          <w:p>
            <w:pPr>
              <w:ind w:left="240"/>
              <w:spacing w:after="0"/>
              <w:rPr>
                <w:sz w:val="20"/>
                <w:szCs w:val="20"/>
                <w:color w:val="auto"/>
              </w:rPr>
            </w:pPr>
            <w:r>
              <w:rPr>
                <w:rFonts w:ascii="Arial" w:cs="Arial" w:eastAsia="Arial" w:hAnsi="Arial"/>
                <w:sz w:val="18"/>
                <w:szCs w:val="18"/>
                <w:color w:val="auto"/>
              </w:rPr>
              <w:t>Certification Of The Chief Financial Officer Pursuant To Section</w:t>
            </w:r>
          </w:p>
        </w:tc>
      </w:tr>
      <w:tr>
        <w:trPr>
          <w:trHeight w:val="222"/>
        </w:trPr>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w w:val="99"/>
              </w:rPr>
              <w:t>906 Of The Sarbanes-0xley Act Of 2002 (18 U.S.C. Section 1350)</w:t>
            </w:r>
          </w:p>
        </w:tc>
      </w:tr>
    </w:tbl>
    <w:p>
      <w:pPr>
        <w:spacing w:after="0" w:line="210" w:lineRule="exact"/>
        <w:rPr>
          <w:sz w:val="20"/>
          <w:szCs w:val="20"/>
          <w:color w:val="auto"/>
        </w:rPr>
      </w:pPr>
    </w:p>
    <w:p>
      <w:pPr>
        <w:ind w:left="1680" w:hanging="132"/>
        <w:spacing w:after="0"/>
        <w:tabs>
          <w:tab w:leader="none" w:pos="1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current report on Form 8-K was furnished by us during the first fiscal quarter of 2005:</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Current report on Form 8-K dated May 26, 2004 setting forth the earning release for the fourth quarter and fiscal year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31, 2004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40" w:hanging="232"/>
        <w:spacing w:after="0" w:line="332" w:lineRule="auto"/>
        <w:tabs>
          <w:tab w:leader="none" w:pos="5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40" w:right="20" w:hanging="216"/>
        <w:spacing w:after="0" w:line="259"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hanging="216"/>
        <w:spacing w:after="0" w:line="268"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31,2004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20" w:firstLine="8"/>
        <w:spacing w:after="0" w:line="268" w:lineRule="auto"/>
        <w:tabs>
          <w:tab w:leader="none" w:pos="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00" w:right="40" w:hanging="182"/>
        <w:spacing w:after="0" w:line="268" w:lineRule="auto"/>
        <w:tabs>
          <w:tab w:leader="none" w:pos="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40" w:right="20" w:hanging="216"/>
        <w:spacing w:after="0" w:line="259" w:lineRule="auto"/>
        <w:tabs>
          <w:tab w:leader="none" w:pos="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40" w:hanging="216"/>
        <w:spacing w:after="0" w:line="268" w:lineRule="auto"/>
        <w:tabs>
          <w:tab w:leader="none" w:pos="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May 1, 2004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1"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August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May 1, 2004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4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August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lvl w:ilvl="1">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2019-12-14T02:52:00Z</dcterms:created>
  <dcterms:modified xsi:type="dcterms:W3CDTF">2019-12-14T02:52:00Z</dcterms:modified>
</cp:coreProperties>
</file>