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November 1, 2014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December 1, 2014 was 43,557,540.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November 1, 2014</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gridSpan w:val="4"/>
          </w:tcPr>
          <w:p>
            <w:pPr>
              <w:ind w:left="8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2">
              <w:r>
                <w:rPr>
                  <w:rFonts w:ascii="Arial" w:cs="Arial" w:eastAsia="Arial" w:hAnsi="Arial"/>
                  <w:sz w:val="18"/>
                  <w:szCs w:val="18"/>
                  <w:b w:val="1"/>
                  <w:bCs w:val="1"/>
                  <w:color w:val="0000FF"/>
                  <w:w w:val="92"/>
                </w:rPr>
                <w:t>Financial Information</w:t>
              </w:r>
            </w:hyperlink>
          </w:p>
        </w:tc>
        <w:tc>
          <w:tcPr>
            <w:tcW w:w="6960" w:type="dxa"/>
            <w:vAlign w:val="bottom"/>
            <w:gridSpan w:val="13"/>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November 1, 2014 and April 26, 2014 (unaudited)</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for the Three and Six Months Ended November 1, 2014 and</w:t>
              </w:r>
            </w:hyperlink>
          </w:p>
        </w:tc>
        <w:tc>
          <w:tcPr>
            <w:tcW w:w="92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gridSpan w:val="17"/>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October 26, 2013 (unaudited)</w:t>
              </w:r>
            </w:hyperlink>
          </w:p>
        </w:tc>
        <w:tc>
          <w:tcPr>
            <w:tcW w:w="1080" w:type="dxa"/>
            <w:vAlign w:val="bottom"/>
            <w:gridSpan w:val="3"/>
          </w:tcPr>
          <w:p>
            <w:pPr>
              <w:ind w:left="90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Comprehensive Income for the Three and Six Months Ended November</w:t>
              </w:r>
            </w:hyperlink>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1, 2014 and October 26, 2013 (unaudited)</w:t>
              </w:r>
            </w:hyperlink>
          </w:p>
        </w:tc>
        <w:tc>
          <w:tcPr>
            <w:tcW w:w="50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Six Months Ended November 1, 2014 and October</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26, 2013 (unaudited)</w:t>
              </w:r>
            </w:hyperlink>
          </w:p>
        </w:tc>
        <w:tc>
          <w:tcPr>
            <w:tcW w:w="5580" w:type="dxa"/>
            <w:vAlign w:val="bottom"/>
            <w:tcBorders>
              <w:top w:val="single" w:sz="8" w:color="0000FF"/>
            </w:tcBorders>
            <w:gridSpan w:val="8"/>
          </w:tcPr>
          <w:p>
            <w:pPr>
              <w:spacing w:after="0"/>
              <w:rPr>
                <w:sz w:val="17"/>
                <w:szCs w:val="17"/>
                <w:color w:val="auto"/>
              </w:rPr>
            </w:pPr>
          </w:p>
        </w:tc>
        <w:tc>
          <w:tcPr>
            <w:tcW w:w="10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080" w:type="dxa"/>
            <w:vAlign w:val="bottom"/>
            <w:gridSpan w:val="3"/>
          </w:tcPr>
          <w:p>
            <w:pPr>
              <w:ind w:left="90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660" w:type="dxa"/>
            <w:vAlign w:val="bottom"/>
            <w:gridSpan w:val="1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ind w:left="900"/>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66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1240" w:type="dxa"/>
            <w:vAlign w:val="bottom"/>
            <w:gridSpan w:val="4"/>
          </w:tcPr>
          <w:p>
            <w:pPr>
              <w:ind w:left="90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866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w:t>
              </w:r>
            </w:hyperlink>
          </w:p>
        </w:tc>
        <w:tc>
          <w:tcPr>
            <w:tcW w:w="8660" w:type="dxa"/>
            <w:vAlign w:val="bottom"/>
            <w:gridSpan w:val="1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Other Information</w:t>
              </w:r>
            </w:hyperlink>
          </w:p>
        </w:tc>
        <w:tc>
          <w:tcPr>
            <w:tcW w:w="1240" w:type="dxa"/>
            <w:vAlign w:val="bottom"/>
            <w:gridSpan w:val="4"/>
          </w:tcPr>
          <w:p>
            <w:pPr>
              <w:ind w:left="90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1">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Legal Proceedings</w:t>
              </w:r>
            </w:hyperlink>
          </w:p>
        </w:tc>
        <w:tc>
          <w:tcPr>
            <w:tcW w:w="7220" w:type="dxa"/>
            <w:vAlign w:val="bottom"/>
            <w:gridSpan w:val="14"/>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7760" w:type="dxa"/>
            <w:vAlign w:val="bottom"/>
            <w:gridSpan w:val="16"/>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Unregistered Sales of Equity Securities and Use of Proceeds</w:t>
              </w:r>
            </w:hyperlink>
          </w:p>
        </w:tc>
        <w:tc>
          <w:tcPr>
            <w:tcW w:w="4300" w:type="dxa"/>
            <w:vAlign w:val="bottom"/>
            <w:gridSpan w:val="6"/>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866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Defaults Upon Senior Securities</w:t>
              </w:r>
            </w:hyperlink>
          </w:p>
        </w:tc>
        <w:tc>
          <w:tcPr>
            <w:tcW w:w="1240" w:type="dxa"/>
            <w:vAlign w:val="bottom"/>
            <w:gridSpan w:val="4"/>
          </w:tcPr>
          <w:p>
            <w:pPr>
              <w:ind w:left="9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Mine Safety Disclosures</w:t>
              </w:r>
            </w:hyperlink>
          </w:p>
        </w:tc>
        <w:tc>
          <w:tcPr>
            <w:tcW w:w="6900" w:type="dxa"/>
            <w:vAlign w:val="bottom"/>
            <w:gridSpan w:val="12"/>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5.</w:t>
              </w:r>
            </w:hyperlink>
          </w:p>
        </w:tc>
        <w:tc>
          <w:tcPr>
            <w:tcW w:w="866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1240" w:type="dxa"/>
            <w:vAlign w:val="bottom"/>
            <w:gridSpan w:val="4"/>
          </w:tcPr>
          <w:p>
            <w:pPr>
              <w:ind w:left="90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6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6.</w:t>
              </w:r>
            </w:hyperlink>
          </w:p>
        </w:tc>
        <w:tc>
          <w:tcPr>
            <w:tcW w:w="866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1240" w:type="dxa"/>
            <w:vAlign w:val="bottom"/>
            <w:gridSpan w:val="4"/>
          </w:tcPr>
          <w:p>
            <w:pPr>
              <w:ind w:left="90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3">
              <w:r>
                <w:rPr>
                  <w:rFonts w:ascii="Arial" w:cs="Arial" w:eastAsia="Arial" w:hAnsi="Arial"/>
                  <w:sz w:val="18"/>
                  <w:szCs w:val="18"/>
                  <w:b w:val="1"/>
                  <w:bCs w:val="1"/>
                  <w:color w:val="0000FF"/>
                  <w:w w:val="83"/>
                </w:rPr>
                <w:t>Signatures</w:t>
              </w:r>
            </w:hyperlink>
          </w:p>
        </w:tc>
        <w:tc>
          <w:tcPr>
            <w:tcW w:w="8660" w:type="dxa"/>
            <w:vAlign w:val="bottom"/>
            <w:gridSpan w:val="19"/>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4">
              <w:r>
                <w:rPr>
                  <w:rFonts w:ascii="Arial" w:cs="Arial" w:eastAsia="Arial" w:hAnsi="Arial"/>
                  <w:sz w:val="18"/>
                  <w:szCs w:val="18"/>
                  <w:b w:val="1"/>
                  <w:bCs w:val="1"/>
                  <w:color w:val="0000FF"/>
                  <w:w w:val="90"/>
                </w:rPr>
                <w:t>Index to Exhibits</w:t>
              </w:r>
            </w:hyperlink>
          </w:p>
        </w:tc>
        <w:tc>
          <w:tcPr>
            <w:tcW w:w="8160" w:type="dxa"/>
            <w:vAlign w:val="bottom"/>
            <w:gridSpan w:val="18"/>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95,260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82,500</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62,228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33,400</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6,758</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2,459</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274,240</w:t>
            </w:r>
          </w:p>
        </w:tc>
      </w:tr>
      <w:tr>
        <w:trPr>
          <w:trHeight w:val="277"/>
        </w:trPr>
        <w:tc>
          <w:tcPr>
            <w:tcW w:w="8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4,558</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37"/>
        </w:trPr>
        <w:tc>
          <w:tcPr>
            <w:tcW w:w="8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17,844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17,941</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77,467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72,787</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45,329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7,532</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r>
      <w:tr>
        <w:trPr>
          <w:trHeight w:val="237"/>
        </w:trPr>
        <w:tc>
          <w:tcPr>
            <w:tcW w:w="8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208,995</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143,725</w:t>
            </w:r>
          </w:p>
        </w:tc>
      </w:tr>
      <w:tr>
        <w:trPr>
          <w:trHeight w:val="237"/>
        </w:trPr>
        <w:tc>
          <w:tcPr>
            <w:tcW w:w="8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65,270</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385,556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357,451</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48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November 1,</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Notes payable, bank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27,224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23,462</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22,429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22,483</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7,722</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148,400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133,708</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12,774</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2,871</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20,624</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154,332</w:t>
            </w:r>
          </w:p>
        </w:tc>
      </w:tr>
      <w:tr>
        <w:trPr>
          <w:trHeight w:val="277"/>
        </w:trPr>
        <w:tc>
          <w:tcPr>
            <w:tcW w:w="8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43,392,822 and 43,166,731</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at November 1, 2014 and April 26, 2014, respectively</w:t>
            </w: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46,682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43,935</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137,093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129,266</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19,680 shares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203,119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385,556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357,451</w:t>
            </w:r>
          </w:p>
        </w:tc>
      </w:tr>
      <w:tr>
        <w:trPr>
          <w:trHeight w:val="271"/>
        </w:trPr>
        <w:tc>
          <w:tcPr>
            <w:tcW w:w="8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November 1,</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November 1,</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26,</w:t>
            </w: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173,115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132,238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118,274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255,453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221,494</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40,877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84,280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78,867</w:t>
            </w:r>
          </w:p>
        </w:tc>
      </w:tr>
      <w:tr>
        <w:trPr>
          <w:trHeight w:val="284"/>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14,665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26,922</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11,681</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28,635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58,421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52,706</w:t>
            </w:r>
          </w:p>
        </w:tc>
      </w:tr>
      <w:tr>
        <w:trPr>
          <w:trHeight w:val="237"/>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12,242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17,565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25,859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26,161</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77"/>
        </w:trPr>
        <w:tc>
          <w:tcPr>
            <w:tcW w:w="5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9,066</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7,737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5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43,405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42,639</w:t>
            </w: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43,798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43,023</w:t>
            </w:r>
          </w:p>
        </w:tc>
      </w:tr>
      <w:tr>
        <w:trPr>
          <w:trHeight w:val="284"/>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77"/>
        </w:trPr>
        <w:tc>
          <w:tcPr>
            <w:tcW w:w="5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0.210</w:t>
            </w:r>
          </w:p>
        </w:tc>
      </w:tr>
      <w:tr>
        <w:trPr>
          <w:trHeight w:val="284"/>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459"/>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9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November 1,</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26,</w:t>
            </w:r>
          </w:p>
        </w:tc>
      </w:t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r>
      <w:tr>
        <w:trPr>
          <w:trHeight w:val="284"/>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(loss) gain on available-for-sale securities,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15,356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17,812</w:t>
            </w: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October 26,</w:t>
            </w: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52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Gain on sale of property, equipment and other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36,334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31,018</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37"/>
        </w:trPr>
        <w:tc>
          <w:tcPr>
            <w:tcW w:w="852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11,608</w:t>
            </w:r>
          </w:p>
        </w:tc>
        <w:tc>
          <w:tcPr>
            <w:tcW w:w="0" w:type="dxa"/>
            <w:vAlign w:val="bottom"/>
          </w:tcPr>
          <w:p>
            <w:pPr>
              <w:spacing w:after="0"/>
              <w:rPr>
                <w:sz w:val="1"/>
                <w:szCs w:val="1"/>
                <w:color w:val="auto"/>
              </w:rPr>
            </w:pPr>
          </w:p>
        </w:tc>
      </w:tr>
      <w:tr>
        <w:trPr>
          <w:trHeight w:val="183"/>
        </w:trPr>
        <w:tc>
          <w:tcPr>
            <w:tcW w:w="85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45,054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57,435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52,236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852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8520" w:type="dxa"/>
            <w:vAlign w:val="bottom"/>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8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360"/>
          </w:cols>
          <w:pgMar w:left="240" w:top="121" w:right="299" w:bottom="381" w:gutter="0" w:footer="0" w:header="0"/>
        </w:sect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121" w:right="299" w:bottom="381"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US generally accepted accounting principles have been condensed or omitted. The balance sheet at April 26, 2014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26, 2014,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of that fiscal year. The fiscal year ended April 26, 2014 consisted of 52 weeks. Fiscal 2015 will be a 53-week year; therefore, the six months ended November 1, 2014 contains operating results for 27 weeks while the six months ended October 26, 2013 contained operating results for 26 weeks.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the fiscal 2014 amounts to the fiscal 2015 classifications for comparative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(Topic 205) and Property, Plant and Equipment (Topic 360): Reporting Discontinued Operations and Disclosures of Disposals of Components of an Entity</w:t>
      </w:r>
      <w:r>
        <w:rPr>
          <w:rFonts w:ascii="Arial" w:cs="Arial" w:eastAsia="Arial" w:hAnsi="Arial"/>
          <w:sz w:val="18"/>
          <w:szCs w:val="18"/>
          <w:color w:val="auto"/>
        </w:rPr>
        <w:t>. ASU 2014-08 changes the criteria for determining which disposals should be presented as discontinued operations and modifies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Additionally, the new guidance requires that a business that qualifies as held for sale upon acquisition should be reported as discontinued operations. The new guidance is effective for us beginning in fiscal 2016 and applies prospectively to new disposals and new classifications of disposal groups as held for sale after the effective date. We do not expect the adoption of this guidance to have a material impact on our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a new topic, Accounting Standards Codification ("ASC") 606. The new revenue recognition standard provides a five-step analysis of transactions to determine when and how revenue is recognized. The core principle of the guidance is that a company should recognize revenue to depict the transfer of promised goods or services to customers in an amount that reflects the consideration to which the entity expects to be entitled in exchange for those goods or services. The new standard will also result in enhanced disclosures about revenue, provide guidance for transactions that were not previously addressed comprehensively, and improve guidance for multiple-element arrangements. ASU 2014-09 is effective for us beginning in fiscal 2018 and can be adopted either retrospectively or as a cumulative-effect adjustment as of the date of adoption. We are currently evaluating the effect that adopting this new accounting guidance will have on our consolidated results of operations, cash flows, and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if securities or other obligations to issue common stock were exercised or converted into common stock or resulted in the issuance of common stock sharing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six months ended November 1, 2014 and October 26,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November 1, 2014</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43,405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7,737</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43,798</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26, 2013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43,002</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November 1, 2014</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43,350</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43,926</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26, 2013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43,023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1,546 shares of common stock with a weighted average exercise price of $18.12 for the three months ended November 1, 2014 and 2,356 shares of common stock with a weighted average exercise price of $15.66 for the three months ended October 26, 2013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1,494 shares of common stock with a weighted average exercise price of $18.34 for the six months ended November 1, 2014 and 2,312 shares of common stock with a weighted average exercise price of $15.85 for the six months ended October 26, 2013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business units. These segments are based on the type of customer or geography.</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(formerly known as our Schools and Theatres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Upon the sale of our automated rigging systems for theatre applications in July 2014, we changed the name of this business unit. Other than such sale, there was no change to the composition of the segment.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the portion related to non-allocated costs, are allocated to each segment based on various financial measures. In general, our segments follow the same accounting policies as those described in Note 1 of our Annual Report on Form 10-K for the fiscal year ended April 26, 2014. Unabsorbed costs of domestic field sales and services infrastructure, including most field administrative staff, are allocated to the Commercial, Live Events, Transportation, and High School Park and Recreation business units based on cost of sales. Shared manufacturing, building and utilities, and procurement costs are allocated based on payroll dollars, square footage and various other financial measures.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26,</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43,928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78,674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62,641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58,175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138,315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113,252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24,243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30,288</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48,026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173,115</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161,639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339,733</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300,361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2,429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26,212</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30,061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54,569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6,150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26,161</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12,236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18,143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7,737</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16,482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17,509</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26,</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249,082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51,279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161,639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300,361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November 1,</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26,</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80" w:space="66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60,846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4,424</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65,270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income. As it relates to fixed income marketable securities, we do not intend to sell any of these investments, and it is not more-likely-than-not we will be required to sell any of these investments before recovery of the entire amortized cost basis. In addition, as of November 1, 2014,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 2014 and April 26, 2014,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6,373</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25,439</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7,309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25,392</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income” and into earnings based on the specific identification method. In the six months ended November 1, 2014 and October 26, 2013, the reclassifications from accumulated other comprehensive (loss) income to net assets were immaterial. Realized gains and losses on sales or maturities of investments were immaterial in the six months ended November 1, 2014 and October 26, 2013.</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November 1,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agencies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6,382</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25,441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acquired 100 percent ownership in Data Display, a European transportation display company, on August 11, 2014 for an undisclosed amount.</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will combine our organizations to better service transportation customers world-wide and broaden our leadership position on a global scale. This acquisition included a manufacturing plant in Ireland to manufacture transportation displays. This acquisition was funded with cash on hand. The results of operations have been included in our consolidated financial statements since the date of acquisition. We have not made pro forma disclosures, as the results of operations are not material to our consolidated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second quarter of fiscal 2015, we prepared the preliminary fair value measurements of assets acquired and liabilities assumed, as of the acquisition date. The excess of purchase price over the net tangible and intangible assets was recorded as goodwill of $1.1 million. Included in the purchase price allocation were acquired identifiable intangibles valued at $0.5 million representing trademarks and technology with a useful life of 20 years and customer relationships valued at $0.1 million with a useful life of 18 years. The purchase price allocation is expected to be completed by the end of fiscal 2015.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Display's $2.4 million of net sales were included in the International business unit results and $1.0 million of net sales were included in the Transportation business unit results during the three months ended November 1, 2014. General and administrative expenses included $0.4 million for the six months ended November 1, 2014 for professional fees relating to the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Sale of Theatre Rigging Manufacturing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July 2014, we sold our automated rigging systems for theatre applications. Related to the sale, we recorded a $1.3 million gain which is included in cost of goods sold in the High School Park and Recreation business unit. In connection with the sale, we changed the name of the business unit from Schools and Theatres to High School Park and Recreation to more accurately describe it.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part of the transaction, we sold assets of $2.8 million that primarily consisted of accounts receivable, patents, inventory, and manufacturing equipment net of $0.4 million of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six months ended November 1, 2014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w:t>
            </w: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6"/>
              </w:rPr>
              <w:t>Disposal of automated rigging systems for</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theatre applications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net of cash required</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5,441</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an analysis of goodwill on an annual basis. We complete this annual analysis during our third quarter of each fiscal year, based on the goodwill amount as of the first business day of our third quarter in fiscal 2014, which was October 27, 2013. The result of the analysis indicated no goodwill impairment existed as of that date. We are currently in the process of completing this annual analysis based on the goodwill amount as of the first business day of our third quarter.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10,229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11,835</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22,733</w:t>
            </w:r>
          </w:p>
        </w:tc>
      </w:tr>
      <w:tr>
        <w:trPr>
          <w:trHeight w:val="237"/>
        </w:trPr>
        <w:tc>
          <w:tcPr>
            <w:tcW w:w="7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62,824</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62,228</w:t>
            </w:r>
          </w:p>
        </w:tc>
      </w:tr>
      <w:tr>
        <w:trPr>
          <w:trHeight w:val="27"/>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$2,403 and $2,539 at November 1, 2014 and April 26, 2014, respectively.</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$10,893 and $13,112 as of November 1, 2014 and April 26, 2014, respectively. Contract and lease receivables bearing annual interest rates of 5.0 to 10.0 percent are due in varying annual installments through July 2022. The face amount of long-term receivables was $12,790 as of November 1, 2014 and $14,892 as of April 26, 2014. Included in accounts receivable as of November 1, 2014 and April 26, 2014 was $456 and $2,098, respectively, of retainage on construction-type contracts, all of which is expected to be collected within one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that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1, 2014, we did not believe there was a reasonable probability any material loss for these various claims or legal actions, including reviews, inspections or other legal proceedings, if any, will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$1,100 as of November 1, 2014 and April 26, 2014.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there is no guarantee liability in accrued expenses that needed to be recognized in connection with these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six months ended November 1, 2014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27,250</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6,320</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costs for pre-existing warranties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during the period, including expirations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(6,966)</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29,037</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November 1, 2014, we had outstanding letters of credit and surety bonds in the amount of $8,658 and $4,471, respectively. Performance guarantees are issued to certain customers to guarantee the operation and installation of the equipment and our ability to complete a contract. These performance guarantees have various terms, which are generally less than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various equipment for sales and service locations throughout the world, including manufacturing space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and China. Some of these leases, including the lease for manufacturing facilities in Sioux Falls, South Dakota, include provisions for extensions or purchase. The lease for the facility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$1,377 and $1,388 for the six months ended November 1, 2014 and October 26, 2013,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November 1,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extending beyond one year. As of November 1, 2014, we were obligated under the following conditional and unconditional purchase commitments, which included $800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our fiscal years 2011, 2012, and 2013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 2014, we had $501 of unrecognized tax benefits which would affect our effective tax rate if recognized.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November 1, 2014 and April 26, 2014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November 1, 2014</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57,435</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10,417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7,140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24,133</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Consists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one month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valuation from a third-party bank. See Note 13. Derivative Financial Instruments for more information regarding our derivatives.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will utilize the fair value measurement standard to value the assets and liabilities for the business combination involving Data Display, which occurred during the second quarter of fiscal 2015. See Note 5. Business Combination for more information. We utilized the fair value measurement standard, primarily Level 3 inputs, to value the assets and liabilities for the business combination involving OPEN, which occurred during the first three months of fiscal 2014. We did not make any material business combinations or recognize any significant impairment losses during fiscal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November 1, 2014 and April 26, 2014, we had not designated any of our derivative instruments as accounting hedges, and thus we recorded the changes in fair value in other (expense) income,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November 1, 2014 and April 26,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20"/>
              <w:spacing w:after="0"/>
              <w:rPr>
                <w:sz w:val="20"/>
                <w:szCs w:val="20"/>
                <w:color w:val="auto"/>
              </w:rPr>
            </w:pPr>
            <w:r>
              <w:rPr>
                <w:rFonts w:ascii="Arial" w:cs="Arial" w:eastAsia="Arial" w:hAnsi="Arial"/>
                <w:sz w:val="18"/>
                <w:szCs w:val="18"/>
                <w:b w:val="1"/>
                <w:bCs w:val="1"/>
                <w:color w:val="auto"/>
              </w:rPr>
              <w:t>November 1, 2014</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26, 2014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Dollars/New Zealand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November 1, 2014 and April 26, 2014, there was a net asset and liability of $194 and $85, respectively, representing the fair value of foreign currency exchange forward contracts, which was determined using Level 2 inputs from a third-party bank.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4, 2014, our Board of Directors declared a dividend of $0.10 per share payable on December 26, 2014 to shareholders of record of our common stock on December 15,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and (xi.)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26, 2014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discussion highlights the principal factors affecting changes in our financial condition and results of operations. This discussion should be read in conjunction with the accompanying Consolidated Financial Statements and Notes to the Consolidated Financial Statements included in this Report.</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High School Park and Recreation (formerly known as Schools and Theatres), and Transportation, all of which include the geographic territories of the United States and Canada. Disclosures related to our business segments are provided in Note 3. Our Commercial business unit primarily consists of sales of our video display systems, digital billboards,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Fuelight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(formerly known as our Schools and Theatres business unit) primarily consists of sales of scoring systems,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and video display systems to primary and secondary education facilities. Upon the sale of our automated rigging systems for theatre applications in July 2014, we changed the name of this business unit. Other than such sale, there was no change to the composition of the segment. Our Transportation business unit primarily consists of sales of our Vanguard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large standard orders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growing interest in our standard display products used in many different retail-type establishments and other types of commercial establishments. The demand in this area is driven by these establishments' desire to attract the attention of motorists and others into their store.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increased sales.</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Out-of-Home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experiences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electronic displays to manage transportation systems, including roadway, airport, parking, transit and other applications. This growth is highly dependent on government spending, primarily by the federal government, along with the continuing acceptance of private public partnerships as an alternative funding source.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of that fiscal year. The fiscal year ended April 26, 2014 consisted of 52 weeks. Fiscal 2015 will be a 53-week year; therefore, the six months ended November 1, 2014 contains operating results for 27 weeks while the six months ended October 26, 2013 contained operating results for 26 weeks.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NOVEMBER 1, 2014 AND OCTOBER 26,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November 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4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1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43,928</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62,641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58,175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18,823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15,238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30,288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24,430</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173,115</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161,639</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3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44,503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38,147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36,160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14,142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32,702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26,797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149,102</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126,954</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the three months ended November 1, 2014 compared to the same period one year ago was the net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sales of national accounts and on-premise niches due to differences in timing and variability of project deliveries as compared to the same period one year ago, which was offset by a slight increase in our billboard niche.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for the three months ended November 1, 2014 compared to the same period one year ago was the result of:</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$5.3 million in orders of large custom video contracts due to timing of order bookings.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$3.7 million in orders from our billboard niche resulting from timing of orders from a national billboard customer.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$2.6 million in orders from our on-premise and national accounts niches mainly due to the timing and volatility of orders and timing of renewals for extended service agreements.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November 1, 2014 compared to the same period one year ago was primarily the net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 w:lineRule="exact"/>
        <w:rPr>
          <w:sz w:val="20"/>
          <w:szCs w:val="20"/>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increase of $8.2 million in sales of systems related to National Basketball Association ("NBA") and National Hockey League ("NHL") stadiums that were manufactured and installed during the second quarter of fiscal 2015 related to orders received during the first quarter of fiscal 2015.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decrease of $3.7 million in sales related to video displays for universities and the National Football League ("NFL") stadiums.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$10.1 million for the three months ended November 1, 2014 compared to the same period one year ago primarily due to the timing of two orders for Major League Baseball ("MLB") stadiums.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increase in net sales for the three months ended November 1, 2014 compared to the same period one year ago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production and delivery on a higher volume of orders year to date. Order transaction size increased due to larger display sizes.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Orders remained relatively flat for the three months ended November 1, 2014 compared to the same period one year ago primarily due to the timing of orders.</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Net sales for the three months ended November 1, 2014 compared to the same period one year ago decreased due to the result of $3.4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sales recognized during fiscal 2014 for two major state transportation authorities. No project of similar size occurred during the second quarter of fiscal 2015, and overall order volume is down for the year, impacting the second quarter. We completed the acquisition of Data Display during the second quarter of fiscal 2015. Data Display's sales in the Transportation business unit were $1.0 million during the three months ended November 1, 2014.</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November 1, 2014 compared to the same period one year ago increased primarily due to the timing of orders and inclusion of Data Display's order volume.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Net sales in our International business unit for the three months ended November 1, 2014 compared to the same period one year ago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mainly due to $8.0 million in sales recognized during the quarter for a multi-million dollar sports stadium project and for the delivery of a large billboard project. Data Display sales in the International business unit were $2.4 million during the three months ended November 1,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of $5.9 million for the three months ended November 1, 2014 compared to the same period one year ago was mainly due to orders received from stadiums. Data Display's orders included in the International business unit results were $1.3 million during the three months ended November 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November 1, 2014 was $146 million as compared to $132 million as of October 26, 2013 and $165 million at the end of the first quarter of fiscal 2015. Historically, our backlog varies due to the seasonality of our business, the timing of large orders, and customer delivery schedules for these orders. The backlog increased from one year ago in our High School Park and Recreation, Commercial, Live Events, and International business units and decreased in our Transportation business unit.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evidenced by an arrangement with fixed and determinable prices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460"/>
              <w:spacing w:after="0"/>
              <w:rPr>
                <w:sz w:val="20"/>
                <w:szCs w:val="20"/>
                <w:color w:val="auto"/>
              </w:rPr>
            </w:pPr>
            <w:r>
              <w:rPr>
                <w:rFonts w:ascii="Arial" w:cs="Arial" w:eastAsia="Arial" w:hAnsi="Arial"/>
                <w:sz w:val="18"/>
                <w:szCs w:val="18"/>
                <w:b w:val="1"/>
                <w:bCs w:val="1"/>
                <w:color w:val="auto"/>
              </w:rPr>
              <w:t>November 1, 2014</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13,290</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30.3%</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31.1%</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10,010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16.0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13,277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22.8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28.7</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26.2</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3,666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30.5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5,616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36.9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23.0</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22.7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40,877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23.6%</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43,365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26.8%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decrease in our gross profit percentage for the three months ended November 1, 2014 compared to the same period one year ago was the net result of the mix of larger projects with lower margins and additional expenditures for overtime, expediting, and shipping costs to meet critical event dates for our customers. The following describes the overall impact by business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for the three months ended November 1, 2014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mix and the overall competitiveness of large custom contracts, which generally have lower margins, offset by lower warranty cost as a percent of sales.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gross profit percent decrease for the three months ended November 1, 2014 compared to the same period one year ago was the result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mix of large custom contracts, increased installation activity on the mix of business, and the higher than anticipated volumes of business which stretched our capacity in various areas of the company including: design engineering, manufacturing installation and training. Additional dollars were spent on overtime, expediting and shipping costs to meet critical event dates for sports customers. The installation activity generally lowers margins per project as we outsource subcontracted on-site work at general contracting rates which generally has a lower margin than video equipment production.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three months ended November 1, 2014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result of an increase in large display sizes and improved margins related to volume manufacturing efficiencies.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gross profit percent decrease for the three months ended November 1, 2014 compared to the same period one year ago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fewer large procurement contracts causing non-utilized manufacturing capacity, offset by lower warranty costs as a percent of sales.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November 1, 2014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increased margins on contracts and lower warranty costs as a percent of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November 1, 2014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3,500</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5.6</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10.3</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3,325</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11.0</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expense in our Commercial, Live Events, Transportation, and International business units increased $0.3 million, $0.5 million, $0.4 million, and $0.3 million, respectively, in the second quarter of fiscal 2015 compared to the same quarter a year ago, which was mainly related to increases in personnel expenses, marketing expenses, travel and entertainment expenses, the implementation of a sales opportunity management tool, the additional costs associated with the Data Display sales teams, and various other expenses, with a slight reduction in bad debt expense.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expenses in our High School Park and Recreation business unit remained relatively flat in the three months ended November 1, 2014 compared to the same period one year ago.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November 1, 2014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6,804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5,692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 the second quarter of fiscal 2015 increased as compared to the same period one year ago primarily due to increases in personnel expenses, professional fees, the addition of Data Display costs and other expenses. We incurred $0.1 million in general and administration expense for the professional fees related to the Data Display acquisition during the quarter.</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over our current offerings. In addition, we continue to focus on various other products to standardize display components and control systems for both single site and network displays.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second quarter of fiscal 2015 as compared to the same period one year ago increased primarily due to an increase in material for the development of new products and labor costs.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0"/>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November 1, 2014</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product sales on an installment basis,</w:t>
      </w:r>
      <w:r>
        <w:rPr>
          <w:rFonts w:ascii="Arial" w:cs="Arial" w:eastAsia="Arial" w:hAnsi="Arial"/>
          <w:sz w:val="18"/>
          <w:szCs w:val="18"/>
          <w:i w:val="1"/>
          <w:iCs w:val="1"/>
          <w:color w:val="auto"/>
        </w:rPr>
        <w:t xml:space="preserve"> </w:t>
      </w:r>
      <w:r>
        <w:rPr>
          <w:rFonts w:ascii="Arial" w:cs="Arial" w:eastAsia="Arial" w:hAnsi="Arial"/>
          <w:sz w:val="18"/>
          <w:szCs w:val="18"/>
          <w:color w:val="auto"/>
        </w:rPr>
        <w:t>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in the second quarter of fiscal 2015 compared to the same period one year ago decreased slightly,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income and expense, net decreased for the second quarter of fiscal 2015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unrealized foreign currency losses from the volatility of the Euro, Australian dollar, and Canadian dollar.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36.8 percent for the second quarter of fiscal 2015 as compared to an effective tax rate of 35.0 percent for the second quarter of fiscal 2014. Our effective tax rate can potentially have wide variances from quarter to quarter, resulting from interim reporting requirements, and the recognition of discrete events. In comparing the second quarter of fiscal 2015 to the second quarter of fiscal 2014, changes in our effective tax rate were the net result of the following:</w:t>
      </w:r>
    </w:p>
    <w:p>
      <w:pPr>
        <w:spacing w:after="0" w:line="187"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 tax rate for the second quarter of 2014 was reduced by a decrease in the effective tax rate of approximately 1.9 percent from the research and development tax credit as compared to no credit in the second quarter of fiscal 2015 due to the expiration of the tax credit on December 31, 2013.</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6"/>
          </w:tcPr>
          <w:p>
            <w:pPr>
              <w:spacing w:after="0"/>
              <w:rPr>
                <w:sz w:val="20"/>
                <w:szCs w:val="20"/>
                <w:color w:val="auto"/>
              </w:rPr>
            </w:pPr>
            <w:r>
              <w:rPr>
                <w:rFonts w:ascii="Arial" w:cs="Arial" w:eastAsia="Arial" w:hAnsi="Arial"/>
                <w:sz w:val="18"/>
                <w:szCs w:val="18"/>
                <w:b w:val="1"/>
                <w:bCs w:val="1"/>
                <w:color w:val="auto"/>
              </w:rPr>
              <w:t>COMPARISON OF THE SIX MONTHS ENDED NOVEMBER 1, 2014 AND OCTOBER 26, 2013</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4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1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78,674</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138,315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113,252</w:t>
            </w:r>
          </w:p>
        </w:tc>
        <w:tc>
          <w:tcPr>
            <w:tcW w:w="20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36,740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25,328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28,280</w:t>
            </w:r>
          </w:p>
        </w:tc>
        <w:tc>
          <w:tcPr>
            <w:tcW w:w="2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48,026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43,415</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339,733</w:t>
            </w:r>
          </w:p>
        </w:tc>
        <w:tc>
          <w:tcPr>
            <w:tcW w:w="2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300,361</w:t>
            </w:r>
          </w:p>
        </w:tc>
        <w:tc>
          <w:tcPr>
            <w:tcW w:w="2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3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86,276</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75,122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103,560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43,214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33,693</w:t>
            </w:r>
          </w:p>
        </w:tc>
        <w:tc>
          <w:tcPr>
            <w:tcW w:w="20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25,677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53,407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48,185</w:t>
            </w:r>
          </w:p>
        </w:tc>
        <w:tc>
          <w:tcPr>
            <w:tcW w:w="20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309,781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286,237</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Sales and orders were impacted as a result of the six months ended November 1, 2014 including 27 weeks compared to the more common 26 weeks. The six months ended October 26, 2013 contained 26 weeks.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the net sales for the six months ended November 1, 2014 compared to the same period one year ago was the net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$6.7 million in sales in the billboard niche due to a number of shipments which moved from fiscal 2014 into fiscal 2015 due to weather related issues at outdoor construction sites earlier in the calendar year. In addition, there was a slight increase in our large custom video contracts, which was offset by decreases in our on-premise and national account niches.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increase in orders of $11.2 million for the six months ended November 1, 2014 compared to the same period one year ago was the result of an increase in orders in our large custom video contracts and billboard niches, which was offset by a decrease in orders in our on-premise and national account niches.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six months ended November 1, 2014 compared to the same period one year ago was primarily the net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orders during the fourth quarter of fiscal 2014 resulting from $27.2 million in sales to NFL and Canadian Football League ("CFL") stadiums, $5.2 million in sales to NBA stadiums and $3.8 million in sales to NHL stadiums, and a net decrease of $13.4 million in sales to multi-sport arenas and universities.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Orders for the six months ended November 1, 2014 compared to the same period one year ago were relatively flat.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six months ended November 1, 2014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difference in order timing. We experienced many orders that were pushed out from our fourth quarter of fiscal 2014 into the first six months of fiscal 2015. The increase in sales is due to production and delivery on a higher volume of orders. Order transaction size also increased due to larger display sizes, which increased sales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for the six months ended November 1, 2014 increased compared to the same period one year ago primarily as the result of higher orders of video and sound systems as some orders pushed into the first six months of fiscal 2015 from the fourth quarter of fiscal 2014 due to customer timing, increased opportunities in the market place, and an increase in the size of the display systems.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decrease in net sales for the six months ended November 1, 2014 compared to the same period one year ago was primarily the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$3.6 million in sales recognized during the first six months of fiscal 2014 for two significant state transportation authorities with no sales from recurring projects of a similar size recognized during fiscal 2015. We completed the acquisition of Data Display during the second quarter of fiscal 2015. Data Display's Transportation business unit sales results were $1.0 million for the six months ended November 1, 2014.</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orders for the six months ended November 1, 2014 compared to the same period one year ago was primarily due to a reduction in the size of the orders with the state transportation authorities. Data Display Transportation business unit orders were $1.0 million for the six months ended November 1, 2014.</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the six months ended November 1, 2014 compared to the same period one year ago was the result of $8.0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sales recognized from a multi-million dollar sports stadium project and for a delivery of a large billboard project. Data Display's International business unit sales results were $2.4 million for the six months ended November 1,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six months ended November 1, 2014 increased compared to the same period one year ago primarily due to the timing and volatility of large orders. Data Display's International business unit orders were $1.3 million for the six months ended November 1,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460"/>
              <w:spacing w:after="0"/>
              <w:rPr>
                <w:sz w:val="20"/>
                <w:szCs w:val="20"/>
                <w:color w:val="auto"/>
              </w:rPr>
            </w:pPr>
            <w:r>
              <w:rPr>
                <w:rFonts w:ascii="Arial" w:cs="Arial" w:eastAsia="Arial" w:hAnsi="Arial"/>
                <w:sz w:val="18"/>
                <w:szCs w:val="18"/>
                <w:b w:val="1"/>
                <w:bCs w:val="1"/>
                <w:color w:val="auto"/>
              </w:rPr>
              <w:t>November 1, 2014</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29.3%</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29.8%</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25,381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18.4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24,624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34.1</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7,886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31.1</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8,588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30.4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23.6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26.4</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84,280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78,867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26.3%</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our gross profit percentage for the six months ended November 1, 2014 compared to the same period one year ago was the net result of the changes described below: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in the Commercial business unit for the six months ended November 1, 2014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result of the product mix of sales, offset by lower warranty costs as a percent of sales.</w:t>
      </w:r>
    </w:p>
    <w:p>
      <w:pPr>
        <w:spacing w:after="0" w:line="170"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in the Live Events business unit for the six months ended November 1, 2014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the result of overall gross margin decline in our professional sport contracts due to the result of increased mix of large custom contracts, and increased mix of of subcontracted installation activity on the mix of business, and the higher than anticipated volumes of business during the second quarter which stretched our capacity in various areas of the company including: design engineering, manufacturing, installation and training. Additional dollars were spent on overtime, expediting and shipping costs to meet critical event dates for sports customers in the second quarter lowering gross margins. The installation activity generally lowers margins per project as we outsource subcontracted on-site work at general contracting rates which generally has a lower margin than video equipment production.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in the High School Park and Recreation business unit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 2014 compared to the same period one year ago was the result of overall gross margin improvement on contracts and sales orders and improved manufacturing utilization, which was partially offset by slightly higher warranty costs as a percent of sales. In addition, in the first quarter of fiscal 2015, we recognized a $1.3 million gain on the sale of our theatre rigging manufacturing division.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the six months ended November 1, 2014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result of improved gross margins on contracts and standard orders, and lower warranty costs as a percent of sales, partially offset by a decline in our manufacturing utilization.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gross profit percent decrease in the International business unit for the six months ended November 1, 2014 compared to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one year ago was the net result of an overall gross margin decline in our large custom contracts, which generally have lower margins due to their competitive nature, low utilization of our international manufacturing facilities, and a decrease related to our new manufacturing plant in Ireland.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Six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480"/>
              <w:spacing w:after="0"/>
              <w:rPr>
                <w:sz w:val="20"/>
                <w:szCs w:val="20"/>
                <w:color w:val="auto"/>
              </w:rPr>
            </w:pPr>
            <w:r>
              <w:rPr>
                <w:rFonts w:ascii="Arial" w:cs="Arial" w:eastAsia="Arial" w:hAnsi="Arial"/>
                <w:sz w:val="18"/>
                <w:szCs w:val="18"/>
                <w:b w:val="1"/>
                <w:bCs w:val="1"/>
                <w:color w:val="auto"/>
              </w:rPr>
              <w:t>November 1, 2014</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6,823</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5,995</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5,521</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1,683</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6,753</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6,660</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26,922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areas of selling expenses were impacted as a result of the six months ended November 1, 2014 including 27 weeks compared to the more common 26 weeks. The six months ended October 26, 2013 contained 26 weeks.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expense in our Commercial, Live Events, High School Park and Recreation, and Transportation business units increased $1.1 million, $0.8 million, $0.2 million, and $0.5 million, respectively, in the six months ended November 1, 2014 compared to the same period a year ago primarily due to increases in personnel expenses, travel and entertainment expenses, marketing expenses, the implementation of a sales opportunity management tool, the additional costs associated with the Data Display sales teams, and various other expenses, with a reduction of bad debt expense.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International business unit remained relatively flat in the six months ended November 1, 2014 compared to the same period one year ago.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Six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480"/>
              <w:spacing w:after="0"/>
              <w:rPr>
                <w:sz w:val="20"/>
                <w:szCs w:val="20"/>
                <w:color w:val="auto"/>
              </w:rPr>
            </w:pPr>
            <w:r>
              <w:rPr>
                <w:rFonts w:ascii="Arial" w:cs="Arial" w:eastAsia="Arial" w:hAnsi="Arial"/>
                <w:sz w:val="18"/>
                <w:szCs w:val="18"/>
                <w:b w:val="1"/>
                <w:bCs w:val="1"/>
                <w:color w:val="auto"/>
              </w:rPr>
              <w:t>November 1, 2014</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15,757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12,953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11,681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areas of operating expenses were impacted as a result of the six months ended November 1, 2014 including 27 weeks compared to the more common 26 weeks. The six months ended October 26, 2013 contained 26 weeks.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 the six months ended November 1, 2014 increased as compared to the same period one year ago. The increase was primarily due to a $1.7 million net increase in professional services costs, personnel expenses, and other expenses. These expenses included one-time costs incurred in the second quarter of fiscal 2015 for professional services to support the expansion of our international business and other on-going costs to support our anticipated business growth. We incurred $0.4 million in general and administration expense for the professional fees related to the Data Display acquisition.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design and development expenses in the six months ended November 1, 2014 increased as compared to the same period one year ago primarily due to increases in materials for the development of new products and labor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November 1, 2014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c>
          <w:tcPr>
            <w:tcW w:w="120" w:type="dxa"/>
            <w:vAlign w:val="bottom"/>
          </w:tcPr>
          <w:p>
            <w:pPr>
              <w:spacing w:after="0"/>
              <w:rPr>
                <w:sz w:val="22"/>
                <w:szCs w:val="22"/>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16"/>
                <w:szCs w:val="16"/>
                <w:color w:val="auto"/>
              </w:rPr>
            </w:pPr>
          </w:p>
        </w:tc>
        <w:tc>
          <w:tcPr>
            <w:tcW w:w="1320" w:type="dxa"/>
            <w:vAlign w:val="bottom"/>
            <w:gridSpan w:val="3"/>
          </w:tcPr>
          <w:p>
            <w:pPr>
              <w:jc w:val="center"/>
              <w:ind w:right="140"/>
              <w:spacing w:after="0" w:line="194" w:lineRule="exact"/>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net decreased for the six months ended November 1, 2014 as compared to the same period in fiscal 2014,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volatility of working capital needs and changes in investing and financing activities, along with changes in the interest rate environment. It is difficult to project changes in interest income.</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expenses, net decreased for the six months ended November 1, 2014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unrealized foreign currency losses from the volatility of the Euro, Australian dollar, and Canadian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effective tax rate was approximately 36.4% for the six months ended November 1, 2014 as compared to 34.1% for the six months ended October 26, 2013. In comparing the first six months of fiscal 2015 to the same period in fiscal 2014, changes in the effective tax rate were primarily due to the net impact of the following items:</w:t>
      </w:r>
    </w:p>
    <w:p>
      <w:pPr>
        <w:spacing w:after="0" w:line="181" w:lineRule="exact"/>
        <w:rPr>
          <w:sz w:val="20"/>
          <w:szCs w:val="20"/>
          <w:color w:val="auto"/>
        </w:rPr>
      </w:pPr>
    </w:p>
    <w:p>
      <w:pPr>
        <w:ind w:left="660" w:right="4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 tax rate for the second quarter of 2014 was reduced by a decrease in the effective tax rate of approximately 1.9 percent from the research and development tax credit as compared to no credit in the second quarter of fiscal 2015 due to the expiration of the tax credit on December 31, 2013.</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Various other items which have a greater impact on the effective rate due to higher income before taxes but are not material to our results.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operate within multiple taxing jurisdictions, both domestic and international, and we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because different taxing jurisdictions have different statutes of limitations.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4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1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44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31,018</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(8,914)</w:t>
            </w:r>
          </w:p>
        </w:tc>
        <w:tc>
          <w:tcPr>
            <w:tcW w:w="20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11,608</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income taxes, market and warranty obligations, and employee compensation.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provided by operating activities was $36.3 million for the first six months of fiscal 2015 compared to $31.0 million in the first six months of fiscal 2014. The increase in cash from operating activities of $5.3 million was the net result of an increase for changes in net operating assets and liabilities of $8.1 million, a decrease of $0.3 million in our deferred income taxes, net, a decrease of $1.0 million in net income, plus a $1.2 million gain on sale of property, equipment and other assets, adjusted by a $0.1 million increase in depreciation and amortization and a decrease of $0.4 million in other non-cash items, net.</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most significant driver of cash generated from operating activities was the result of the change in long-term receivables and construction-type contracts. Changes in long-term receivables and construction-type contracts generated $5.7 million of cash in the first six months of fiscal 2015 compared to consuming $0.5 million one year ago.</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totaled $14.7 million in the first six months of fiscal 2015 compared to $8.9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fiscal 2014. Purchases of property and equipment totaled $12.7 million in the first six months of fiscal 2015 compared to $6.3 million in the first six months of fiscal 2014. The change from the prior year is due to the expansion of our Minnesota manufacturing facility, the purchase of new manufacturing equipment for various new product lines as well as machine upgrades, and additions to our information technology infrastructure. Capital expenditures are expected to be approximately $25.0 million for fiscal 2015.</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net cash inflow of $4.0 million was recognized during the first quarter of 2015 from the disposition of our automated rigging systems division for theatre applications.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net cash outlay of $5.9 million was recognized during the first six months of fiscal 2015 compared to $1.3 million in the first six months of fiscal 2014 for investment in affiliates and equity investments.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$8.8 million for the six months ended November 1, 2014 compared to $10.4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one year ago. Dividends of $8.7 million, or 20.0 cents per share, were paid to Daktronics shareholders during the first two quarters of fiscal 2015 compared to $8.9 million, or 21.0 cents per share, paid to Daktronics shareholders during the first two quarters of fiscal 2014. During the six months ended November 1, 2014 and October 26, 2013, we made payments of $1.2 million and $3.6 million on the debt assumed in the acquisitions of Data Display and OPEN,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November 1, 2014 was approximately $4.6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retainage on long-term contracts, all of which is expected to be collected within one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Working capital was $147.9 million at November 1, 2014 and $140.5 million at April 26, 2014. The increase in working capital was primarily the result of higher sales, increases in cash, and accounts receivable. Partially offsetting these items were decreases in costs and estimated earnings in excess of billings and increases among customer deposits and accounts payable. We have historically financed working capital needs through a combination of cash flow from operations and borrowings under bank credit agreements.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GAAP. The effective interest rate was 1.6 percent at November 1, 2014. We are assessed a loan fee equal to 0.125 percent per annum of any non-used portion of the loan. As of November 1, 2014, there were no advances to us under the line of credit and the balance of letters of credit outstanding was approximately $5.6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2-to-1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1-to-1 at the end of any fiscal quarter.</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 million. As of November 1, 2014, there were no advances outstanding and approximately $3.0 million in bank guarantees under this line of credit.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November 1, 2014 and April 26, 2014. The minimum fixed charge coverage ratio as of April 26, 2014 was 56-to-1, and the ratio of interest-bearing debt to EBITDA as of November 1, 2014 was .04-to-1.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dividends have been declared: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Amount per</w:t>
            </w:r>
          </w:p>
        </w:tc>
        <w:tc>
          <w:tcPr>
            <w:tcW w:w="2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4"/>
        </w:trPr>
        <w:tc>
          <w:tcPr>
            <w:tcW w:w="22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Dividend Declaration</w:t>
            </w: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Share</w:t>
            </w:r>
          </w:p>
        </w:tc>
        <w:tc>
          <w:tcPr>
            <w:tcW w:w="2060" w:type="dxa"/>
            <w:vAlign w:val="bottom"/>
          </w:tcPr>
          <w:p>
            <w:pPr>
              <w:jc w:val="right"/>
              <w:ind w:right="710"/>
              <w:spacing w:after="0"/>
              <w:rPr>
                <w:sz w:val="20"/>
                <w:szCs w:val="20"/>
                <w:color w:val="auto"/>
              </w:rPr>
            </w:pPr>
            <w:r>
              <w:rPr>
                <w:rFonts w:ascii="Arial" w:cs="Arial" w:eastAsia="Arial" w:hAnsi="Arial"/>
                <w:sz w:val="18"/>
                <w:szCs w:val="18"/>
                <w:b w:val="1"/>
                <w:bCs w:val="1"/>
                <w:color w:val="auto"/>
              </w:rPr>
              <w:t>Record Date</w:t>
            </w: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Payment Date</w:t>
            </w:r>
          </w:p>
        </w:tc>
      </w:tr>
      <w:tr>
        <w:trPr>
          <w:trHeight w:val="27"/>
        </w:trPr>
        <w:tc>
          <w:tcPr>
            <w:tcW w:w="2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May 22, 2014</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$0.10</w:t>
            </w:r>
          </w:p>
        </w:tc>
        <w:tc>
          <w:tcPr>
            <w:tcW w:w="2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June 2, 2014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13, 2014</w:t>
            </w:r>
          </w:p>
        </w:tc>
      </w:tr>
      <w:tr>
        <w:trPr>
          <w:trHeight w:val="243"/>
        </w:trPr>
        <w:tc>
          <w:tcPr>
            <w:tcW w:w="1780" w:type="dxa"/>
            <w:vAlign w:val="bottom"/>
          </w:tcPr>
          <w:p>
            <w:pPr>
              <w:jc w:val="right"/>
              <w:spacing w:after="0"/>
              <w:rPr>
                <w:sz w:val="20"/>
                <w:szCs w:val="20"/>
                <w:color w:val="auto"/>
              </w:rPr>
            </w:pPr>
            <w:r>
              <w:rPr>
                <w:rFonts w:ascii="Arial" w:cs="Arial" w:eastAsia="Arial" w:hAnsi="Arial"/>
                <w:sz w:val="18"/>
                <w:szCs w:val="18"/>
                <w:color w:val="auto"/>
              </w:rPr>
              <w:t>September 4,</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$0.10</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September 15, 2014</w:t>
            </w:r>
          </w:p>
        </w:tc>
        <w:tc>
          <w:tcPr>
            <w:tcW w:w="1860" w:type="dxa"/>
            <w:vAlign w:val="bottom"/>
          </w:tcPr>
          <w:p>
            <w:pPr>
              <w:jc w:val="right"/>
              <w:spacing w:after="0"/>
              <w:rPr>
                <w:sz w:val="20"/>
                <w:szCs w:val="20"/>
                <w:color w:val="auto"/>
              </w:rPr>
            </w:pPr>
            <w:r>
              <w:rPr>
                <w:rFonts w:ascii="Arial" w:cs="Arial" w:eastAsia="Arial" w:hAnsi="Arial"/>
                <w:sz w:val="18"/>
                <w:szCs w:val="18"/>
                <w:color w:val="auto"/>
              </w:rPr>
              <w:t>September 26, 2014</w:t>
            </w:r>
          </w:p>
        </w:tc>
      </w:tr>
      <w:tr>
        <w:trPr>
          <w:trHeight w:val="27"/>
        </w:trPr>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$0.10</w:t>
            </w:r>
          </w:p>
        </w:tc>
        <w:tc>
          <w:tcPr>
            <w:tcW w:w="2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December 15, 2014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26, 2014</w:t>
            </w:r>
          </w:p>
        </w:tc>
      </w:tr>
      <w:tr>
        <w:trPr>
          <w:trHeight w:val="27"/>
        </w:trPr>
        <w:tc>
          <w:tcPr>
            <w:tcW w:w="1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for an aggregate of $150.0 million in bonded work outstanding. At November 1, 2014, we had $4.5 million of bonded work outstanding against this line.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November 1, 2014, most of our net sales were denominated in United States dollars, and our exposure to foreign currency exchange rate changes on net sales has not been significant. For the second quarter of fiscal 2015, net sales originating outside the United States were 20.2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$2.0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$11.1 million, and all contracts mature within fourteen months. These contracts are marked to market each balance sheet date and are not designated as hedges. See Note 13. Derivative Financial Instruments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November 1, 2014, our outstanding marketing obligations were $0.8 million, all of which were in fixed rate obligations.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November 1, 2014, our outstanding long-term receivables were $10.9 million. Each 25 basis point increase in interest rates would have an associated immaterial annual opportunity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$57.4 million in cash balances at November 1, 2014, $50.3 million was denominated in U.S.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November 1, 2014, which is the end of the period covered by this Report. Based upon that evaluation, the Chief Executive Officer and Chief Financial Officer concluded that as of November 1, 2014,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November 1, 2014,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26, 2014.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121" w:right="1440"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96"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w:t>
      </w:r>
    </w:p>
    <w:p>
      <w:pPr>
        <w:spacing w:after="0" w:line="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48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29"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10.1</w:t>
        <w:tab/>
        <w:t>Twelfth Amendment to Loan Agreement dated November 15, 2013 by and between the Company and U.S. Bank National Association (Incorporated by reference to Exhibit 10.1 filed with our Current Report on Form 8-K filed on November 18, 2013)</w:t>
      </w:r>
    </w:p>
    <w:p>
      <w:pPr>
        <w:spacing w:after="0" w:line="8" w:lineRule="exact"/>
        <w:rPr>
          <w:sz w:val="20"/>
          <w:szCs w:val="20"/>
          <w:color w:val="auto"/>
        </w:rPr>
      </w:pP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10.2</w:t>
        <w:tab/>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10.3</w:t>
        <w:tab/>
        <w:t>Fifth Amendment to Loan Agreement dated November 15, 2013 by and between the Company and Bank of America, N.A. (Incorporated by reference to Exhibit 10.3 filed with our Current Report on Form 8-K filed on November 18, 2013)</w:t>
      </w:r>
    </w:p>
    <w:p>
      <w:pPr>
        <w:spacing w:after="0" w:line="8" w:lineRule="exact"/>
        <w:rPr>
          <w:sz w:val="20"/>
          <w:szCs w:val="20"/>
          <w:color w:val="auto"/>
        </w:rPr>
      </w:pPr>
    </w:p>
    <w:p>
      <w:pPr>
        <w:ind w:left="600" w:right="220" w:hanging="566"/>
        <w:spacing w:after="0" w:line="298" w:lineRule="auto"/>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48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48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00" w:right="200" w:hanging="565"/>
        <w:spacing w:after="0" w:line="259"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November 1, 2014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940" w:hanging="301"/>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486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December 5,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10-Q on August 30, 2013).</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10.1</w:t>
        <w:tab/>
        <w:t>Twelfth Amendment to Loan Agreement dated November 15, 2013 by and between the Company and U.S. Bank National Association (Incorporated by reference to Exhibit 10.1 filed with our Current Report on Form 8-K filed on November 18, 2013)</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10.2</w:t>
        <w:tab/>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10.3</w:t>
        <w:tab/>
        <w:t>Fifth Amendment to Loan Agreement dated November 15, 2013 by and between the Company and Bank of America, N.A. (Incorporated by reference to Exhibit 10.3 filed with our Current Report on Form 8-K filed on November 18, 2013)</w:t>
      </w:r>
    </w:p>
    <w:p>
      <w:pPr>
        <w:spacing w:after="0" w:line="8" w:lineRule="exact"/>
        <w:rPr>
          <w:sz w:val="20"/>
          <w:szCs w:val="20"/>
          <w:color w:val="auto"/>
        </w:rPr>
      </w:pPr>
    </w:p>
    <w:p>
      <w:pPr>
        <w:ind w:left="620" w:right="40" w:hanging="580"/>
        <w:spacing w:after="0" w:line="298" w:lineRule="auto"/>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20" w:right="40" w:hanging="585"/>
        <w:spacing w:after="0" w:line="259"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November 1, 2014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080" w:hanging="367"/>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November 1, 2014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12/5/2014</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November 1, 2014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12/5/2014</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November 1, 2014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12/5/2014</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November 1, 2014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12/5/2014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lvl w:ilvl="1">
      <w:lvlJc w:val="left"/>
      <w:lvlText w:val="(%2)"/>
      <w:numFmt w:val="decimal"/>
      <w:start w:val="1"/>
    </w:lvl>
  </w:abstractNum>
  <w:abstractNum w:abstractNumId="10">
    <w:nsid w:val="3352255A"/>
    <w:multiLevelType w:val="hybridMultilevel"/>
    <w:lvl w:ilvl="0">
      <w:lvlJc w:val="left"/>
      <w:lvlText w:val="%1"/>
      <w:numFmt w:val="decimal"/>
      <w:start w:val="10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2019-12-06T10:19:26Z</dcterms:created>
  <dcterms:modified xsi:type="dcterms:W3CDTF">2019-12-06T10:19:26Z</dcterms:modified>
</cp:coreProperties>
</file>