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ind w:left="1900"/>
        <w:spacing w:after="0"/>
        <w:rPr>
          <w:sz w:val="20"/>
          <w:szCs w:val="20"/>
          <w:color w:val="auto"/>
        </w:rPr>
      </w:pPr>
      <w:r>
        <w:rPr>
          <w:rFonts w:ascii="Arial" w:cs="Arial" w:eastAsia="Arial" w:hAnsi="Arial"/>
          <w:sz w:val="18"/>
          <w:szCs w:val="18"/>
          <w:b w:val="1"/>
          <w:bCs w:val="1"/>
          <w:i w:val="1"/>
          <w:iCs w:val="1"/>
          <w:color w:val="auto"/>
        </w:rPr>
        <w:t>(Mark One)</w:t>
      </w:r>
    </w:p>
    <w:p>
      <w:pPr>
        <w:spacing w:after="0" w:line="225" w:lineRule="exact"/>
        <w:rPr>
          <w:sz w:val="24"/>
          <w:szCs w:val="24"/>
          <w:color w:val="auto"/>
        </w:rPr>
      </w:pPr>
    </w:p>
    <w:p>
      <w:pPr>
        <w:ind w:left="4660" w:right="1940" w:hanging="2331"/>
        <w:spacing w:after="0" w:line="519" w:lineRule="auto"/>
        <w:tabs>
          <w:tab w:leader="none" w:pos="275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REPORT PURSUANT TO SECTION 13 OR 15(d) OF THE SECURITIES </w:t>
      </w:r>
      <w:r>
        <w:rPr>
          <w:rFonts w:ascii="Arial" w:cs="Arial" w:eastAsia="Arial" w:hAnsi="Arial"/>
          <w:sz w:val="18"/>
          <w:szCs w:val="18"/>
          <w:b w:val="1"/>
          <w:bCs w:val="1"/>
          <w:color w:val="auto"/>
        </w:rPr>
        <w:t>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left="4660" w:right="1920" w:hanging="2525"/>
        <w:spacing w:after="0" w:line="501" w:lineRule="auto"/>
        <w:tabs>
          <w:tab w:leader="none" w:pos="232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ind w:left="3980"/>
        <w:spacing w:after="0"/>
        <w:rPr>
          <w:sz w:val="20"/>
          <w:szCs w:val="20"/>
          <w:color w:val="auto"/>
        </w:rPr>
      </w:pPr>
      <w:r>
        <w:rPr>
          <w:rFonts w:ascii="Arial" w:cs="Arial" w:eastAsia="Arial" w:hAnsi="Arial"/>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DAKTRONICS, INC.</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138430</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ectPr>
          <w:pgSz w:w="11900" w:h="16838" w:orient="portrait"/>
          <w:cols w:equalWidth="0" w:num="1">
            <w:col w:w="11220"/>
          </w:cols>
          <w:pgMar w:left="240" w:top="6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57006</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00" w:space="300"/>
            <w:col w:w="4320"/>
          </w:cols>
          <w:pgMar w:left="240" w:top="625" w:right="439" w:bottom="0" w:gutter="0" w:footer="0" w:header="0"/>
          <w:type w:val="continuous"/>
        </w:sectPr>
      </w:pP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656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8"/>
          <w:szCs w:val="18"/>
          <w:color w:val="auto"/>
        </w:rPr>
        <w:t>Yes [ X ] No [ ]</w:t>
      </w:r>
    </w:p>
    <w:p>
      <w:pPr>
        <w:sectPr>
          <w:pgSz w:w="11900" w:h="16838" w:orient="portrait"/>
          <w:cols w:equalWidth="0" w:num="1">
            <w:col w:w="11220"/>
          </w:cols>
          <w:pgMar w:left="240" w:top="625" w:right="439" w:bottom="0" w:gutter="0" w:footer="0" w:header="0"/>
          <w:type w:val="continuous"/>
        </w:sectPr>
      </w:pP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Exchange Act).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Yes [ X] No [ ]</w:t>
      </w:r>
    </w:p>
    <w:p>
      <w:pPr>
        <w:spacing w:after="0" w:line="200" w:lineRule="exact"/>
        <w:rPr>
          <w:sz w:val="24"/>
          <w:szCs w:val="24"/>
          <w:color w:val="auto"/>
        </w:rPr>
      </w:pPr>
    </w:p>
    <w:p>
      <w:pPr>
        <w:sectPr>
          <w:pgSz w:w="11900" w:h="16838" w:orient="portrait"/>
          <w:cols w:equalWidth="0" w:num="2">
            <w:col w:w="8300" w:space="720"/>
            <w:col w:w="2200"/>
          </w:cols>
          <w:pgMar w:left="240" w:top="625" w:right="439" w:bottom="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November 29, 2004 was 18,995,696.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DAKTRONICS, INC. AND SUBSIDIARIES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 10-Q</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Quarter Ended October 30, 2004</w:t>
      </w: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312"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84"/>
        </w:trPr>
        <w:tc>
          <w:tcPr>
            <w:tcW w:w="7180" w:type="dxa"/>
            <w:vAlign w:val="bottom"/>
            <w:gridSpan w:val="3"/>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SPECIAL NOTE REGARDING FORWARD–LOOKING STATEMENT</w:t>
              </w:r>
            </w:hyperlink>
          </w:p>
        </w:tc>
        <w:tc>
          <w:tcPr>
            <w:tcW w:w="236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439"/>
        </w:trPr>
        <w:tc>
          <w:tcPr>
            <w:tcW w:w="51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0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ectPr>
          <w:pgSz w:w="11900" w:h="16838" w:orient="portrait"/>
          <w:cols w:equalWidth="0" w:num="1">
            <w:col w:w="11220"/>
          </w:cols>
          <w:pgMar w:left="240" w:top="625"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8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
              <w:r>
                <w:rPr>
                  <w:rFonts w:ascii="Arial" w:cs="Arial" w:eastAsia="Arial" w:hAnsi="Arial"/>
                  <w:sz w:val="18"/>
                  <w:szCs w:val="18"/>
                  <w:color w:val="0000EE"/>
                  <w:w w:val="96"/>
                </w:rPr>
                <w:t>ITEM 1. FINANCIAL STATEMENTS</w:t>
              </w:r>
            </w:hyperlink>
          </w:p>
        </w:tc>
        <w:tc>
          <w:tcPr>
            <w:tcW w:w="5100" w:type="dxa"/>
            <w:vAlign w:val="bottom"/>
            <w:gridSpan w:val="11"/>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60" w:type="dxa"/>
            <w:vAlign w:val="bottom"/>
            <w:gridSpan w:val="1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OCTOBER 30, 2004 AND MAY 1, 2004</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INCOME FOR THE THREE AND SIX MONTHS ENDED</w:t>
              </w:r>
            </w:hyperlink>
          </w:p>
        </w:tc>
        <w:tc>
          <w:tcPr>
            <w:tcW w:w="164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OCTOBER 30, 2004 AND NOVEMBER 1, 2003</w:t>
              </w:r>
            </w:hyperlink>
          </w:p>
        </w:tc>
        <w:tc>
          <w:tcPr>
            <w:tcW w:w="3380" w:type="dxa"/>
            <w:vAlign w:val="bottom"/>
            <w:gridSpan w:val="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CASH FLOWS FOR THE SIX MONTHS ENDED</w:t>
              </w:r>
            </w:hyperlink>
          </w:p>
        </w:tc>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OCTOBER 30, 2004 AND NOVEMBER 1, 2003</w:t>
              </w:r>
            </w:hyperlink>
          </w:p>
        </w:tc>
        <w:tc>
          <w:tcPr>
            <w:tcW w:w="3380" w:type="dxa"/>
            <w:vAlign w:val="bottom"/>
            <w:gridSpan w:val="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NOTES TO THE CONSOLIDATED FINANCIAL STATEMENTS</w:t>
              </w:r>
            </w:hyperlink>
          </w:p>
        </w:tc>
        <w:tc>
          <w:tcPr>
            <w:tcW w:w="2300" w:type="dxa"/>
            <w:vAlign w:val="bottom"/>
            <w:gridSpan w:val="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39"/>
        </w:trPr>
        <w:tc>
          <w:tcPr>
            <w:tcW w:w="72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ITEM 2. MANAGEMENT'S DISCUSSION AND ANALYSIS OF FINANCIAL CONDITION AND</w:t>
              </w:r>
            </w:hyperlink>
          </w:p>
        </w:tc>
        <w:tc>
          <w:tcPr>
            <w:tcW w:w="68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RESULTS OF OPERATIONS</w:t>
              </w:r>
            </w:hyperlink>
          </w:p>
        </w:tc>
        <w:tc>
          <w:tcPr>
            <w:tcW w:w="4920" w:type="dxa"/>
            <w:vAlign w:val="bottom"/>
            <w:gridSpan w:val="10"/>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670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ITEM 3. QUANTITATIVE AND QUALITATIVE DISCLOSURES ABOUT MARKET RISK</w:t>
              </w:r>
            </w:hyperlink>
          </w:p>
        </w:tc>
        <w:tc>
          <w:tcPr>
            <w:tcW w:w="1200" w:type="dxa"/>
            <w:vAlign w:val="bottom"/>
            <w:gridSpan w:val="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2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
              <w:r>
                <w:rPr>
                  <w:rFonts w:ascii="Arial" w:cs="Arial" w:eastAsia="Arial" w:hAnsi="Arial"/>
                  <w:sz w:val="18"/>
                  <w:szCs w:val="18"/>
                  <w:color w:val="0000EE"/>
                  <w:w w:val="93"/>
                </w:rPr>
                <w:t>ITEM 4. CONTROLS AND PROCEDURES</w:t>
              </w:r>
            </w:hyperlink>
          </w:p>
        </w:tc>
        <w:tc>
          <w:tcPr>
            <w:tcW w:w="4660" w:type="dxa"/>
            <w:vAlign w:val="bottom"/>
            <w:gridSpan w:val="9"/>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39"/>
        </w:trPr>
        <w:tc>
          <w:tcPr>
            <w:tcW w:w="276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OTHER INFORMATION</w:t>
              </w:r>
            </w:hyperlink>
          </w:p>
        </w:tc>
        <w:tc>
          <w:tcPr>
            <w:tcW w:w="514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r>
      <w:tr>
        <w:trPr>
          <w:trHeight w:val="196"/>
        </w:trPr>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ITEM 1. LEGAL PROCEEDINGS</w:t>
              </w:r>
            </w:hyperlink>
          </w:p>
        </w:tc>
        <w:tc>
          <w:tcPr>
            <w:tcW w:w="5360" w:type="dxa"/>
            <w:vAlign w:val="bottom"/>
            <w:gridSpan w:val="1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790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UNREGISTERED SALES OF EQUITY SECURITIES AND USE OF PROCEEDS</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60" w:type="dxa"/>
            <w:vAlign w:val="bottom"/>
            <w:tcBorders>
              <w:top w:val="single" w:sz="8" w:color="0000EE"/>
            </w:tcBorders>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3.</w:t>
              </w:r>
            </w:hyperlink>
          </w:p>
        </w:tc>
        <w:tc>
          <w:tcPr>
            <w:tcW w:w="5960" w:type="dxa"/>
            <w:vAlign w:val="bottom"/>
            <w:tcBorders>
              <w:top w:val="single" w:sz="8" w:color="0000EE"/>
            </w:tcBorders>
            <w:gridSpan w:val="14"/>
          </w:tcPr>
          <w:p>
            <w:pPr>
              <w:ind w:left="4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DEFAULTS UPON SENIOR SECURITIES</w:t>
              </w:r>
            </w:hyperlink>
          </w:p>
        </w:tc>
        <w:tc>
          <w:tcPr>
            <w:tcW w:w="1280" w:type="dxa"/>
            <w:vAlign w:val="bottom"/>
            <w:gridSpan w:val="4"/>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6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5200" w:type="dxa"/>
            <w:vAlign w:val="bottom"/>
            <w:tcBorders>
              <w:bottom w:val="single" w:sz="8" w:color="0000EE"/>
            </w:tcBorders>
            <w:gridSpan w:val="13"/>
          </w:tcPr>
          <w:p>
            <w:pPr>
              <w:ind w:left="40"/>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SUBMISSION OF MATTERS TO A VOTE OF SECURITY HOLDERS</w:t>
              </w:r>
            </w:hyperlink>
          </w:p>
        </w:tc>
        <w:tc>
          <w:tcPr>
            <w:tcW w:w="2040" w:type="dxa"/>
            <w:vAlign w:val="bottom"/>
            <w:gridSpan w:val="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60" w:type="dxa"/>
            <w:vAlign w:val="bottom"/>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5.</w:t>
              </w:r>
            </w:hyperlink>
          </w:p>
        </w:tc>
        <w:tc>
          <w:tcPr>
            <w:tcW w:w="7240" w:type="dxa"/>
            <w:vAlign w:val="bottom"/>
            <w:gridSpan w:val="18"/>
          </w:tcPr>
          <w:p>
            <w:pPr>
              <w:ind w:left="4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60" w:type="dxa"/>
            <w:vAlign w:val="bottom"/>
            <w:tcBorders>
              <w:top w:val="single" w:sz="8" w:color="0000EE"/>
            </w:tcBorders>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6.</w:t>
              </w:r>
            </w:hyperlink>
          </w:p>
        </w:tc>
        <w:tc>
          <w:tcPr>
            <w:tcW w:w="1880" w:type="dxa"/>
            <w:vAlign w:val="bottom"/>
            <w:tcBorders>
              <w:top w:val="single" w:sz="8" w:color="0000EE"/>
            </w:tcBorders>
            <w:gridSpan w:val="5"/>
          </w:tcPr>
          <w:p>
            <w:pPr>
              <w:ind w:left="4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5360" w:type="dxa"/>
            <w:vAlign w:val="bottom"/>
            <w:gridSpan w:val="1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12"/>
        </w:trPr>
        <w:tc>
          <w:tcPr>
            <w:tcW w:w="11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4"/>
              </w:rPr>
              <w:t>SIGNATURES</w:t>
            </w:r>
          </w:p>
        </w:tc>
        <w:tc>
          <w:tcPr>
            <w:tcW w:w="360" w:type="dxa"/>
            <w:vAlign w:val="bottom"/>
            <w:tcBorders>
              <w:top w:val="single" w:sz="8" w:color="0000EE"/>
            </w:tcBorders>
          </w:tcPr>
          <w:p>
            <w:pPr>
              <w:spacing w:after="0"/>
              <w:rPr>
                <w:sz w:val="24"/>
                <w:szCs w:val="24"/>
                <w:color w:val="auto"/>
              </w:rPr>
            </w:pPr>
          </w:p>
        </w:tc>
        <w:tc>
          <w:tcPr>
            <w:tcW w:w="6400" w:type="dxa"/>
            <w:vAlign w:val="bottom"/>
            <w:gridSpan w:val="14"/>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Ex. 31.1</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EXECUTIVE OFFICER REQUIRED BY RULE 13a-14(a)</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OR RULE 15d-14(a) OF THE SECURITIES EXCHANGE ACT OF 1934,</w:t>
      </w:r>
    </w:p>
    <w:p>
      <w:pPr>
        <w:spacing w:after="0" w:line="9" w:lineRule="exact"/>
        <w:rPr>
          <w:sz w:val="20"/>
          <w:szCs w:val="20"/>
          <w:color w:val="auto"/>
        </w:rPr>
      </w:pPr>
    </w:p>
    <w:p>
      <w:pPr>
        <w:ind w:left="1580" w:right="3740" w:hanging="53"/>
        <w:spacing w:after="0" w:line="250" w:lineRule="auto"/>
        <w:rPr>
          <w:sz w:val="20"/>
          <w:szCs w:val="20"/>
          <w:color w:val="auto"/>
        </w:rPr>
      </w:pPr>
      <w:r>
        <w:rPr>
          <w:rFonts w:ascii="Arial" w:cs="Arial" w:eastAsia="Arial" w:hAnsi="Arial"/>
          <w:sz w:val="18"/>
          <w:szCs w:val="18"/>
          <w:color w:val="auto"/>
        </w:rPr>
        <w:t>AS ADOPTED PURSUANT TO SECTION 302 OF THE SARBANES-OXLEY ACT OF 2002</w:t>
      </w:r>
    </w:p>
    <w:p>
      <w:pPr>
        <w:spacing w:after="0" w:line="1" w:lineRule="exact"/>
        <w:rPr>
          <w:sz w:val="20"/>
          <w:szCs w:val="20"/>
          <w:color w:val="auto"/>
        </w:rPr>
      </w:pPr>
    </w:p>
    <w:p>
      <w:pPr>
        <w:jc w:val="both"/>
        <w:ind w:left="1520" w:right="3740" w:hanging="691"/>
        <w:spacing w:after="0" w:line="250" w:lineRule="auto"/>
        <w:rPr>
          <w:sz w:val="20"/>
          <w:szCs w:val="20"/>
          <w:color w:val="auto"/>
        </w:rPr>
      </w:pPr>
      <w:r>
        <w:rPr>
          <w:rFonts w:ascii="Arial" w:cs="Arial" w:eastAsia="Arial" w:hAnsi="Arial"/>
          <w:sz w:val="18"/>
          <w:szCs w:val="18"/>
          <w:u w:val="single" w:color="auto"/>
          <w:color w:val="0000EE"/>
        </w:rPr>
        <w:t>Ex. 31.2</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FINANCIAL OFFICER REQUIRED BY RULE</w:t>
      </w:r>
      <w:r>
        <w:rPr>
          <w:rFonts w:ascii="Arial" w:cs="Arial" w:eastAsia="Arial" w:hAnsi="Arial"/>
          <w:sz w:val="18"/>
          <w:szCs w:val="18"/>
          <w:color w:val="0000EE"/>
        </w:rPr>
        <w:t xml:space="preserve"> </w:t>
      </w:r>
      <w:r>
        <w:rPr>
          <w:rFonts w:ascii="Arial" w:cs="Arial" w:eastAsia="Arial" w:hAnsi="Arial"/>
          <w:sz w:val="18"/>
          <w:szCs w:val="18"/>
          <w:color w:val="000000"/>
        </w:rPr>
        <w:t>13a-14(a) OR RULE 15d-14(a) OF THE SECURITIES EXCHANGE ACT OF 1934, AS ADOPTED PURSUANT TO SECTION 302 OF THE SARBANES-OXLEY ACT OF 2002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Ex. 32.1</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EXECUTIVE OFFICER PURSUANT TO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Ex. 32.2</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FINANCIAL OFFICER PURSUANT TO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30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and those factors discussed in detail in our filings with the Securities and Exchange Commission, including in our Annual Report on Form 10-K for the fiscal year ended May 1, 2004 in the section entitled “Item F. Management’s Discussion and Analysis of Financial Condition and Results of Operations – Business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7"/>
        </w:trPr>
        <w:tc>
          <w:tcPr>
            <w:tcW w:w="63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5"/>
              </w:rPr>
              <w:t>October 30,</w:t>
            </w:r>
          </w:p>
        </w:tc>
        <w:tc>
          <w:tcPr>
            <w:tcW w:w="60" w:type="dxa"/>
            <w:vAlign w:val="bottom"/>
          </w:tcPr>
          <w:p>
            <w:pPr>
              <w:spacing w:after="0"/>
              <w:rPr>
                <w:sz w:val="12"/>
                <w:szCs w:val="12"/>
                <w:color w:val="auto"/>
              </w:rPr>
            </w:pPr>
          </w:p>
        </w:tc>
        <w:tc>
          <w:tcPr>
            <w:tcW w:w="660" w:type="dxa"/>
            <w:vAlign w:val="bottom"/>
          </w:tcPr>
          <w:p>
            <w:pPr>
              <w:jc w:val="center"/>
              <w:ind w:left="72"/>
              <w:spacing w:after="0" w:line="147" w:lineRule="exact"/>
              <w:rPr>
                <w:sz w:val="20"/>
                <w:szCs w:val="20"/>
                <w:color w:val="auto"/>
              </w:rPr>
            </w:pPr>
            <w:r>
              <w:rPr>
                <w:rFonts w:ascii="Arial" w:cs="Arial" w:eastAsia="Arial" w:hAnsi="Arial"/>
                <w:sz w:val="14"/>
                <w:szCs w:val="14"/>
                <w:b w:val="1"/>
                <w:bCs w:val="1"/>
                <w:color w:val="auto"/>
                <w:w w:val="93"/>
              </w:rPr>
              <w:t>May 1,</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680" w:type="dxa"/>
            <w:vAlign w:val="bottom"/>
          </w:tcPr>
          <w:p>
            <w:pPr>
              <w:jc w:val="center"/>
              <w:ind w:left="139"/>
              <w:spacing w:after="0" w:line="149" w:lineRule="exact"/>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2"/>
                <w:szCs w:val="12"/>
                <w:color w:val="auto"/>
              </w:rPr>
            </w:pPr>
          </w:p>
        </w:tc>
        <w:tc>
          <w:tcPr>
            <w:tcW w:w="720" w:type="dxa"/>
            <w:vAlign w:val="bottom"/>
            <w:gridSpan w:val="2"/>
          </w:tcPr>
          <w:p>
            <w:pPr>
              <w:jc w:val="center"/>
              <w:ind w:left="135"/>
              <w:spacing w:after="0" w:line="149" w:lineRule="exact"/>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174"/>
        </w:trPr>
        <w:tc>
          <w:tcPr>
            <w:tcW w:w="63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15"/>
                <w:szCs w:val="15"/>
                <w:color w:val="auto"/>
              </w:rPr>
            </w:pPr>
          </w:p>
        </w:tc>
        <w:tc>
          <w:tcPr>
            <w:tcW w:w="660" w:type="dxa"/>
            <w:vAlign w:val="bottom"/>
          </w:tcPr>
          <w:p>
            <w:pPr>
              <w:jc w:val="center"/>
              <w:ind w:left="72"/>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6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$ 17,832</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$ 16,255</w:t>
            </w:r>
          </w:p>
        </w:tc>
        <w:tc>
          <w:tcPr>
            <w:tcW w:w="0" w:type="dxa"/>
            <w:vAlign w:val="bottom"/>
          </w:tcPr>
          <w:p>
            <w:pPr>
              <w:spacing w:after="0"/>
              <w:rPr>
                <w:sz w:val="1"/>
                <w:szCs w:val="1"/>
                <w:color w:val="auto"/>
              </w:rPr>
            </w:pPr>
          </w:p>
        </w:tc>
      </w:tr>
      <w:tr>
        <w:trPr>
          <w:trHeight w:val="216"/>
        </w:trPr>
        <w:tc>
          <w:tcPr>
            <w:tcW w:w="632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of $1,202 at October 30, 2004 and $1,131 at May 1, 2004</w:t>
            </w:r>
          </w:p>
        </w:tc>
        <w:tc>
          <w:tcPr>
            <w:tcW w:w="680" w:type="dxa"/>
            <w:vAlign w:val="bottom"/>
          </w:tcPr>
          <w:p>
            <w:pPr>
              <w:jc w:val="right"/>
              <w:spacing w:after="0"/>
              <w:rPr>
                <w:sz w:val="20"/>
                <w:szCs w:val="20"/>
                <w:color w:val="auto"/>
              </w:rPr>
            </w:pPr>
            <w:r>
              <w:rPr>
                <w:rFonts w:ascii="Arial" w:cs="Arial" w:eastAsia="Arial" w:hAnsi="Arial"/>
                <w:sz w:val="18"/>
                <w:szCs w:val="18"/>
                <w:color w:val="auto"/>
              </w:rPr>
              <w:t>31,781</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680" w:type="dxa"/>
            <w:vAlign w:val="bottom"/>
          </w:tcPr>
          <w:p>
            <w:pPr>
              <w:jc w:val="right"/>
              <w:spacing w:after="0"/>
              <w:rPr>
                <w:sz w:val="20"/>
                <w:szCs w:val="20"/>
                <w:color w:val="auto"/>
              </w:rPr>
            </w:pPr>
            <w:r>
              <w:rPr>
                <w:rFonts w:ascii="Arial" w:cs="Arial" w:eastAsia="Arial" w:hAnsi="Arial"/>
                <w:sz w:val="18"/>
                <w:szCs w:val="18"/>
                <w:color w:val="auto"/>
              </w:rPr>
              <w:t>4,596</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680" w:type="dxa"/>
            <w:vAlign w:val="bottom"/>
          </w:tcPr>
          <w:p>
            <w:pPr>
              <w:jc w:val="right"/>
              <w:spacing w:after="0"/>
              <w:rPr>
                <w:sz w:val="20"/>
                <w:szCs w:val="20"/>
                <w:color w:val="auto"/>
              </w:rPr>
            </w:pPr>
            <w:r>
              <w:rPr>
                <w:rFonts w:ascii="Arial" w:cs="Arial" w:eastAsia="Arial" w:hAnsi="Arial"/>
                <w:sz w:val="18"/>
                <w:szCs w:val="18"/>
                <w:color w:val="auto"/>
              </w:rPr>
              <w:t>20,814</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680" w:type="dxa"/>
            <w:vAlign w:val="bottom"/>
          </w:tcPr>
          <w:p>
            <w:pPr>
              <w:jc w:val="right"/>
              <w:spacing w:after="0"/>
              <w:rPr>
                <w:sz w:val="20"/>
                <w:szCs w:val="20"/>
                <w:color w:val="auto"/>
              </w:rPr>
            </w:pPr>
            <w:r>
              <w:rPr>
                <w:rFonts w:ascii="Arial" w:cs="Arial" w:eastAsia="Arial" w:hAnsi="Arial"/>
                <w:sz w:val="18"/>
                <w:szCs w:val="18"/>
                <w:color w:val="auto"/>
              </w:rPr>
              <w:t>15,239</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12,862</w:t>
            </w:r>
          </w:p>
        </w:tc>
        <w:tc>
          <w:tcPr>
            <w:tcW w:w="0" w:type="dxa"/>
            <w:vAlign w:val="bottom"/>
          </w:tcPr>
          <w:p>
            <w:pPr>
              <w:spacing w:after="0"/>
              <w:rPr>
                <w:sz w:val="1"/>
                <w:szCs w:val="1"/>
                <w:color w:val="auto"/>
              </w:rPr>
            </w:pPr>
          </w:p>
        </w:tc>
      </w:tr>
      <w:tr>
        <w:trPr>
          <w:trHeight w:val="222"/>
        </w:trPr>
        <w:tc>
          <w:tcPr>
            <w:tcW w:w="632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bl>
    <w:p>
      <w:pPr>
        <w:sectPr>
          <w:pgSz w:w="11900" w:h="16838" w:orient="portrait"/>
          <w:cols w:equalWidth="0" w:num="1">
            <w:col w:w="11340"/>
          </w:cols>
          <w:pgMar w:left="240" w:top="108" w:right="3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Income tax receivable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Rental equipment available for sale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2,721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20" w:type="dxa"/>
            <w:vAlign w:val="bottom"/>
            <w:gridSpan w:val="2"/>
          </w:tcPr>
          <w:p>
            <w:pPr>
              <w:ind w:left="192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99,756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20" w:type="dxa"/>
            <w:vAlign w:val="bottom"/>
            <w:gridSpan w:val="2"/>
          </w:tcPr>
          <w:p>
            <w:pPr>
              <w:ind w:left="1740"/>
              <w:spacing w:after="0"/>
              <w:rPr>
                <w:sz w:val="20"/>
                <w:szCs w:val="20"/>
                <w:color w:val="auto"/>
              </w:rPr>
            </w:pPr>
            <w:r>
              <w:rPr>
                <w:rFonts w:ascii="Arial" w:cs="Arial" w:eastAsia="Arial" w:hAnsi="Arial"/>
                <w:sz w:val="18"/>
                <w:szCs w:val="18"/>
                <w:color w:val="auto"/>
              </w:rPr>
              <w:t>Advertising rights, net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Long term receivables, less current maturities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10,830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10,267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Goodwill, net of accumulated amortization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Intangible and other assets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14,808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20" w:type="dxa"/>
            <w:vAlign w:val="bottom"/>
            <w:gridSpan w:val="2"/>
            <w:vMerge w:val="restart"/>
          </w:tcPr>
          <w:p>
            <w:pPr>
              <w:ind w:left="1660"/>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Land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Buildings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13,023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Machinery and equipment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16,217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Office furniture and equipment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17,637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15,542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Rental displays and related equipment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Demonstration equipment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1740"/>
              <w:spacing w:after="0"/>
              <w:rPr>
                <w:sz w:val="20"/>
                <w:szCs w:val="20"/>
                <w:color w:val="auto"/>
              </w:rPr>
            </w:pPr>
            <w:r>
              <w:rPr>
                <w:rFonts w:ascii="Arial" w:cs="Arial" w:eastAsia="Arial" w:hAnsi="Arial"/>
                <w:sz w:val="18"/>
                <w:szCs w:val="18"/>
                <w:color w:val="auto"/>
              </w:rPr>
              <w:t>Transportation equipment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3,336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55,668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1920"/>
              <w:spacing w:after="0"/>
              <w:rPr>
                <w:sz w:val="20"/>
                <w:szCs w:val="20"/>
                <w:color w:val="auto"/>
              </w:rPr>
            </w:pPr>
            <w:r>
              <w:rPr>
                <w:rFonts w:ascii="Arial" w:cs="Arial" w:eastAsia="Arial" w:hAnsi="Arial"/>
                <w:sz w:val="18"/>
                <w:szCs w:val="18"/>
                <w:color w:val="auto"/>
              </w:rPr>
              <w:t>Less accumulated depreciation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28,168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27,500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$142,064</w:t>
            </w:r>
          </w:p>
        </w:tc>
        <w:tc>
          <w:tcPr>
            <w:tcW w:w="2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20" w:type="dxa"/>
            <w:vAlign w:val="bottom"/>
            <w:gridSpan w:val="2"/>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920" w:type="dxa"/>
            <w:vAlign w:val="bottom"/>
            <w:gridSpan w:val="2"/>
          </w:tcPr>
          <w:p>
            <w:pPr>
              <w:jc w:val="center"/>
              <w:ind w:left="3412"/>
              <w:spacing w:after="0"/>
              <w:rPr>
                <w:sz w:val="20"/>
                <w:szCs w:val="20"/>
                <w:color w:val="auto"/>
              </w:rPr>
            </w:pPr>
            <w:r>
              <w:rPr>
                <w:rFonts w:ascii="Arial" w:cs="Arial" w:eastAsia="Arial" w:hAnsi="Arial"/>
                <w:sz w:val="18"/>
                <w:szCs w:val="18"/>
                <w:b w:val="1"/>
                <w:bCs w:val="1"/>
                <w:color w:val="auto"/>
                <w:w w:val="97"/>
              </w:rPr>
              <w:t>DAKTRONICS, INC. AND SUBSIDIARIES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jc w:val="center"/>
              <w:ind w:left="3412"/>
              <w:spacing w:after="0"/>
              <w:rPr>
                <w:sz w:val="20"/>
                <w:szCs w:val="20"/>
                <w:color w:val="auto"/>
              </w:rPr>
            </w:pPr>
            <w:r>
              <w:rPr>
                <w:rFonts w:ascii="Arial" w:cs="Arial" w:eastAsia="Arial" w:hAnsi="Arial"/>
                <w:sz w:val="18"/>
                <w:szCs w:val="18"/>
                <w:b w:val="1"/>
                <w:bCs w:val="1"/>
                <w:color w:val="auto"/>
                <w:w w:val="95"/>
              </w:rPr>
              <w:t>CONSOLIDATED BALANCE SHEETS</w:t>
            </w:r>
            <w:r>
              <w:rPr>
                <w:rFonts w:ascii="Arial" w:cs="Arial" w:eastAsia="Arial" w:hAnsi="Arial"/>
                <w:sz w:val="18"/>
                <w:szCs w:val="18"/>
                <w:color w:val="auto"/>
                <w:w w:val="95"/>
              </w:rPr>
              <w:t>(continued)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jc w:val="center"/>
              <w:ind w:left="3372"/>
              <w:spacing w:after="0"/>
              <w:rPr>
                <w:sz w:val="20"/>
                <w:szCs w:val="20"/>
                <w:color w:val="auto"/>
              </w:rPr>
            </w:pPr>
            <w:r>
              <w:rPr>
                <w:rFonts w:ascii="Arial" w:cs="Arial" w:eastAsia="Arial" w:hAnsi="Arial"/>
                <w:sz w:val="18"/>
                <w:szCs w:val="18"/>
                <w:color w:val="auto"/>
                <w:w w:val="86"/>
              </w:rPr>
              <w:t>(in thousands, except share data)</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October 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vMerge w:val="restart"/>
          </w:tcPr>
          <w:p>
            <w:pPr>
              <w:jc w:val="center"/>
              <w:ind w:right="1760"/>
              <w:spacing w:after="0"/>
              <w:rPr>
                <w:sz w:val="20"/>
                <w:szCs w:val="20"/>
                <w:color w:val="auto"/>
              </w:rPr>
            </w:pPr>
            <w:r>
              <w:rPr>
                <w:rFonts w:ascii="Arial" w:cs="Arial" w:eastAsia="Arial" w:hAnsi="Arial"/>
                <w:sz w:val="14"/>
                <w:szCs w:val="14"/>
                <w:b w:val="1"/>
                <w:bCs w:val="1"/>
                <w:color w:val="auto"/>
                <w:w w:val="93"/>
              </w:rPr>
              <w:t>May 1,</w:t>
            </w:r>
          </w:p>
        </w:tc>
        <w:tc>
          <w:tcPr>
            <w:tcW w:w="0" w:type="dxa"/>
            <w:vAlign w:val="bottom"/>
          </w:tcPr>
          <w:p>
            <w:pPr>
              <w:spacing w:after="0"/>
              <w:rPr>
                <w:sz w:val="1"/>
                <w:szCs w:val="1"/>
                <w:color w:val="auto"/>
              </w:rPr>
            </w:pPr>
          </w:p>
        </w:tc>
      </w:tr>
      <w:tr>
        <w:trPr>
          <w:trHeight w:val="138"/>
        </w:trPr>
        <w:tc>
          <w:tcPr>
            <w:tcW w:w="7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89"/>
              </w:rPr>
              <w:t>2004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4"/>
          </w:tcPr>
          <w:p>
            <w:pPr>
              <w:jc w:val="center"/>
              <w:ind w:right="176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792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20" w:type="dxa"/>
            <w:vAlign w:val="bottom"/>
            <w:gridSpan w:val="2"/>
          </w:tcPr>
          <w:p>
            <w:pPr>
              <w:ind w:left="1660"/>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Notes payable, bank</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214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4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12,586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4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11,611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debt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1,181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marketing obligations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6,761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Customer deposits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2,829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tcPr>
          <w:p>
            <w:pPr>
              <w:jc w:val="right"/>
              <w:ind w:righ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20" w:type="dxa"/>
            <w:vAlign w:val="bottom"/>
            <w:gridSpan w:val="2"/>
          </w:tcPr>
          <w:p>
            <w:pPr>
              <w:ind w:left="192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38,852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35,297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20" w:type="dxa"/>
            <w:vAlign w:val="bottom"/>
            <w:gridSpan w:val="2"/>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1,148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660"/>
              <w:spacing w:after="0"/>
              <w:rPr>
                <w:sz w:val="20"/>
                <w:szCs w:val="20"/>
                <w:color w:val="auto"/>
              </w:rPr>
            </w:pPr>
            <w:r>
              <w:rPr>
                <w:rFonts w:ascii="Arial" w:cs="Arial" w:eastAsia="Arial" w:hAnsi="Arial"/>
                <w:sz w:val="18"/>
                <w:szCs w:val="18"/>
                <w:color w:val="auto"/>
              </w:rPr>
              <w:t>Long-term marketing obligations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350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660"/>
              <w:spacing w:after="0"/>
              <w:rPr>
                <w:sz w:val="20"/>
                <w:szCs w:val="20"/>
                <w:color w:val="auto"/>
              </w:rPr>
            </w:pPr>
            <w:r>
              <w:rPr>
                <w:rFonts w:ascii="Arial" w:cs="Arial" w:eastAsia="Arial" w:hAnsi="Arial"/>
                <w:sz w:val="18"/>
                <w:szCs w:val="18"/>
                <w:color w:val="auto"/>
              </w:rPr>
              <w:t>Deferred income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1,134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ind w:left="16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2,043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4,675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20" w:type="dxa"/>
            <w:vAlign w:val="bottom"/>
            <w:gridSpan w:val="2"/>
          </w:tcPr>
          <w:p>
            <w:pPr>
              <w:ind w:left="180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44,637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39,972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920" w:type="dxa"/>
            <w:vAlign w:val="bottom"/>
            <w:gridSpan w:val="2"/>
          </w:tcPr>
          <w:p>
            <w:pPr>
              <w:ind w:left="1660"/>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Common stock, no par value, authorized 60,000,000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840"/>
              <w:spacing w:after="0"/>
              <w:rPr>
                <w:sz w:val="20"/>
                <w:szCs w:val="20"/>
                <w:color w:val="auto"/>
              </w:rPr>
            </w:pPr>
            <w:r>
              <w:rPr>
                <w:rFonts w:ascii="Arial" w:cs="Arial" w:eastAsia="Arial" w:hAnsi="Arial"/>
                <w:sz w:val="18"/>
                <w:szCs w:val="18"/>
                <w:color w:val="auto"/>
              </w:rPr>
              <w:t>shares, 18,976,770 and 18,886,492 shares issued at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840"/>
              <w:spacing w:after="0"/>
              <w:rPr>
                <w:sz w:val="20"/>
                <w:szCs w:val="20"/>
                <w:color w:val="auto"/>
              </w:rPr>
            </w:pPr>
            <w:r>
              <w:rPr>
                <w:rFonts w:ascii="Arial" w:cs="Arial" w:eastAsia="Arial" w:hAnsi="Arial"/>
                <w:sz w:val="18"/>
                <w:szCs w:val="18"/>
                <w:color w:val="auto"/>
              </w:rPr>
              <w:t>October 30, 2004 and May 1, 2004, respectively</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16,898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16,406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2,274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6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77,897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67,677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ind w:left="1740"/>
              <w:spacing w:after="0"/>
              <w:rPr>
                <w:sz w:val="20"/>
                <w:szCs w:val="20"/>
                <w:color w:val="auto"/>
              </w:rPr>
            </w:pPr>
            <w:r>
              <w:rPr>
                <w:rFonts w:ascii="Arial" w:cs="Arial" w:eastAsia="Arial" w:hAnsi="Arial"/>
                <w:sz w:val="18"/>
                <w:szCs w:val="18"/>
                <w:color w:val="auto"/>
              </w:rPr>
              <w:t>Treasury stock, at cost, 19,680 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jc w:val="right"/>
              <w:ind w:right="17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920" w:type="dxa"/>
            <w:vAlign w:val="bottom"/>
            <w:gridSpan w:val="2"/>
          </w:tcPr>
          <w:p>
            <w:pPr>
              <w:ind w:left="1740"/>
              <w:spacing w:after="0"/>
              <w:rPr>
                <w:sz w:val="20"/>
                <w:szCs w:val="20"/>
                <w:color w:val="auto"/>
              </w:rPr>
            </w:pPr>
            <w:r>
              <w:rPr>
                <w:rFonts w:ascii="Arial" w:cs="Arial" w:eastAsia="Arial" w:hAnsi="Arial"/>
                <w:sz w:val="18"/>
                <w:szCs w:val="18"/>
                <w:color w:val="auto"/>
              </w:rPr>
              <w:t>Accumulated other comprehensive income (loss)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tcPr>
          <w:p>
            <w:pPr>
              <w:jc w:val="right"/>
              <w:ind w:right="17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97,427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86,264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gridSpan w:val="3"/>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$ 142,064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126,236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-6358255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-6358255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-6358255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-6358255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2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88"/>
              </w:rPr>
              <w:t>Three Months Ended</w:t>
            </w:r>
          </w:p>
        </w:tc>
        <w:tc>
          <w:tcPr>
            <w:tcW w:w="720" w:type="dxa"/>
            <w:vAlign w:val="bottom"/>
            <w:gridSpan w:val="2"/>
          </w:tcPr>
          <w:p>
            <w:pPr>
              <w:spacing w:after="0"/>
              <w:rPr>
                <w:sz w:val="14"/>
                <w:szCs w:val="14"/>
                <w:color w:val="auto"/>
              </w:rPr>
            </w:pPr>
          </w:p>
        </w:tc>
        <w:tc>
          <w:tcPr>
            <w:tcW w:w="7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74"/>
              </w:rPr>
              <w:t>October</w:t>
            </w: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tcPr>
          <w:p>
            <w:pPr>
              <w:spacing w:after="0"/>
              <w:rPr>
                <w:sz w:val="11"/>
                <w:szCs w:val="11"/>
                <w:color w:val="auto"/>
              </w:rPr>
            </w:pPr>
          </w:p>
        </w:tc>
        <w:tc>
          <w:tcPr>
            <w:tcW w:w="128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rPr>
              <w:t>October 30,</w:t>
            </w:r>
          </w:p>
        </w:tc>
        <w:tc>
          <w:tcPr>
            <w:tcW w:w="130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rPr>
              <w:t>November 1,</w:t>
            </w:r>
          </w:p>
        </w:tc>
        <w:tc>
          <w:tcPr>
            <w:tcW w:w="720" w:type="dxa"/>
            <w:vAlign w:val="bottom"/>
            <w:gridSpan w:val="2"/>
            <w:vMerge w:val="continue"/>
          </w:tcPr>
          <w:p>
            <w:pPr>
              <w:spacing w:after="0"/>
              <w:rPr>
                <w:sz w:val="11"/>
                <w:szCs w:val="11"/>
                <w:color w:val="auto"/>
              </w:rPr>
            </w:pPr>
          </w:p>
        </w:tc>
        <w:tc>
          <w:tcPr>
            <w:tcW w:w="5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30,</w:t>
            </w:r>
          </w:p>
        </w:tc>
        <w:tc>
          <w:tcPr>
            <w:tcW w:w="110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November 1,</w:t>
            </w:r>
          </w:p>
        </w:tc>
        <w:tc>
          <w:tcPr>
            <w:tcW w:w="0" w:type="dxa"/>
            <w:vAlign w:val="bottom"/>
          </w:tcPr>
          <w:p>
            <w:pPr>
              <w:spacing w:after="0"/>
              <w:rPr>
                <w:sz w:val="1"/>
                <w:szCs w:val="1"/>
                <w:color w:val="auto"/>
              </w:rPr>
            </w:pPr>
          </w:p>
        </w:tc>
      </w:tr>
      <w:tr>
        <w:trPr>
          <w:trHeight w:val="174"/>
        </w:trPr>
        <w:tc>
          <w:tcPr>
            <w:tcW w:w="2940" w:type="dxa"/>
            <w:vAlign w:val="bottom"/>
          </w:tcPr>
          <w:p>
            <w:pPr>
              <w:spacing w:after="0"/>
              <w:rPr>
                <w:sz w:val="15"/>
                <w:szCs w:val="15"/>
                <w:color w:val="auto"/>
              </w:rPr>
            </w:pPr>
          </w:p>
        </w:tc>
        <w:tc>
          <w:tcPr>
            <w:tcW w:w="104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940" w:type="dxa"/>
            <w:vAlign w:val="bottom"/>
          </w:tcPr>
          <w:p>
            <w:pPr>
              <w:spacing w:after="0"/>
              <w:rPr>
                <w:sz w:val="20"/>
                <w:szCs w:val="20"/>
                <w:color w:val="auto"/>
              </w:rPr>
            </w:pPr>
            <w:r>
              <w:rPr>
                <w:rFonts w:ascii="Arial" w:cs="Arial" w:eastAsia="Arial" w:hAnsi="Arial"/>
                <w:sz w:val="18"/>
                <w:szCs w:val="18"/>
                <w:color w:val="auto"/>
              </w:rPr>
              <w:t>Net sales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59,472</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58,307</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118,182</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107,224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39,478</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36,557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78,070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19,994</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21,750</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40,112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39,306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Selling</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7,348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6,447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14,727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2,214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4,833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8"/>
                <w:szCs w:val="18"/>
                <w:color w:val="auto"/>
              </w:rPr>
              <w:t>Product design and development</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2,862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12,425</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10,740</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24,660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21,496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7,569</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11,010</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15,452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before income taxes</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40" w:type="dxa"/>
            <w:vAlign w:val="bottom"/>
          </w:tcPr>
          <w:p>
            <w:pPr>
              <w:ind w:left="300"/>
              <w:spacing w:after="0"/>
              <w:rPr>
                <w:sz w:val="20"/>
                <w:szCs w:val="20"/>
                <w:color w:val="auto"/>
              </w:rPr>
            </w:pPr>
            <w:r>
              <w:rPr>
                <w:rFonts w:ascii="Arial" w:cs="Arial" w:eastAsia="Arial" w:hAnsi="Arial"/>
                <w:sz w:val="18"/>
                <w:szCs w:val="18"/>
                <w:b w:val="1"/>
                <w:bCs w:val="1"/>
                <w:color w:val="auto"/>
              </w:rPr>
              <w:t>and minority interest</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8,204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11,166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16,421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4,435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6,201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before minority</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40" w:type="dxa"/>
            <w:vAlign w:val="bottom"/>
          </w:tcPr>
          <w:p>
            <w:pPr>
              <w:ind w:left="300"/>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5,188</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6,731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10,220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100"/>
              <w:spacing w:after="0"/>
              <w:rPr>
                <w:sz w:val="20"/>
                <w:szCs w:val="20"/>
                <w:color w:val="auto"/>
              </w:rPr>
            </w:pPr>
            <w:r>
              <w:rPr>
                <w:rFonts w:ascii="Arial" w:cs="Arial" w:eastAsia="Arial" w:hAnsi="Arial"/>
                <w:sz w:val="18"/>
                <w:szCs w:val="18"/>
                <w:color w:val="auto"/>
              </w:rPr>
              <w:t>Minority interest in income of</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subsidiary</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income</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vMerge w:val="continue"/>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5,188</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6,669</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10,220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9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19"/>
                <w:szCs w:val="19"/>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40" w:type="dxa"/>
            <w:vAlign w:val="bottom"/>
          </w:tcPr>
          <w:p>
            <w:pPr>
              <w:ind w:left="10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-734695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-734695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-734695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-734695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-734695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-734695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-734695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-734695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-306070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-306070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-306070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-306070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-306070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-306070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-306070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-306070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620" w:type="dxa"/>
            <w:vAlign w:val="bottom"/>
          </w:tcPr>
          <w:p>
            <w:pPr>
              <w:ind w:left="200"/>
              <w:spacing w:after="0" w:line="129" w:lineRule="exact"/>
              <w:rPr>
                <w:sz w:val="20"/>
                <w:szCs w:val="20"/>
                <w:color w:val="auto"/>
              </w:rPr>
            </w:pPr>
            <w:r>
              <w:rPr>
                <w:rFonts w:ascii="Arial" w:cs="Arial" w:eastAsia="Arial" w:hAnsi="Arial"/>
                <w:sz w:val="14"/>
                <w:szCs w:val="14"/>
                <w:b w:val="1"/>
                <w:bCs w:val="1"/>
                <w:color w:val="auto"/>
                <w:w w:val="74"/>
              </w:rPr>
              <w:t>October</w:t>
            </w:r>
          </w:p>
        </w:tc>
        <w:tc>
          <w:tcPr>
            <w:tcW w:w="48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30,</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November</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78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10,220</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$ 10,977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provided by operating activities: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3,555</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(Gain) loss on sale of property and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Minority interest in income of subsidiary</w:t>
            </w:r>
          </w:p>
        </w:tc>
        <w:tc>
          <w:tcPr>
            <w:tcW w:w="620" w:type="dxa"/>
            <w:vAlign w:val="bottom"/>
          </w:tcPr>
          <w:p>
            <w:pPr>
              <w:spacing w:after="0"/>
              <w:rPr>
                <w:sz w:val="18"/>
                <w:szCs w:val="18"/>
                <w:color w:val="auto"/>
              </w:rPr>
            </w:pPr>
          </w:p>
        </w:tc>
        <w:tc>
          <w:tcPr>
            <w:tcW w:w="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2"/>
        </w:trPr>
        <w:tc>
          <w:tcPr>
            <w:tcW w:w="558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(6,229)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7,815</w:t>
            </w: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4" w:name="page5"/>
    <w:bookmarkEnd w:id="4"/>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(5,962)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(4,280)</w:t>
            </w:r>
          </w:p>
        </w:tc>
        <w:tc>
          <w:tcPr>
            <w:tcW w:w="0" w:type="dxa"/>
            <w:vAlign w:val="bottom"/>
          </w:tcPr>
          <w:p>
            <w:pPr>
              <w:spacing w:after="0"/>
              <w:rPr>
                <w:sz w:val="1"/>
                <w:szCs w:val="1"/>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(5,941)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(3,613)</w:t>
            </w:r>
          </w:p>
        </w:tc>
        <w:tc>
          <w:tcPr>
            <w:tcW w:w="0" w:type="dxa"/>
            <w:vAlign w:val="bottom"/>
          </w:tcPr>
          <w:p>
            <w:pPr>
              <w:spacing w:after="0"/>
              <w:rPr>
                <w:sz w:val="1"/>
                <w:szCs w:val="1"/>
                <w:color w:val="auto"/>
              </w:rPr>
            </w:pPr>
          </w:p>
        </w:tc>
      </w:tr>
      <w:tr>
        <w:trPr>
          <w:trHeight w:val="110"/>
        </w:trPr>
        <w:tc>
          <w:tcPr>
            <w:tcW w:w="46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Principal payments on long-term debt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(4,817)</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Payments on notes payable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Proceeds from issuance of long-term debt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(4,588)</w:t>
            </w: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Beginning</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16,255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ind w:left="100"/>
              <w:spacing w:after="0"/>
              <w:rPr>
                <w:sz w:val="20"/>
                <w:szCs w:val="20"/>
                <w:color w:val="auto"/>
              </w:rPr>
            </w:pPr>
            <w:r>
              <w:rPr>
                <w:rFonts w:ascii="Arial" w:cs="Arial" w:eastAsia="Arial" w:hAnsi="Arial"/>
                <w:sz w:val="18"/>
                <w:szCs w:val="18"/>
                <w:color w:val="auto"/>
              </w:rPr>
              <w:t>Ending</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17,832</w:t>
            </w:r>
          </w:p>
        </w:tc>
        <w:tc>
          <w:tcPr>
            <w:tcW w:w="1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12,095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Cash payments for: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Supplemental schedule of non-cash investing and</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80"/>
              <w:spacing w:after="0"/>
              <w:rPr>
                <w:sz w:val="20"/>
                <w:szCs w:val="20"/>
                <w:color w:val="auto"/>
              </w:rPr>
            </w:pPr>
            <w:r>
              <w:rPr>
                <w:rFonts w:ascii="Arial" w:cs="Arial" w:eastAsia="Arial" w:hAnsi="Arial"/>
                <w:sz w:val="18"/>
                <w:szCs w:val="18"/>
                <w:color w:val="auto"/>
              </w:rPr>
              <w:t>Tax benefits related to exercise of stock options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-1191895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-1191895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-1191895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-1191895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DAKTRONICS, INC. AND SUBSIDIARIES</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May 1, 2004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May 1, 2004,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consolidated financial statements include the accounts of our wholly owned subsidiaries, Daktronics GmbH, Star Circuits, Inc., Sports Link, Ltd., MSC Technologies, Inc. and Daktronics Canada, Inc. Investments in affiliates owned 50% or less are accounted for by the equity method. Intercompany balances and transactions have been eliminated in consolidation.</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Certain reclassifications have been made to the fiscal year 2004 financial statements to conform to the presentation used in the fiscal year 2005 financial statements. The reclassifications had no effect on shareholders’ equity or net income as previously reported.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1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u w:val="single" w:color="auto"/>
          <w:color w:val="auto"/>
        </w:rPr>
        <w:t>Stock based compensation.</w:t>
      </w:r>
      <w:r>
        <w:rPr>
          <w:rFonts w:ascii="Arial" w:cs="Arial" w:eastAsia="Arial" w:hAnsi="Arial"/>
          <w:sz w:val="18"/>
          <w:szCs w:val="18"/>
          <w:color w:val="auto"/>
        </w:rPr>
        <w:t xml:space="preserve"> At October 30, 2004, we had four stock-based employee compensation plans, which are described more fully in our Annual Report on Form 10-K. We account for these plans under the recognition and measurement principles of APB Opinion No. 25, “Accounting for Stock Issued to Employees</w:t>
      </w:r>
      <w:r>
        <w:rPr>
          <w:rFonts w:ascii="Arial" w:cs="Arial" w:eastAsia="Arial" w:hAnsi="Arial"/>
          <w:sz w:val="18"/>
          <w:szCs w:val="18"/>
          <w:i w:val="1"/>
          <w:iCs w:val="1"/>
          <w:color w:val="auto"/>
        </w:rPr>
        <w:t>”,</w:t>
      </w:r>
      <w:r>
        <w:rPr>
          <w:rFonts w:ascii="Arial" w:cs="Arial" w:eastAsia="Arial" w:hAnsi="Arial"/>
          <w:sz w:val="18"/>
          <w:szCs w:val="18"/>
          <w:color w:val="auto"/>
        </w:rPr>
        <w:t xml:space="preserve">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Statement of Financial Accounting Standards (“SFAS”) No. 123, “Accounting for Stock-Based Compensation,” to stock-based compensation.</w:t>
      </w:r>
    </w:p>
    <w:p>
      <w:pPr>
        <w:sectPr>
          <w:pgSz w:w="11900" w:h="16838" w:orient="portrait"/>
          <w:cols w:equalWidth="0" w:num="1">
            <w:col w:w="11420"/>
          </w:cols>
          <w:pgMar w:left="240" w:top="131" w:right="239" w:bottom="0" w:gutter="0" w:footer="0" w:header="0"/>
        </w:sectPr>
      </w:pPr>
    </w:p>
    <w:p>
      <w:pPr>
        <w:spacing w:after="0" w:line="329" w:lineRule="exact"/>
        <w:rPr>
          <w:sz w:val="20"/>
          <w:szCs w:val="20"/>
          <w:color w:val="auto"/>
        </w:rPr>
      </w:pPr>
    </w:p>
    <w:tbl>
      <w:tblPr>
        <w:tblLayout w:type="fixed"/>
        <w:tblInd w:w="39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4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86"/>
              </w:rPr>
              <w:t>Three Months Ended</w:t>
            </w:r>
          </w:p>
        </w:tc>
        <w:tc>
          <w:tcPr>
            <w:tcW w:w="600" w:type="dxa"/>
            <w:vAlign w:val="bottom"/>
          </w:tcPr>
          <w:p>
            <w:pPr>
              <w:spacing w:after="0"/>
              <w:rPr>
                <w:sz w:val="13"/>
                <w:szCs w:val="13"/>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Six Months Ended</w:t>
            </w:r>
          </w:p>
        </w:tc>
      </w:tr>
      <w:tr>
        <w:trPr>
          <w:trHeight w:val="129"/>
        </w:trPr>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78"/>
              </w:rPr>
              <w:t>October</w:t>
            </w:r>
          </w:p>
        </w:tc>
        <w:tc>
          <w:tcPr>
            <w:tcW w:w="5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30,</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November</w:t>
            </w:r>
          </w:p>
        </w:tc>
        <w:tc>
          <w:tcPr>
            <w:tcW w:w="24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85"/>
              </w:rPr>
              <w:t>1,</w:t>
            </w:r>
          </w:p>
        </w:tc>
        <w:tc>
          <w:tcPr>
            <w:tcW w:w="600" w:type="dxa"/>
            <w:vAlign w:val="bottom"/>
          </w:tcPr>
          <w:p>
            <w:pPr>
              <w:ind w:left="200"/>
              <w:spacing w:after="0" w:line="129" w:lineRule="exact"/>
              <w:rPr>
                <w:sz w:val="20"/>
                <w:szCs w:val="20"/>
                <w:color w:val="auto"/>
              </w:rPr>
            </w:pPr>
            <w:r>
              <w:rPr>
                <w:rFonts w:ascii="Arial" w:cs="Arial" w:eastAsia="Arial" w:hAnsi="Arial"/>
                <w:sz w:val="14"/>
                <w:szCs w:val="14"/>
                <w:b w:val="1"/>
                <w:bCs w:val="1"/>
                <w:color w:val="auto"/>
                <w:w w:val="70"/>
              </w:rPr>
              <w:t>October</w:t>
            </w:r>
          </w:p>
        </w:tc>
        <w:tc>
          <w:tcPr>
            <w:tcW w:w="46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30,</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November</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w:t>
            </w:r>
          </w:p>
        </w:tc>
      </w:tr>
      <w:tr>
        <w:trPr>
          <w:trHeight w:val="174"/>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95"/>
        </w:trPr>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bl>
    <w:p>
      <w:pPr>
        <w:sectPr>
          <w:pgSz w:w="11900" w:h="16838" w:orient="portrait"/>
          <w:cols w:equalWidth="0" w:num="1">
            <w:col w:w="11420"/>
          </w:cols>
          <w:pgMar w:left="240" w:top="131"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Net Income as reported</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5,188</w:t>
            </w:r>
          </w:p>
        </w:tc>
        <w:tc>
          <w:tcPr>
            <w:tcW w:w="3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6,669</w:t>
            </w:r>
          </w:p>
        </w:tc>
        <w:tc>
          <w:tcPr>
            <w:tcW w:w="2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10,220</w:t>
            </w:r>
          </w:p>
        </w:tc>
        <w:tc>
          <w:tcPr>
            <w:tcW w:w="3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10,977</w:t>
            </w: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Deduct: Total stock-based method</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employee compensation expense</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determined under fair value</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based method for all awards, net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rPr>
              <w:t>of related tax effects</w:t>
            </w:r>
          </w:p>
        </w:tc>
        <w:tc>
          <w:tcPr>
            <w:tcW w:w="2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4160" w:type="dxa"/>
            <w:vAlign w:val="bottom"/>
            <w:gridSpan w:val="2"/>
          </w:tcPr>
          <w:p>
            <w:pPr>
              <w:jc w:val="right"/>
              <w:ind w:right="35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9,941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10,766</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as reported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0.27</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0.59</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pro forma</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0.58</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Diluted – as reported</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0.55</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140"/>
              <w:spacing w:after="0"/>
              <w:rPr>
                <w:sz w:val="20"/>
                <w:szCs w:val="20"/>
                <w:color w:val="auto"/>
              </w:rPr>
            </w:pPr>
            <w:r>
              <w:rPr>
                <w:rFonts w:ascii="Arial" w:cs="Arial" w:eastAsia="Arial" w:hAnsi="Arial"/>
                <w:sz w:val="18"/>
                <w:szCs w:val="18"/>
                <w:color w:val="auto"/>
              </w:rPr>
              <w:t>Diluted – pro forma</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0.54</w:t>
            </w: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98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32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52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-880745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-880745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-880745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-880745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-880745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-880745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-880745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-880745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 xml:space="preserve"> In connection with certain sales of equipment, we have agreed to accept a specified level of recourse on the money owed by our customers to other financial institutions. At October 30, 2004 and at May 1, 2004, we were contingently liable on such recourse agreements in the amount of $250.</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are involved in various claims and legal actions arising in the ordinary course of business. In our opinion, based upon consultation with legal counsel, the ultimate disposition of these matters will not have a material adverse effect on our consolidated financial position.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for the six months ended October 30, 2004 consisted of the following:</w:t>
      </w:r>
    </w:p>
    <w:p>
      <w:pPr>
        <w:sectPr>
          <w:pgSz w:w="11900" w:h="16838" w:orient="portrait"/>
          <w:cols w:equalWidth="0" w:num="1">
            <w:col w:w="11420"/>
          </w:cols>
          <w:pgMar w:left="240" w:top="118" w:right="239" w:bottom="5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127"/>
        <w:spacing w:after="0" w:line="254" w:lineRule="auto"/>
        <w:rPr>
          <w:sz w:val="20"/>
          <w:szCs w:val="20"/>
          <w:color w:val="auto"/>
        </w:rPr>
      </w:pPr>
      <w:r>
        <w:rPr>
          <w:rFonts w:ascii="Arial" w:cs="Arial" w:eastAsia="Arial" w:hAnsi="Arial"/>
          <w:sz w:val="18"/>
          <w:szCs w:val="18"/>
          <w:color w:val="auto"/>
        </w:rPr>
        <w:t>Beginning accrued warranty costs Warranties issued during the period Settlements made during the period Changes in accrued warranty costs for pre-existing warranties during the period, including expirations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566"/>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11576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25" w:lineRule="exact"/>
        <w:rPr>
          <w:sz w:val="20"/>
          <w:szCs w:val="20"/>
          <w:color w:val="auto"/>
        </w:rPr>
      </w:pPr>
    </w:p>
    <w:p>
      <w:pPr>
        <w:ind w:left="1226" w:hanging="1226"/>
        <w:spacing w:after="0"/>
        <w:tabs>
          <w:tab w:leader="none" w:pos="1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4,184</w:t>
      </w:r>
    </w:p>
    <w:p>
      <w:pPr>
        <w:spacing w:after="0" w:line="15" w:lineRule="exact"/>
        <w:rPr>
          <w:rFonts w:ascii="Arial" w:cs="Arial" w:eastAsia="Arial" w:hAnsi="Arial"/>
          <w:sz w:val="18"/>
          <w:szCs w:val="18"/>
          <w:color w:val="auto"/>
        </w:rPr>
      </w:pPr>
    </w:p>
    <w:p>
      <w:pPr>
        <w:ind w:left="1226"/>
        <w:spacing w:after="0"/>
        <w:rPr>
          <w:rFonts w:ascii="Arial" w:cs="Arial" w:eastAsia="Arial" w:hAnsi="Arial"/>
          <w:sz w:val="18"/>
          <w:szCs w:val="18"/>
          <w:color w:val="auto"/>
        </w:rPr>
      </w:pPr>
      <w:r>
        <w:rPr>
          <w:rFonts w:ascii="Arial" w:cs="Arial" w:eastAsia="Arial" w:hAnsi="Arial"/>
          <w:sz w:val="18"/>
          <w:szCs w:val="18"/>
          <w:color w:val="auto"/>
        </w:rPr>
        <w:t>1,685</w:t>
      </w:r>
    </w:p>
    <w:p>
      <w:pPr>
        <w:spacing w:after="0" w:line="9" w:lineRule="exact"/>
        <w:rPr>
          <w:sz w:val="20"/>
          <w:szCs w:val="20"/>
          <w:color w:val="auto"/>
        </w:rPr>
      </w:pPr>
    </w:p>
    <w:p>
      <w:pPr>
        <w:jc w:val="right"/>
        <w:ind w:right="5060"/>
        <w:spacing w:after="0"/>
        <w:rPr>
          <w:sz w:val="20"/>
          <w:szCs w:val="20"/>
          <w:color w:val="auto"/>
        </w:rPr>
      </w:pPr>
      <w:r>
        <w:rPr>
          <w:rFonts w:ascii="Arial" w:cs="Arial" w:eastAsia="Arial" w:hAnsi="Arial"/>
          <w:sz w:val="18"/>
          <w:szCs w:val="18"/>
          <w:color w:val="auto"/>
        </w:rPr>
        <w:t>(2,087)</w:t>
      </w:r>
    </w:p>
    <w:p>
      <w:pPr>
        <w:spacing w:after="0" w:line="200" w:lineRule="exact"/>
        <w:rPr>
          <w:sz w:val="20"/>
          <w:szCs w:val="20"/>
          <w:color w:val="auto"/>
        </w:rPr>
      </w:pPr>
    </w:p>
    <w:p>
      <w:pPr>
        <w:spacing w:after="0" w:line="235" w:lineRule="exact"/>
        <w:rPr>
          <w:sz w:val="20"/>
          <w:szCs w:val="20"/>
          <w:color w:val="auto"/>
        </w:rPr>
      </w:pPr>
    </w:p>
    <w:p>
      <w:pPr>
        <w:ind w:left="1226"/>
        <w:spacing w:after="0"/>
        <w:rPr>
          <w:sz w:val="20"/>
          <w:szCs w:val="20"/>
          <w:color w:val="auto"/>
        </w:rPr>
      </w:pPr>
      <w:r>
        <w:rPr>
          <w:rFonts w:ascii="Arial" w:cs="Arial" w:eastAsia="Arial" w:hAnsi="Arial"/>
          <w:sz w:val="18"/>
          <w:szCs w:val="18"/>
          <w:color w:val="auto"/>
        </w:rPr>
        <w:t>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9" w:lineRule="exact"/>
        <w:rPr>
          <w:sz w:val="20"/>
          <w:szCs w:val="20"/>
          <w:color w:val="auto"/>
        </w:rPr>
      </w:pPr>
    </w:p>
    <w:p>
      <w:pPr>
        <w:ind w:left="1226" w:hanging="1226"/>
        <w:spacing w:after="0"/>
        <w:tabs>
          <w:tab w:leader="none" w:pos="1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4,887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11061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694"/>
            <w:col w:w="6746"/>
          </w:cols>
          <w:pgMar w:left="240" w:top="118" w:right="239" w:bottom="573" w:gutter="0" w:footer="0" w:header="0"/>
          <w:type w:val="continuous"/>
        </w:sectPr>
      </w:pPr>
    </w:p>
    <w:p>
      <w:pPr>
        <w:spacing w:after="0" w:line="268"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u w:val="single" w:color="auto"/>
          <w:color w:val="auto"/>
        </w:rPr>
        <w:t>Lease Commitments</w:t>
      </w:r>
      <w:r>
        <w:rPr>
          <w:rFonts w:ascii="Arial" w:cs="Arial" w:eastAsia="Arial" w:hAnsi="Arial"/>
          <w:sz w:val="18"/>
          <w:szCs w:val="18"/>
          <w:color w:val="auto"/>
        </w:rPr>
        <w:t>. We lease office space for various sales and service locations and various equipment, primarily office equipment. Rental expense for operating leases amounted to $514 and $596 for the six months ended October 30, 2004 and November 1, 2003, respectively. Future minimum payments under noncancelable operating leases, excluding executory costs such as management and maintenance fees, with initial or remaining terms of one year or more consisted of the following at October 30, 2004:</w:t>
      </w:r>
    </w:p>
    <w:p>
      <w:pPr>
        <w:spacing w:after="0" w:line="174" w:lineRule="exact"/>
        <w:rPr>
          <w:sz w:val="20"/>
          <w:szCs w:val="20"/>
          <w:color w:val="auto"/>
        </w:rPr>
      </w:pPr>
    </w:p>
    <w:tbl>
      <w:tblPr>
        <w:tblLayout w:type="fixed"/>
        <w:tblInd w:w="5420" w:type="dxa"/>
        <w:tblCellMar>
          <w:top w:w="0" w:type="dxa"/>
          <w:left w:w="0" w:type="dxa"/>
          <w:bottom w:w="0" w:type="dxa"/>
          <w:right w:w="0" w:type="dxa"/>
        </w:tblCellMar>
      </w:tblPr>
      <w:tr>
        <w:trPr>
          <w:trHeight w:val="207"/>
        </w:trPr>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Fiscal Year</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22"/>
        </w:trPr>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Thereafter</w:t>
            </w: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110"/>
        </w:trPr>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1,326</w:t>
            </w:r>
          </w:p>
        </w:tc>
      </w:tr>
      <w:tr>
        <w:trPr>
          <w:trHeight w:val="120"/>
        </w:trPr>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we commit to purchase inventory and advertising rights over periods that extend over a year. As of October 30, 2004, we were obligated to purchase inventory and advertising rights through fiscal year 2009 as follows:</w:t>
      </w:r>
    </w:p>
    <w:p>
      <w:pPr>
        <w:spacing w:after="0" w:line="163"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1,341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2,062</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476250</wp:posOffset>
            </wp:positionV>
            <wp:extent cx="725043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18" w:right="239" w:bottom="573" w:gutter="0" w:footer="0" w:header="0"/>
          <w:type w:val="continuous"/>
        </w:sectPr>
      </w:pPr>
    </w:p>
    <w:bookmarkStart w:id="6" w:name="page7"/>
    <w:bookmarkEnd w:id="6"/>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299"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January 2003, the FASB issued Interpretation No. 46, “Consolidation of Variable Interest Entities, an interpretation of Accounting Research Bulletin No. 51” (FIN No. 46). FIN No. 46 will be effective no later than the end of the first reporting period that ends after March 15, 2004. FIN No. 46 requires the consolidation of entities in which an enterprise absorbs a majority of the entity’s expected losses, receives a majority of the entity’s expected residual returns, or both, as a result of ownership, contractual or other financial interest in the entity. Currently, entities are generally consolidated by an enterprise when it has a controlling financial interest through ownership of a majority voting interest in the entity. The adoption of FIN No. 46 did not have a material impact on our net earnings, cash flows or financial position.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99"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w:t>
      </w:r>
    </w:p>
    <w:p>
      <w:pPr>
        <w:spacing w:after="0" w:line="186" w:lineRule="exact"/>
        <w:rPr>
          <w:sz w:val="20"/>
          <w:szCs w:val="20"/>
          <w:color w:val="auto"/>
        </w:rPr>
      </w:pPr>
    </w:p>
    <w:p>
      <w:pPr>
        <w:ind w:right="20" w:firstLine="395"/>
        <w:spacing w:after="0" w:line="314" w:lineRule="auto"/>
        <w:rPr>
          <w:sz w:val="20"/>
          <w:szCs w:val="20"/>
          <w:color w:val="auto"/>
        </w:rPr>
      </w:pPr>
      <w:r>
        <w:rPr>
          <w:rFonts w:ascii="Arial" w:cs="Arial" w:eastAsia="Arial" w:hAnsi="Arial"/>
          <w:sz w:val="15"/>
          <w:szCs w:val="15"/>
          <w:i w:val="1"/>
          <w:iCs w:val="1"/>
          <w:color w:val="auto"/>
        </w:rPr>
        <w:t xml:space="preserve">Long-term receivables and advertising rights: </w:t>
      </w:r>
      <w:r>
        <w:rPr>
          <w:rFonts w:ascii="Arial" w:cs="Arial" w:eastAsia="Arial" w:hAnsi="Arial"/>
          <w:sz w:val="15"/>
          <w:szCs w:val="15"/>
          <w:color w:val="auto"/>
        </w:rPr>
        <w:t>We occasionally sell and install our products at facilities in exchange for the rights to retain future advertising</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generated at the facility.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5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cases where we receive advertising rights, as opposed to just the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net of amortization, was $1,555 as of October 30, 2004 and $1,415 as of May 1, 2004.</w:t>
      </w:r>
    </w:p>
    <w:p>
      <w:pPr>
        <w:spacing w:after="0" w:line="225"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are deferred and recognized ratably as net sales over the term of the contracts, which varies from one to 10 years.</w:t>
      </w:r>
    </w:p>
    <w:p>
      <w:pPr>
        <w:spacing w:after="0" w:line="11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 Institute of Certified Public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as the services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We utilize derivative financial instruments to manage the economic impact of fluctuations in currency exchange rates on those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denominated in a currency other than our functional currency, which is the US dollar. This includes entering into currency forward contracts to manage these economic risks. As of January 1, 2001, we adopted SFAS No. 133, “Accounting for Derivative Instruments and Hedging Activities, as amended by SFAS No. 137 and SFAS No. 138. SFAS No. 133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 As of October 30, 2004, there were no derivatives outstanding. As of May 1, 2004, we had determined that the derivatives outstanding at that date, which consisted of foreign currency forward contracts that are intended to minimize our exposure on certain foreign currency transactions with notional amounts equal to our exposure on certain euro, Australian and Canadian currency denominated transactions, were not considered hedges. Therefore, they were recognized at fair value in the statement of financial condition, and the changes in fair value were recognized in other income, net. The fair value of these derivatives was included in prepaid expenses and other current assets in the statement of financial condition as of May 1, 2004.</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99"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6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three and six months ended October 30, 2004 and November 1, 2003 follows:</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5"/>
                <w:szCs w:val="15"/>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3700" w:type="dxa"/>
            <w:vAlign w:val="bottom"/>
            <w:vMerge w:val="restart"/>
          </w:tcPr>
          <w:p>
            <w:pPr>
              <w:spacing w:after="0"/>
              <w:rPr>
                <w:sz w:val="20"/>
                <w:szCs w:val="20"/>
                <w:color w:val="auto"/>
              </w:rPr>
            </w:pPr>
            <w:r>
              <w:rPr>
                <w:rFonts w:ascii="Arial" w:cs="Arial" w:eastAsia="Arial" w:hAnsi="Arial"/>
                <w:sz w:val="18"/>
                <w:szCs w:val="18"/>
                <w:color w:val="auto"/>
                <w:w w:val="99"/>
              </w:rPr>
              <w:t>For the three months ended October 30, 2004:</w:t>
            </w: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18,932,304</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1,247,612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20,179,916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8" w:orient="portrait"/>
          <w:cols w:equalWidth="0" w:num="1">
            <w:col w:w="11400"/>
          </w:cols>
          <w:pgMar w:left="240" w:top="125" w:right="25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3843020</wp:posOffset>
            </wp:positionH>
            <wp:positionV relativeFrom="page">
              <wp:posOffset>88900</wp:posOffset>
            </wp:positionV>
            <wp:extent cx="24136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1363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20" w:type="dxa"/>
            <w:vAlign w:val="bottom"/>
          </w:tcPr>
          <w:p>
            <w:pPr>
              <w:ind w:left="1660"/>
              <w:spacing w:after="0"/>
              <w:rPr>
                <w:sz w:val="20"/>
                <w:szCs w:val="20"/>
                <w:color w:val="auto"/>
              </w:rPr>
            </w:pPr>
            <w:r>
              <w:rPr>
                <w:rFonts w:ascii="Arial" w:cs="Arial" w:eastAsia="Arial" w:hAnsi="Arial"/>
                <w:sz w:val="18"/>
                <w:szCs w:val="18"/>
                <w:color w:val="auto"/>
              </w:rPr>
              <w:t>For the three months ended November 1, 2003:</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18,653,159</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20"/>
              <w:spacing w:after="0"/>
              <w:rPr>
                <w:sz w:val="20"/>
                <w:szCs w:val="20"/>
                <w:color w:val="auto"/>
              </w:rPr>
            </w:pPr>
            <w:r>
              <w:rPr>
                <w:rFonts w:ascii="Arial" w:cs="Arial" w:eastAsia="Arial" w:hAnsi="Arial"/>
                <w:sz w:val="18"/>
                <w:szCs w:val="18"/>
                <w:color w:val="auto"/>
              </w:rPr>
              <w:t>Exercise of stock options and warrants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1,150,668</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right"/>
              <w:ind w:right="17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19,803,827</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vMerge w:val="restart"/>
          </w:tcPr>
          <w:p>
            <w:pPr>
              <w:ind w:left="1660"/>
              <w:spacing w:after="0"/>
              <w:rPr>
                <w:sz w:val="20"/>
                <w:szCs w:val="20"/>
                <w:color w:val="auto"/>
              </w:rPr>
            </w:pPr>
            <w:r>
              <w:rPr>
                <w:rFonts w:ascii="Arial" w:cs="Arial" w:eastAsia="Arial" w:hAnsi="Arial"/>
                <w:sz w:val="18"/>
                <w:szCs w:val="18"/>
                <w:color w:val="auto"/>
              </w:rPr>
              <w:t>For the six months ended October 30, 2004:</w:t>
            </w: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18,910,705</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20"/>
              <w:spacing w:after="0"/>
              <w:rPr>
                <w:sz w:val="20"/>
                <w:szCs w:val="20"/>
                <w:color w:val="auto"/>
              </w:rPr>
            </w:pPr>
            <w:r>
              <w:rPr>
                <w:rFonts w:ascii="Arial" w:cs="Arial" w:eastAsia="Arial" w:hAnsi="Arial"/>
                <w:sz w:val="18"/>
                <w:szCs w:val="18"/>
                <w:color w:val="auto"/>
              </w:rPr>
              <w:t>Exercise of stock options and warrants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1,241,804</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right"/>
              <w:ind w:right="17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20,152,509</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vMerge w:val="restart"/>
          </w:tcPr>
          <w:p>
            <w:pPr>
              <w:ind w:left="1660"/>
              <w:spacing w:after="0"/>
              <w:rPr>
                <w:sz w:val="20"/>
                <w:szCs w:val="20"/>
                <w:color w:val="auto"/>
              </w:rPr>
            </w:pPr>
            <w:r>
              <w:rPr>
                <w:rFonts w:ascii="Arial" w:cs="Arial" w:eastAsia="Arial" w:hAnsi="Arial"/>
                <w:sz w:val="18"/>
                <w:szCs w:val="18"/>
                <w:color w:val="auto"/>
              </w:rPr>
              <w:t>For the six months ended November 1, 2003:</w:t>
            </w: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18,622,223</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20"/>
              <w:spacing w:after="0"/>
              <w:rPr>
                <w:sz w:val="20"/>
                <w:szCs w:val="20"/>
                <w:color w:val="auto"/>
              </w:rPr>
            </w:pPr>
            <w:r>
              <w:rPr>
                <w:rFonts w:ascii="Arial" w:cs="Arial" w:eastAsia="Arial" w:hAnsi="Arial"/>
                <w:sz w:val="18"/>
                <w:szCs w:val="18"/>
                <w:color w:val="auto"/>
              </w:rPr>
              <w:t>Exercise of stock options and warrants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1,182,077</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2"/>
          </w:tcPr>
          <w:p>
            <w:pPr>
              <w:jc w:val="right"/>
              <w:ind w:right="17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19,804,300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82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106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-2166620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-2166620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-2166620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-2166620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-2166620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-2166620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-1180465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-1180465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-1180465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-1180465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-1180465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-1180465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-194310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-194310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-194310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-194310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-194310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-194310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 — Adoption of SFAS No. 142</w:t>
      </w:r>
    </w:p>
    <w:p>
      <w:pPr>
        <w:spacing w:after="0" w:line="29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account for goodwill and other intangible assets in accordance with SFAS No. 142, and we complete an impairment analysis at least on an annual basis and more frequently if circumstances warrant.</w:t>
      </w:r>
    </w:p>
    <w:p>
      <w:pPr>
        <w:spacing w:after="0" w:line="186" w:lineRule="exact"/>
        <w:rPr>
          <w:sz w:val="20"/>
          <w:szCs w:val="20"/>
          <w:color w:val="auto"/>
        </w:rPr>
      </w:pPr>
    </w:p>
    <w:p>
      <w:pPr>
        <w:jc w:val="both"/>
        <w:ind w:right="80" w:firstLine="615"/>
        <w:spacing w:after="0" w:line="259" w:lineRule="auto"/>
        <w:rPr>
          <w:sz w:val="20"/>
          <w:szCs w:val="20"/>
          <w:color w:val="auto"/>
        </w:rPr>
      </w:pPr>
      <w:r>
        <w:rPr>
          <w:rFonts w:ascii="Arial" w:cs="Arial" w:eastAsia="Arial" w:hAnsi="Arial"/>
          <w:sz w:val="18"/>
          <w:szCs w:val="18"/>
          <w:color w:val="auto"/>
        </w:rPr>
        <w:t>Goodwill, net of accumulated amortization, was $1,522 at October 30, 2004 and $1,411 at May 1, 2004. Accumulated amortization was $169 at October 30, 2004 and $125 at May 1, 2004. We performed our annual impairment analysis of goodwill as of November 1, 2004. The result of this analysis indicated that no goodwill impairment existed as of that date.</w:t>
      </w:r>
    </w:p>
    <w:p>
      <w:pPr>
        <w:spacing w:after="0" w:line="194"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required by SFAS No. 142, intangibles with finite lives continue to be amortized. Included in intangible assets are a non-compete agreement and a patent license. Intangible assets before accumulated amortization were $550 at October 30, 2004 and at May 1, 2004, respectively. Accumulated amortization was $503 and $483 at October 30, 2004 and May 1, 2004, respectively. The net value of intangible assets is included as a component of intangible and other assets in the accompanying consolidated balance sheets. Estimated amortization expense based on intangibles as of May 1, 2004 is $40 and $26 for the fiscal years 2005 and 2006,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October 30,</w:t>
            </w:r>
          </w:p>
        </w:tc>
        <w:tc>
          <w:tcPr>
            <w:tcW w:w="380" w:type="dxa"/>
            <w:vAlign w:val="bottom"/>
          </w:tcPr>
          <w:p>
            <w:pPr>
              <w:spacing w:after="0"/>
              <w:rPr>
                <w:sz w:val="14"/>
                <w:szCs w:val="14"/>
                <w:color w:val="auto"/>
              </w:rPr>
            </w:pPr>
          </w:p>
        </w:tc>
        <w:tc>
          <w:tcPr>
            <w:tcW w:w="1260" w:type="dxa"/>
            <w:vAlign w:val="bottom"/>
          </w:tcPr>
          <w:p>
            <w:pPr>
              <w:jc w:val="right"/>
              <w:ind w:right="499"/>
              <w:spacing w:after="0"/>
              <w:rPr>
                <w:sz w:val="20"/>
                <w:szCs w:val="20"/>
                <w:color w:val="auto"/>
              </w:rPr>
            </w:pPr>
            <w:r>
              <w:rPr>
                <w:rFonts w:ascii="Arial" w:cs="Arial" w:eastAsia="Arial" w:hAnsi="Arial"/>
                <w:sz w:val="14"/>
                <w:szCs w:val="14"/>
                <w:b w:val="1"/>
                <w:bCs w:val="1"/>
                <w:color w:val="auto"/>
              </w:rPr>
              <w:t>May 1,</w:t>
            </w:r>
          </w:p>
        </w:tc>
      </w:tr>
      <w:tr>
        <w:trPr>
          <w:trHeight w:val="174"/>
        </w:trPr>
        <w:tc>
          <w:tcPr>
            <w:tcW w:w="3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79"/>
              <w:spacing w:after="0"/>
              <w:rPr>
                <w:sz w:val="20"/>
                <w:szCs w:val="20"/>
                <w:color w:val="auto"/>
              </w:rPr>
            </w:pPr>
            <w:r>
              <w:rPr>
                <w:rFonts w:ascii="Arial" w:cs="Arial" w:eastAsia="Arial" w:hAnsi="Arial"/>
                <w:sz w:val="14"/>
                <w:szCs w:val="14"/>
                <w:b w:val="1"/>
                <w:bCs w:val="1"/>
                <w:color w:val="auto"/>
              </w:rPr>
              <w:t>2004</w:t>
            </w:r>
          </w:p>
        </w:tc>
      </w:tr>
      <w:tr>
        <w:trPr>
          <w:trHeight w:val="95"/>
        </w:trPr>
        <w:tc>
          <w:tcPr>
            <w:tcW w:w="3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r>
      <w:tr>
        <w:trPr>
          <w:trHeight w:val="309"/>
        </w:trPr>
        <w:tc>
          <w:tcPr>
            <w:tcW w:w="3840" w:type="dxa"/>
            <w:vAlign w:val="bottom"/>
          </w:tcPr>
          <w:p>
            <w:pPr>
              <w:spacing w:after="0"/>
              <w:rPr>
                <w:sz w:val="20"/>
                <w:szCs w:val="20"/>
                <w:color w:val="auto"/>
              </w:rPr>
            </w:pPr>
            <w:r>
              <w:rPr>
                <w:rFonts w:ascii="Arial" w:cs="Arial" w:eastAsia="Arial" w:hAnsi="Arial"/>
                <w:sz w:val="18"/>
                <w:szCs w:val="18"/>
                <w:color w:val="auto"/>
              </w:rPr>
              <w:t>Raw Materials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9,269</w:t>
            </w:r>
          </w:p>
        </w:tc>
        <w:tc>
          <w:tcPr>
            <w:tcW w:w="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6,952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6,599</w:t>
            </w:r>
          </w:p>
        </w:tc>
      </w:tr>
      <w:tr>
        <w:trPr>
          <w:trHeight w:val="110"/>
        </w:trPr>
        <w:tc>
          <w:tcPr>
            <w:tcW w:w="3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384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20,814</w:t>
            </w:r>
          </w:p>
        </w:tc>
        <w:tc>
          <w:tcPr>
            <w:tcW w:w="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16,604</w:t>
            </w:r>
          </w:p>
        </w:tc>
      </w:tr>
      <w:tr>
        <w:trPr>
          <w:trHeight w:val="120"/>
        </w:trPr>
        <w:tc>
          <w:tcPr>
            <w:tcW w:w="38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312"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do not manage our business by solution or focus area.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United States</w:t>
            </w:r>
          </w:p>
        </w:tc>
        <w:tc>
          <w:tcPr>
            <w:tcW w:w="2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gridSpan w:val="2"/>
          </w:tcPr>
          <w:p>
            <w:pPr>
              <w:jc w:val="right"/>
              <w:ind w:right="3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920" w:type="dxa"/>
            <w:vAlign w:val="bottom"/>
            <w:vMerge w:val="restart"/>
          </w:tcPr>
          <w:p>
            <w:pPr>
              <w:ind w:left="360"/>
              <w:spacing w:after="0"/>
              <w:rPr>
                <w:sz w:val="20"/>
                <w:szCs w:val="20"/>
                <w:color w:val="auto"/>
              </w:rPr>
            </w:pPr>
            <w:r>
              <w:rPr>
                <w:rFonts w:ascii="Arial" w:cs="Arial" w:eastAsia="Arial" w:hAnsi="Arial"/>
                <w:sz w:val="18"/>
                <w:szCs w:val="18"/>
                <w:color w:val="auto"/>
              </w:rPr>
              <w:t>Net sales for the six months ended:</w:t>
            </w: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20"/>
              <w:spacing w:after="0"/>
              <w:rPr>
                <w:sz w:val="20"/>
                <w:szCs w:val="20"/>
                <w:color w:val="auto"/>
              </w:rPr>
            </w:pPr>
            <w:r>
              <w:rPr>
                <w:rFonts w:ascii="Arial" w:cs="Arial" w:eastAsia="Arial" w:hAnsi="Arial"/>
                <w:sz w:val="18"/>
                <w:szCs w:val="18"/>
                <w:color w:val="auto"/>
              </w:rPr>
              <w:t>October 30, 2004</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107,206</w:t>
            </w:r>
          </w:p>
        </w:tc>
        <w:tc>
          <w:tcPr>
            <w:tcW w:w="1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10,976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118,182</w:t>
            </w:r>
          </w:p>
        </w:tc>
        <w:tc>
          <w:tcPr>
            <w:tcW w:w="0" w:type="dxa"/>
            <w:vAlign w:val="bottom"/>
          </w:tcPr>
          <w:p>
            <w:pPr>
              <w:spacing w:after="0"/>
              <w:rPr>
                <w:sz w:val="1"/>
                <w:szCs w:val="1"/>
                <w:color w:val="auto"/>
              </w:rPr>
            </w:pPr>
          </w:p>
        </w:tc>
      </w:tr>
      <w:tr>
        <w:trPr>
          <w:trHeight w:val="222"/>
        </w:trPr>
        <w:tc>
          <w:tcPr>
            <w:tcW w:w="4920" w:type="dxa"/>
            <w:vAlign w:val="bottom"/>
          </w:tcPr>
          <w:p>
            <w:pPr>
              <w:ind w:left="620"/>
              <w:spacing w:after="0"/>
              <w:rPr>
                <w:sz w:val="20"/>
                <w:szCs w:val="20"/>
                <w:color w:val="auto"/>
              </w:rPr>
            </w:pPr>
            <w:r>
              <w:rPr>
                <w:rFonts w:ascii="Arial" w:cs="Arial" w:eastAsia="Arial" w:hAnsi="Arial"/>
                <w:sz w:val="18"/>
                <w:szCs w:val="18"/>
                <w:color w:val="auto"/>
              </w:rPr>
              <w:t>November 1, 2003</w:t>
            </w:r>
          </w:p>
        </w:tc>
        <w:tc>
          <w:tcPr>
            <w:tcW w:w="900" w:type="dxa"/>
            <w:vAlign w:val="bottom"/>
          </w:tcPr>
          <w:p>
            <w:pPr>
              <w:jc w:val="right"/>
              <w:spacing w:after="0"/>
              <w:rPr>
                <w:sz w:val="20"/>
                <w:szCs w:val="20"/>
                <w:color w:val="auto"/>
              </w:rPr>
            </w:pPr>
            <w:r>
              <w:rPr>
                <w:rFonts w:ascii="Arial" w:cs="Arial" w:eastAsia="Arial" w:hAnsi="Arial"/>
                <w:sz w:val="18"/>
                <w:szCs w:val="18"/>
                <w:color w:val="auto"/>
              </w:rPr>
              <w:t>92,042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107,224</w:t>
            </w:r>
          </w:p>
        </w:tc>
        <w:tc>
          <w:tcPr>
            <w:tcW w:w="0" w:type="dxa"/>
            <w:vAlign w:val="bottom"/>
          </w:tcPr>
          <w:p>
            <w:pPr>
              <w:spacing w:after="0"/>
              <w:rPr>
                <w:sz w:val="1"/>
                <w:szCs w:val="1"/>
                <w:color w:val="auto"/>
              </w:rPr>
            </w:pPr>
          </w:p>
        </w:tc>
      </w:tr>
      <w:tr>
        <w:trPr>
          <w:trHeight w:val="426"/>
        </w:trPr>
        <w:tc>
          <w:tcPr>
            <w:tcW w:w="4920" w:type="dxa"/>
            <w:vAlign w:val="bottom"/>
          </w:tcPr>
          <w:p>
            <w:pPr>
              <w:ind w:left="360"/>
              <w:spacing w:after="0"/>
              <w:rPr>
                <w:sz w:val="20"/>
                <w:szCs w:val="20"/>
                <w:color w:val="auto"/>
              </w:rPr>
            </w:pPr>
            <w:r>
              <w:rPr>
                <w:rFonts w:ascii="Arial" w:cs="Arial" w:eastAsia="Arial" w:hAnsi="Arial"/>
                <w:sz w:val="18"/>
                <w:szCs w:val="18"/>
                <w:color w:val="auto"/>
              </w:rPr>
              <w:t>Long-lived assets at: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20"/>
              <w:spacing w:after="0"/>
              <w:rPr>
                <w:sz w:val="20"/>
                <w:szCs w:val="20"/>
                <w:color w:val="auto"/>
              </w:rPr>
            </w:pPr>
            <w:r>
              <w:rPr>
                <w:rFonts w:ascii="Arial" w:cs="Arial" w:eastAsia="Arial" w:hAnsi="Arial"/>
                <w:sz w:val="18"/>
                <w:szCs w:val="18"/>
                <w:color w:val="auto"/>
              </w:rPr>
              <w:t>October 30, 2004</w:t>
            </w:r>
          </w:p>
        </w:tc>
        <w:tc>
          <w:tcPr>
            <w:tcW w:w="900" w:type="dxa"/>
            <w:vAlign w:val="bottom"/>
          </w:tcPr>
          <w:p>
            <w:pPr>
              <w:jc w:val="right"/>
              <w:spacing w:after="0"/>
              <w:rPr>
                <w:sz w:val="20"/>
                <w:szCs w:val="20"/>
                <w:color w:val="auto"/>
              </w:rPr>
            </w:pPr>
            <w:r>
              <w:rPr>
                <w:rFonts w:ascii="Arial" w:cs="Arial" w:eastAsia="Arial" w:hAnsi="Arial"/>
                <w:sz w:val="18"/>
                <w:szCs w:val="18"/>
                <w:color w:val="auto"/>
              </w:rPr>
              <w:t>26,682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22"/>
        </w:trPr>
        <w:tc>
          <w:tcPr>
            <w:tcW w:w="4920" w:type="dxa"/>
            <w:vAlign w:val="bottom"/>
          </w:tcPr>
          <w:p>
            <w:pPr>
              <w:ind w:left="620"/>
              <w:spacing w:after="0"/>
              <w:rPr>
                <w:sz w:val="20"/>
                <w:szCs w:val="20"/>
                <w:color w:val="auto"/>
              </w:rPr>
            </w:pPr>
            <w:r>
              <w:rPr>
                <w:rFonts w:ascii="Arial" w:cs="Arial" w:eastAsia="Arial" w:hAnsi="Arial"/>
                <w:sz w:val="18"/>
                <w:szCs w:val="18"/>
                <w:color w:val="auto"/>
              </w:rPr>
              <w:t>November 1, 2003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24,511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25,096</w:t>
            </w:r>
          </w:p>
        </w:tc>
        <w:tc>
          <w:tcPr>
            <w:tcW w:w="0" w:type="dxa"/>
            <w:vAlign w:val="bottom"/>
          </w:tcPr>
          <w:p>
            <w:pPr>
              <w:spacing w:after="0"/>
              <w:rPr>
                <w:sz w:val="1"/>
                <w:szCs w:val="1"/>
                <w:color w:val="auto"/>
              </w:rPr>
            </w:pPr>
          </w:p>
        </w:tc>
      </w:tr>
      <w:tr>
        <w:trPr>
          <w:trHeight w:val="107"/>
        </w:trPr>
        <w:tc>
          <w:tcPr>
            <w:tcW w:w="4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920" w:type="dxa"/>
            <w:vAlign w:val="bottom"/>
            <w:shd w:val="clear" w:color="auto" w:fill="808080"/>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348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6" w:right="239" w:bottom="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Equipment Held for Sale</w:t>
      </w:r>
    </w:p>
    <w:p>
      <w:pPr>
        <w:sectPr>
          <w:pgSz w:w="11900" w:h="16838" w:orient="portrait"/>
          <w:cols w:equalWidth="0" w:num="1">
            <w:col w:w="11420"/>
          </w:cols>
          <w:pgMar w:left="240" w:top="266" w:right="239" w:bottom="0" w:gutter="0" w:footer="0" w:header="0"/>
          <w:type w:val="continuous"/>
        </w:sectPr>
      </w:pPr>
    </w:p>
    <w:bookmarkStart w:id="8" w:name="page9"/>
    <w:bookmarkEnd w:id="8"/>
    <w:p>
      <w:pPr>
        <w:ind w:right="6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74"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During the second quarter of fiscal year 2005, we entered into a plan to sell the rental equipment owned by a wholly owned subsidiary to allow us to focus more on sales of our new line of ProTour™ displays and to provide deeper support of the display rental market. As a result, this equipment was classified in the balance sheet as rental equipment held for sale, and based on our analysis of recoverability, no loss has been recognized related to the equipment, in accordance with SFAS No. 144.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geographical regions, markets and products. The primary categories of markets include sport, commercial and transportation.</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7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2005 and 2004 each contain 52 weeks.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our notes to the consolidated financial statements, which are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estimatable.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As of October 30, 2004, we had an allowance for doubtful accounts balance of approximately $1.2 million.</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created a reserve for warranties on our products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As of October 30, 2004, we had a total of approximately $4.9 million reserved for these costs.</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We have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As of October 30, 2004, approximately $0.04 million in additional expense was provided for. In determining if additional reserves are necessary, we examine cost trends on the contracts and other information and compare that to the deferred revenue.</w:t>
      </w:r>
    </w:p>
    <w:p>
      <w:pPr>
        <w:sectPr>
          <w:pgSz w:w="11900" w:h="16838" w:orient="portrait"/>
          <w:cols w:equalWidth="0" w:num="1">
            <w:col w:w="11400"/>
          </w:cols>
          <w:pgMar w:left="240" w:top="131" w:right="259" w:bottom="0" w:gutter="0" w:footer="0" w:header="0"/>
        </w:sectPr>
      </w:pPr>
    </w:p>
    <w:bookmarkStart w:id="9" w:name="page10"/>
    <w:bookmarkEnd w:id="9"/>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 that market may not exceed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(i.e.,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All other inventory is valued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86"/>
              </w:rPr>
              <w:t>Three Months Ended</w:t>
            </w:r>
          </w:p>
        </w:tc>
        <w:tc>
          <w:tcPr>
            <w:tcW w:w="600" w:type="dxa"/>
            <w:vAlign w:val="bottom"/>
          </w:tcPr>
          <w:p>
            <w:pPr>
              <w:spacing w:after="0"/>
              <w:rPr>
                <w:sz w:val="14"/>
                <w:szCs w:val="14"/>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78"/>
              </w:rPr>
              <w:t>October</w:t>
            </w:r>
          </w:p>
        </w:tc>
        <w:tc>
          <w:tcPr>
            <w:tcW w:w="5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30,</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November</w:t>
            </w:r>
          </w:p>
        </w:tc>
        <w:tc>
          <w:tcPr>
            <w:tcW w:w="24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85"/>
              </w:rPr>
              <w:t>1,</w:t>
            </w:r>
          </w:p>
        </w:tc>
        <w:tc>
          <w:tcPr>
            <w:tcW w:w="600" w:type="dxa"/>
            <w:vAlign w:val="bottom"/>
          </w:tcPr>
          <w:p>
            <w:pPr>
              <w:ind w:left="200"/>
              <w:spacing w:after="0" w:line="129" w:lineRule="exact"/>
              <w:rPr>
                <w:sz w:val="20"/>
                <w:szCs w:val="20"/>
                <w:color w:val="auto"/>
              </w:rPr>
            </w:pPr>
            <w:r>
              <w:rPr>
                <w:rFonts w:ascii="Arial" w:cs="Arial" w:eastAsia="Arial" w:hAnsi="Arial"/>
                <w:sz w:val="14"/>
                <w:szCs w:val="14"/>
                <w:b w:val="1"/>
                <w:bCs w:val="1"/>
                <w:color w:val="auto"/>
                <w:w w:val="70"/>
              </w:rPr>
              <w:t>October</w:t>
            </w:r>
          </w:p>
        </w:tc>
        <w:tc>
          <w:tcPr>
            <w:tcW w:w="46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30,</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November</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74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112"/>
              <w:spacing w:after="0"/>
              <w:rPr>
                <w:sz w:val="20"/>
                <w:szCs w:val="20"/>
                <w:color w:val="auto"/>
              </w:rPr>
            </w:pPr>
            <w:r>
              <w:rPr>
                <w:rFonts w:ascii="Arial" w:cs="Arial" w:eastAsia="Arial" w:hAnsi="Arial"/>
                <w:sz w:val="18"/>
                <w:szCs w:val="18"/>
                <w:color w:val="auto"/>
              </w:rPr>
              <w:t>(0.2%)</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9"/>
                <w:szCs w:val="19"/>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8"/>
                <w:szCs w:val="18"/>
                <w:color w:val="auto"/>
              </w:rPr>
              <w:t>Income before income taxes and</w:t>
            </w: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minority interest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Minority interest in income of subsidiary</w:t>
            </w:r>
          </w:p>
        </w:tc>
        <w:tc>
          <w:tcPr>
            <w:tcW w:w="560" w:type="dxa"/>
            <w:vAlign w:val="bottom"/>
          </w:tcPr>
          <w:p>
            <w:pPr>
              <w:spacing w:after="0"/>
              <w:rPr>
                <w:sz w:val="19"/>
                <w:szCs w:val="19"/>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Net sales increased 10.2% to $118.2 million for six months ended October 30, 2004 as compared to $107.2 million for the same period in fiscal year 2004. Net sales increased 2.0% to $59.5 million for the quarter ended October 30, 2004 as compared to $58.3 million for the same period in fiscal year 2004. For the quarter ended October 30, 2004, net sales increased in the commercial and transportation market but decreased in the sports market. Net sales for the quarter were up domestically and down on an international basis. As a percent of overall net sales, standard product orders were approximately 30% of net sales for the second quarter of fiscal year 2005 as compared to approximately 28% for the second quarter of fiscal year 2004. For the six months ended October 30, 2004, net sales were up in the commercial market and relatively flat in the sports and transportation markets as compared to the first six months of fiscal year 2004.</w:t>
      </w:r>
    </w:p>
    <w:p>
      <w:pPr>
        <w:spacing w:after="0" w:line="174" w:lineRule="exact"/>
        <w:rPr>
          <w:sz w:val="20"/>
          <w:szCs w:val="20"/>
          <w:color w:val="auto"/>
        </w:rPr>
      </w:pPr>
    </w:p>
    <w:p>
      <w:pPr>
        <w:ind w:right="320" w:firstLine="348"/>
        <w:spacing w:after="0" w:line="255" w:lineRule="auto"/>
        <w:rPr>
          <w:sz w:val="20"/>
          <w:szCs w:val="20"/>
          <w:color w:val="auto"/>
        </w:rPr>
      </w:pPr>
      <w:r>
        <w:rPr>
          <w:rFonts w:ascii="Arial" w:cs="Arial" w:eastAsia="Arial" w:hAnsi="Arial"/>
          <w:sz w:val="18"/>
          <w:szCs w:val="18"/>
          <w:color w:val="auto"/>
        </w:rPr>
        <w:t>Within the sports markets, the decline in net sales in the second quarter of fiscal year 2005 as compared to the second quarter of fiscal year 2004 was the result of a decline in our international business and a decline in net sales for professional sports facilities within the United States. The decline in professional sports facilities was due to the decline in new systems for professional football teams as compared to last year. Offsetting this decline was a double-digit percentage increase in domestic sales in both mid-sized institutions, such as colleges and universities, and small facilities, such as high schools and recreation centers.</w:t>
      </w:r>
    </w:p>
    <w:p>
      <w:pPr>
        <w:spacing w:after="0" w:line="197"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growth in the smaller and mid-sized facilities portion of the sports market includes higher sales of both standard products and custom display systems and is due to opportunities for additional displays in facilities and the expanding markets for our products. In addition, we benefit from our network of sales and service offices throughout the country, giving us the ability to serve our customers more effectively, which enhances sales. We believe that the effects of the economy have a lesser impact on our sports market as compared to our other markets, since our products are generally revenue generation tools (through advertising) for facilities and the sports business in general is more resistant to negative factors in the economy as a whole. Finally, as mentioned in previous filings, the changes in the competitiveness of the video display portion of our business has stabilized in terms of who the competitors are, and we believe that we are back to more historical competitive environments as compared to the two prior fiscal years, in which the competition was less aggressive.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Net sales internationally were down for the second quarter and year to date in fiscal year 2005 as compared to the same periods in fiscal year 2004. We believe this is a reflection of the inherent volatility of large orders and the timing of when orders are booked, and over the next quarter we expect our international business to continue to be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terms of orders in the sports markets, generally the same factors noted above relating to net sales cause similar changes in components of order bookings, although timing of large orders tends to cause differing short term results. For the second quarter of fiscal year 2005, order bookings were up by double-digit percentages in all three components of our sports business. We had strong performances in professional sports and mid-sized institutions as compared to the same periods one year ago. It is important to note, however, that early in the third quarter of fiscal year 2004, we booked two very large orders for major league baseball facilities. We believe that the growth in the sports market over the long-term is driven by new product development,new uses for existing products, an expanding market as our products become more affordable to more institutions growth internationally, and our overall product offerings, which we believe are the most complete systems in the marketplace.</w:t>
      </w:r>
    </w:p>
    <w:p>
      <w:pPr>
        <w:spacing w:after="0" w:line="172" w:lineRule="exact"/>
        <w:rPr>
          <w:sz w:val="20"/>
          <w:szCs w:val="20"/>
          <w:color w:val="auto"/>
        </w:rPr>
      </w:pPr>
    </w:p>
    <w:p>
      <w:pPr>
        <w:jc w:val="both"/>
        <w:ind w:right="60" w:firstLine="392"/>
        <w:spacing w:after="0" w:line="259" w:lineRule="auto"/>
        <w:rPr>
          <w:sz w:val="20"/>
          <w:szCs w:val="20"/>
          <w:color w:val="auto"/>
        </w:rPr>
      </w:pPr>
      <w:r>
        <w:rPr>
          <w:rFonts w:ascii="Arial" w:cs="Arial" w:eastAsia="Arial" w:hAnsi="Arial"/>
          <w:sz w:val="18"/>
          <w:szCs w:val="18"/>
          <w:color w:val="auto"/>
        </w:rPr>
        <w:t>We also expect that net sales in professional sports facilities will be down for fiscal year 2005 as compared to fiscal year 2004 as a result of a lower number of expected new and renovated facilities, although it's possible that this could change. We expect net sales in the small and mid-sized sports facilities to be higher for the entire fiscal year.</w:t>
      </w:r>
    </w:p>
    <w:p>
      <w:pPr>
        <w:sectPr>
          <w:pgSz w:w="11900" w:h="16838" w:orient="portrait"/>
          <w:cols w:equalWidth="0" w:num="1">
            <w:col w:w="11400"/>
          </w:cols>
          <w:pgMar w:left="240" w:top="131" w:right="259" w:bottom="0" w:gutter="0" w:footer="0" w:header="0"/>
        </w:sectPr>
      </w:pPr>
    </w:p>
    <w:bookmarkStart w:id="10" w:name="page11"/>
    <w:bookmarkEnd w:id="10"/>
    <w:p>
      <w:pPr>
        <w:ind w:right="40" w:firstLine="351"/>
        <w:spacing w:after="0" w:line="290" w:lineRule="auto"/>
        <w:rPr>
          <w:sz w:val="20"/>
          <w:szCs w:val="20"/>
          <w:color w:val="auto"/>
        </w:rPr>
      </w:pPr>
      <w:r>
        <w:rPr>
          <w:rFonts w:ascii="Arial" w:cs="Arial" w:eastAsia="Arial" w:hAnsi="Arial"/>
          <w:sz w:val="16"/>
          <w:szCs w:val="16"/>
          <w:color w:val="auto"/>
        </w:rPr>
        <w:t>Net sales in the commercial market grew significantly during the second quarter and first six months of fiscal year 2005 and year to date as compared to the same periods of fiscal year 2004. Sales of custom video systems and standard products were both strong. The growing acceptance of our standard Galaxy® display product line, sales to national account customers and an increasing demand for large video systems continues to fuel growth as well as the improved economic conditions and the greater acceptance of LED technologies for advertising. This portion of our business has experienced the greatest percentage growth as compared to our sports and transportation markets. On an international basis, sales were up for the quarter and year to date as compared to the last fiscal year, mostly due to the sales in the Middle East, where we have been awarded orders for video systems. Sales in other parts of the world in general are down, however, which we attribute more to the inherent volatility of large orders.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Order bookings in the commercial market were also up significantly for the second quarter of fiscal year 2005 and year to date as compared to the same periods of fiscal year 2004. Although sales and orders in the commercial market depend to a large degree on current economic conditions, we have been able to grow the business due to our product offerings and growing acceptance and demand for the products, our international expansion, our network of sales and service offices throughout the country, the development of resellers, primarily in the United States, and the integrated offerings we provide. As we continue to penetrate the opportunities in the commercial market, including national accounts and business outside of the United States, and further develop our regional sales force, we expect the trend of increasing standard order volume and large video systems to continue double-digit percentage growth rates.</w:t>
      </w:r>
    </w:p>
    <w:p>
      <w:pPr>
        <w:spacing w:after="0" w:line="174"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Net sales in the transportation markets increased slightly during the second quarter of fiscal year 2005 as compared to the same period of fiscal 2004 primarily as a result of the strong order bookings in the preceding quarter. For the six months ended October 30, 2004, net sales in the transportation market remained down slightly. Overall order bookings in the transportation market were down for the quarter as compared to the same quarter one year ago, but year to date, they remain up slightly. We expect that for fiscal year 2005, the transportation market will increase as compared to fiscal year 2004 in orders and net sales.</w:t>
      </w:r>
    </w:p>
    <w:p>
      <w:pPr>
        <w:spacing w:after="0" w:line="152"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occasionally sell products in exchange for the advertising revenues generated from use of products. These sales represented 2.6% and 1.4% of net sales for the second quarter and six months ended October 30, 2004. The gross profit percent on these transactions have typically been higher than the gross profit percent on other transactions of similar size, although the selling expenses associated with these transactions are typically higher.</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order backlog as of October 30, 2004 was approximately $50 million as compared to $39 million as of November 1, 2003 and $58 million at the beginning of the second quarter of fiscal year 2005. Historically, our backlog varies due to the timing of large orders. The percentage increase in backlog for the second quarter of fiscal year 2005 was primarily concentrated in the commercial and transportation markets. The sports market backlog was also up as compared to the end of the second quarter of fiscal year 2004. As compared to the beginning of the second quarter of fiscal year 2005, the backlog declined in the sports and transportation market and increased in the commercial market, the sixth consecutive quarter of increases for that portion of our business. The changes were the result of the combination of the changes in orders and net sales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Gross profit decreased 8.1% to $20.0 million for the second quarter of fiscal 2005 as compared to $21.8 million for the second quarter of fiscal year 2004. For the six months ended October 30, 2004, gross profit increased 2.1% to $40.1 million compared to $39.3 million for the six months ended November 1, 2003. As a percent of net sales, gross profit was 33.6% and 33.9% for three and six months ended October 30, 2004 as compared to 37.3% and 36.7% for the three and six months ended November 1, 2003. The gross margin percentage declined in the second quarter of fiscal 2005 as compared to the second quarter of fiscal year 2004 due to decreased effects of the contribution provided by raw materials price declines, the decline in on-site favorable variances, higher freight costs, and the overall competitive environment. These effects were offset partially by a number of positive factors, including effective execution by our engineering and manufacturing staffs on newly designed products and existing products and an improved mix between higher margin standard products and large contracts. We strive towards higher gross margins, as a percent of net sales, although depending on the actual mix, performance on larger projects and level of future sales, margin percentages may not increase and are likely to decrease from the levels of last fiscal year and the current quarter. We expect that margins will be lower throughout the rest of the fiscal year consistent with statements made in our Annual Report on Form 10-K for fiscal year 2004.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 product design and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approximately 15.7% from $10.7 million in the second quarter of fiscal year 2004 to $12.4 million in the second quarter of fiscal year 2005. As a percent of net sales, operating expenses increased from 18.4% of net sales to 20.9% of net sales. For the six months ended October 30, 2004, operating expenses increased 14.7% from $21.5 million for the six months ended November 1, 2003 to $24.7 million for the six months ended October 30, 2004.</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 related costs, travel and entertainment expense, facilities-related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service offices, and expenditures for marketing efforts, including collateral materials, conventions and trade shows, product demos and supplies.</w:t>
      </w:r>
    </w:p>
    <w:p>
      <w:pPr>
        <w:spacing w:after="0" w:line="139"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Selling expenses increased 14.0% to $7.3 million for three months ended October 30, 2004 as compared to $6.4 million for the same period in fiscal year 2004. Selling expenses increased 14.4% to $14.7 million for the six months ended October 30, 2004 from $12.9 million for the same period in fiscal year 2004. Selling expenses increased to 12.4% of net sales for the second quarter of fiscal year 2005 from 11.1% of net sales for the second quarter of fiscal year 2004. For the six months ended October 30, 2004, selling expenses were 12.5% of net sales as compared to 12.0% of net sales for the six months ended November 1, 2003.</w:t>
      </w:r>
    </w:p>
    <w:p>
      <w:pPr>
        <w:spacing w:after="0" w:line="15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Selling expenses for the quarter and the six months ended October 30, 2004 were higher as a result of an increase in personnel costs as the Company continued to build its sales infrastructure in line with the expectations for growth in net sales, higher travel and entertainment costs due to the increased level of net sales, higher convention costs, higher marketing support costs, costs associated with building the international business and commission expense. These increases were partially offset by lower bad debt expenses. We expect selling expense to increase slightly each quarter for the rest of the fiscal year; however, as a percentage of net sales, selling expenses for the year are expected to be at or lower than the level achieved for all of fiscal year 2004.</w:t>
      </w:r>
    </w:p>
    <w:p>
      <w:pPr>
        <w:spacing w:after="0" w:line="17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 related costs for administration departments, amortization of intangibles and supplies.</w:t>
      </w:r>
    </w:p>
    <w:p>
      <w:pPr>
        <w:spacing w:after="0" w:line="139"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General and administrative expenses were $2.2 million for the second quarter of fiscal year 2005 and the same period in fiscal year 2004. General and administrative expenses increased 11.5% to $4.8 million for the six months ended October 30, 2004 as compared to $4.3 million for the first six months ended November 1, 2003. General and administrative expenses decreased to 3.7% as a percent of net sales for the second quarter of fiscal year 2005 from 3.8% of net sales for the second quarter of fiscal year 2004. For the six months ended October 30, 2004, general and administrative expenses were 4.1% of net sales as compared to 4.0% of net sales for the six months ended November 1, 2003.</w:t>
      </w:r>
    </w:p>
    <w:p>
      <w:pPr>
        <w:sectPr>
          <w:pgSz w:w="11900" w:h="16838" w:orient="portrait"/>
          <w:cols w:equalWidth="0" w:num="1">
            <w:col w:w="11400"/>
          </w:cols>
          <w:pgMar w:left="240" w:top="131" w:right="259" w:bottom="0" w:gutter="0" w:footer="0" w:header="0"/>
        </w:sectPr>
      </w:pPr>
    </w:p>
    <w:bookmarkStart w:id="11" w:name="page12"/>
    <w:bookmarkEnd w:id="11"/>
    <w:p>
      <w:pPr>
        <w:ind w:right="120" w:firstLine="34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45085"/>
                    </a:xfrm>
                    <a:prstGeom prst="rect">
                      <a:avLst/>
                    </a:prstGeom>
                    <a:noFill/>
                  </pic:spPr>
                </pic:pic>
              </a:graphicData>
            </a:graphic>
          </wp:anchor>
        </w:drawing>
        <w:t>The increase for the first six months of fiscal year 2005 as compared to the second quarter of fiscal year 2004 was due to increases in personnel costs due to our growth, information systems maintenance and support costs, supplies costs and training costs. These increases were offset by lower professional fees, shareholder relations costs and equipment rental costs arising due to purchasing of equipment previously subject to rental arrangements. We expect that general and administrative costs will increase throughout the rest of the fiscal year on a per quarter basis and that the costs in the second quarter of fiscal year 2005 were lower than expected due to fluctuations in the timing of information systems spending.</w:t>
      </w:r>
    </w:p>
    <w:p>
      <w:pPr>
        <w:spacing w:after="0" w:line="170"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and costs of supplies.</w:t>
      </w:r>
    </w:p>
    <w:p>
      <w:pPr>
        <w:spacing w:after="0" w:line="186"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Product design and development expenses increased 37.7% to $2.8 million for the three months ended October 30, 2004 compared to $2.1 million for the same period in fiscal year 2004. Product design and development expenses increased 19.0% to $5.1 million for the six months ended October 30, 2004 as compared to $4.3 million for the six months ended November 1, 2003. Product design and development was 4.8% as a percent of net sales for the second quarter of fiscal year 2005 and 3.6% as a percent of net sales for second quarter 2004. For the six months ended October 30, 2004, product design and development expenses were 4.3% of net sales for the second quarter of fiscal 2005 as compared to 4.0% of net sales for the six months ended November 1, 2003. Generally, product design and development expenses increase during times when the Company’s engineering resources are not dedicated to long-term contracts, as the same personnel who work on research and development also work on long-term contracts. During the quarter we invested in a number of critical initiatives including development of our new ProTour™ line of video displays, our V-Net narrowcasting solution, various enhancements to our higher resolution video displays and various other display devices and related software. We expect that product design and development expenses will approximate 4% of net sales for the rest of the fiscal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31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occasionally sell products on an installment basis, under lease arrangements or in exchange for the rights to sell and retain advertising revenues from displays, which result in long-term receivables. We also invest excess cash in short-term temporary cash investments that generate interest income. Interest income resulting from these long-term receivables increased 33.1% to $0.31 million for the three months ended October 30, 2004 as compared to $0.24 million for the second quarter of fiscal year 2004. For the six months ended October 30, 2004, interest income increased 35.0% to $0.63 million from $0.46 million for the six months ended November 1, 2003. The increase for both periods of time was the result of higher average levels of long-term receivables outstanding during the respective periods and the higher levels of excess cash invested in temporary cash investments.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Interest expense is comprised primarily of interest costs on our notes payable and long-term debt. Interest expense decreased 36.0% to $0.06 million for the three months ended October 30, 2004 as compared to $0.09 million for the three months ended November 1, 2003. For the six months ended October 30, 2004, interest expense declined 65.6% to $0.11 million from $0.32 million for the six months ended November 1, 2003. The decrease for both the six months and the quarter in fiscal 2005 was due to the reduction of debt outstanding under long-term debt arrangements and the reduction (for the first six months of the year) in the penalties we paid to retire before its scheduled maturity in the first quarter of fiscal year 2004.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99"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Other income (expense) increased to $0.38 million for the second quarter of fiscal year 2005 as compared to $0.01 million in the second quarter of fiscal year 2004. A portion of this increase resulted in foreign currency gains primarily related to the weakening of the US dollar relative to the Canadian dollar on inter-company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9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Income taxes decreased 32.0% to $3.0 million in the second quarter of fiscal year 2005 as compared to $4.4 million in the second quarter of fiscal year 2004. For the first six months of fiscal year 2005, income taxes decreased 14.4% to $10.2 million as compared to $11.1 million for the first six months of fiscal year 2004. The decrease was principally due to the lower pre-tax income. The effective rate of 36.8% in the second quarter of fiscal year 2005 compares to an effective rate of 39.7% in the second quarter of fiscal year 2004. The lower overall effective income tax rate resulted from a greater impact effect of deductions available for the effects of foreign sales and a reduction in the state income tax effective rate.</w:t>
      </w:r>
    </w:p>
    <w:p>
      <w:pPr>
        <w:spacing w:after="0" w:line="170"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Over the course of the last three years, the World Trade Organization (“WTO”) has ruled that the provisions contained in the FSC Repeal and Extraterritorial Income Exclusion Act of 2000 (“ETI”) are prohibited export subsidies under the rules of the WTO. Federal legislation was recently signed into law that repealed ETI in the future in favor of a deduction relating to income attributable to domestic production activities. We have not yet fully evaluated the provisions of this new legislation; however, the ETI is being phased out over time beginning in calendar 2005, when the ETI benefits get reduced to 80%. The new provisions will allow a deduction that could reduce taxable income by 9.0%, or 9.0% of qualified production activities income, whichever is less. The full benefit of this provision will not be achieved until 2010. We do not expect this, however, to have a material impact on our effective tax rates for fiscal year 2005. Future years are being evaluated.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Working capital was $60.9 million at October 30, 2004 and $51.8 million at May 1, 2004. We have historically financed working capital needs through a combination of cash flow from operations and borrowings under bank credit agreements.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Cash provided by operations for the six months ended October 30, 2004 was $7.8 million. Net income of $10.2 million plus depreciation and amortization of $3.6 million, an increase in accounts payable and accrued expenses and customer deposits was offset by increase in accounts receivable, costs and estimated earnings in excess of billings, net of an increase in billings in excess of costs and estimated earnings, an increase in inventory and the effects of changes in various other operating assets and liabilities. The changes in operating assets and liabilities were related to the growth we experienced during the first half of the year, higher inventory levels in preparation for expected standard product orders in the third quarter, and an increase in accounts receivables days sales outstandings. The growth in long-term receivables resulted from the growth in the sports marketing business.</w:t>
      </w:r>
    </w:p>
    <w:p>
      <w:pPr>
        <w:sectPr>
          <w:pgSz w:w="11900" w:h="16838" w:orient="portrait"/>
          <w:cols w:equalWidth="0" w:num="1">
            <w:col w:w="11420"/>
          </w:cols>
          <w:pgMar w:left="240" w:top="415" w:right="239" w:bottom="0" w:gutter="0" w:footer="0" w:header="0"/>
        </w:sectPr>
      </w:pPr>
    </w:p>
    <w:bookmarkStart w:id="12" w:name="page13"/>
    <w:bookmarkEnd w:id="12"/>
    <w:p>
      <w:pPr>
        <w:ind w:firstLine="351"/>
        <w:spacing w:after="0" w:line="256" w:lineRule="auto"/>
        <w:rPr>
          <w:sz w:val="20"/>
          <w:szCs w:val="20"/>
          <w:color w:val="auto"/>
        </w:rPr>
      </w:pPr>
      <w:r>
        <w:rPr>
          <w:rFonts w:ascii="Arial" w:cs="Arial" w:eastAsia="Arial" w:hAnsi="Arial"/>
          <w:sz w:val="18"/>
          <w:szCs w:val="18"/>
          <w:color w:val="auto"/>
        </w:rPr>
        <w:t>Cash used by investing activities consisted of $6.0 million of purchases of property and equipment. During the first half of fiscal year 2005, the Company invested approximately $0.4 million in transportation equipment, $1.5 million in manufacturing equipment, $1.4 million in information systems infrastructure, including software, $1.3 million in product demonstration equipment and $0.6 million for building expansion and improvements. These investments were made to support the Company’s continued growth and to replace obsolete equipment.</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Cash used by financing activities included a $0.7 million net reduction of long-term debt arrangements and short-term notes payable offset by $0.3 million in proceeds from the exercise of stock options.</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Our product development activities include the enhancement of existing products and the development of new products from existing technologies. Product design and development expenses were $2.9 million for the quarter ended October 30, 2004. We intend to continue to incur these expenditures to develop new display products using various display technologies to offer higher resolution and more cost effective and energy efficient displays. We also intend to continue developing software applications for our display controllers to enable these products to continue to meet the needs and expectations of the marketplace.</w:t>
      </w:r>
    </w:p>
    <w:p>
      <w:pPr>
        <w:spacing w:after="0" w:line="152"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have a credit agreement with a bank that provides for a $20.0 million line of credit, which includes up to $5.0 million for standby letters of credit. The interest rate on the line of credit is equal to LIBOR plus 1.55% (2.61% at October 30, 2004) and is due on October 1, 2005. As of October 30, 2004, no advances under the line of credit were outstanding. Five standby letters of credit were issued and outstanding for approximately $0.9 million as of October 30, 2004. The credit agreement is unsecured and requires us to meet certain covenants, including the maintenance of tangible net worth of at least $40 million, a minimum liquidity ratio, a limit on dividends and distributions, and a minimum adjusted fixed charge coverage ratio. Daktronics Canada, Inc., our subsidiary, has various credit agreements that provide up to $0.2 million in borrowings under lines of credit. The interest rate on the lines of credit is equal to 1.0% above the prime rate of interest (5.5% at October 30, 2004). As of October 30, 2004, $0.1 million had been drawn under the line. The lines are secured primarily by accounts receivables, inventory and other assets of the subsidiary.</w:t>
      </w:r>
    </w:p>
    <w:p>
      <w:pPr>
        <w:spacing w:after="0" w:line="172"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 million in bonded work outstanding. At October 30, 2004, we had approximately $8.4 million of bonded work outstanding against this line.</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believe that under our current growth estimates over the next year,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from our existing or increased credit facility, and from our current working capital will be adequate to meet the cash requirements of our operations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Through October 30, 2004, most of our net sales were denominated in United States dollars, and our exposure to foreign currency exchange rate changes was not significant. Net sales originating outside the United States for the second quarter of fiscal year 2005 were 9.2% of total net sales. We operate in Canada through a wholly-owned subsidiary. Sales of the Canadian subsidiary comprised 0.1% of net sales in the second quarter of fiscal year 2005. If we believed that currency risk in Canada was significant, we would utilize foreign exchange hedging contracts to manage our exposure to the Canadian dollar.</w:t>
      </w:r>
    </w:p>
    <w:p>
      <w:pPr>
        <w:spacing w:after="0" w:line="16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expect net sales to international markets in the future to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October 30, 2004, our outstanding debt approximated $1.7 million, substantially all of which was in fixed rate obligations. Each 100 basis point increase or decrease in interest rates would have an insignificant annual effect on variable rate debt interest based on the balances of such debt as of October 30, 2004. For fixed rate debt, interest rate changes affect its fair market value but do not affect earnings or cash flows.</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October 30, 2004, our outstanding long-term receivables were approximately $15.4 million. Each 25 basis point increase in interest rates would have an associated annual opportunity cost of approximately $0.04 million.</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for the three quarters ending April 30, 2005 and subsequent fiscal years.</w:t>
      </w:r>
    </w:p>
    <w:p>
      <w:pPr>
        <w:spacing w:after="0" w:line="180"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31" w:right="2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gridSpan w:val="5"/>
          </w:tcPr>
          <w:p>
            <w:pPr>
              <w:ind w:left="80"/>
              <w:spacing w:after="0"/>
              <w:rPr>
                <w:sz w:val="20"/>
                <w:szCs w:val="20"/>
                <w:color w:val="auto"/>
              </w:rPr>
            </w:pPr>
            <w:r>
              <w:rPr>
                <w:rFonts w:ascii="Arial" w:cs="Arial" w:eastAsia="Arial" w:hAnsi="Arial"/>
                <w:sz w:val="18"/>
                <w:szCs w:val="18"/>
                <w:b w:val="1"/>
                <w:bCs w:val="1"/>
                <w:color w:val="auto"/>
                <w:w w:val="98"/>
              </w:rPr>
              <w:t>Fiscal Year</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There–</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8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9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8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current maturities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3,142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3,802</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1,928</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1,716</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1,242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562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Substantially all of our cash balances are denominated in United States dollars. Cash balances in foreign currencies are operating balances maintained in accounts of our Canadian subsidiary and accounts to settle euro-based and Australian-based payments. These balances are immaterial as a whole.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99"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Company carried out an evaluation, under the supervision and with the participation of our management, including our Chief Executive Officer and Chief Financial Officer, of the effectiveness of the design and operation of the Company’s “disclosure controls and procedures,” as that term is defined in Rule 13a-15(e) and Rule 15d-15(e) under the Securities Exchange Act of 1934, as of October 30, 2004, which is the end of the period covered by this report. Based upon that evaluation, the Chief Executive Officer and Chief Financial Officer concluded that as of October 30, 2004, the Company’s disclosure controls and procedures were effective.</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Based on the evaluation described in the foregoing paragraph, the Company’s Chief Executive Officer and Chief Financial Officer concluded that during the quarter ended October 30, 2004, there was no change in the Company’s internal control over financial reporting that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Executive Officer Required By Rule</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2"/>
              </w:rPr>
              <w:t>13a-14(a) OR Rule 15d-14(a) Of The Securities Exchange Act of 1934,</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88"/>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Financial Officer Required By Rule</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2"/>
              </w:rPr>
              <w:t>13a-14(a) OR Rule 15d-14(a) Of The Securities Exchange Act of 1934,</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88"/>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Executive Officer Pursuant To Section</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9"/>
              </w:rPr>
              <w:t>906 Of The Sarbanes-Oxley Act of 2002 (18 U.S.C. Section 1350)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Financial Officer Pursuant To Section</w:t>
            </w:r>
          </w:p>
        </w:tc>
      </w:tr>
      <w:tr>
        <w:trPr>
          <w:trHeight w:val="222"/>
        </w:trPr>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9"/>
              </w:rPr>
              <w:t>906 Of The Sarbanes-0xley Act Of 2002 (18 U.S.C. Section 1350)</w:t>
            </w:r>
          </w:p>
        </w:tc>
      </w:tr>
    </w:tbl>
    <w:p>
      <w:pPr>
        <w:spacing w:after="0" w:line="2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60"/>
          </w:cols>
          <w:pgMar w:left="240" w:top="108" w:right="299" w:bottom="352"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360"/>
          </w:cols>
          <w:pgMar w:left="240" w:top="108" w:right="299" w:bottom="352" w:gutter="0" w:footer="0" w:header="0"/>
          <w:type w:val="continuous"/>
        </w:sectPr>
      </w:pPr>
    </w:p>
    <w:bookmarkStart w:id="14" w:name="page15"/>
    <w:bookmarkEnd w:id="14"/>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30, 2004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40" w:hanging="232"/>
        <w:spacing w:after="0" w:line="332" w:lineRule="auto"/>
        <w:tabs>
          <w:tab w:leader="none" w:pos="5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40" w:right="20" w:hanging="216"/>
        <w:spacing w:after="0" w:line="259"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hanging="216"/>
        <w:spacing w:after="0" w:line="268"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30, 2004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20" w:firstLine="8"/>
        <w:spacing w:after="0" w:line="268"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00" w:right="40" w:hanging="182"/>
        <w:spacing w:after="0" w:line="268" w:lineRule="auto"/>
        <w:tabs>
          <w:tab w:leader="none" w:pos="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40" w:right="20" w:hanging="216"/>
        <w:spacing w:after="0" w:line="259"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40" w:hanging="216"/>
        <w:spacing w:after="0" w:line="268"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May 1, 2004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November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May 1, 2004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4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November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2019-12-14T02:47:01Z</dcterms:created>
  <dcterms:modified xsi:type="dcterms:W3CDTF">2019-12-14T02:47:01Z</dcterms:modified>
</cp:coreProperties>
</file>