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00" w:right="1880" w:hanging="388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January 25, 2025</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5715</wp:posOffset>
            </wp:positionV>
            <wp:extent cx="171450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900" w:type="dxa"/>
            <w:vAlign w:val="bottom"/>
            <w:tcBorders>
              <w:bottom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527"/>
        </w:trPr>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90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SD</w:t>
            </w:r>
          </w:p>
        </w:tc>
        <w:tc>
          <w:tcPr>
            <w:tcW w:w="3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540" w:type="dxa"/>
            <w:vAlign w:val="bottom"/>
          </w:tcPr>
          <w:p>
            <w:pPr>
              <w:spacing w:after="0"/>
              <w:rPr>
                <w:sz w:val="22"/>
                <w:szCs w:val="22"/>
                <w:color w:val="auto"/>
              </w:rPr>
            </w:pPr>
          </w:p>
        </w:tc>
        <w:tc>
          <w:tcPr>
            <w:tcW w:w="4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2"/>
                <w:szCs w:val="22"/>
                <w:color w:val="auto"/>
              </w:rPr>
            </w:pP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(605) 692-0200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98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20" w:type="dxa"/>
            <w:vAlign w:val="bottom"/>
            <w:tcBorders>
              <w:top w:val="single" w:sz="8" w:color="auto"/>
              <w:bottom w:val="single" w:sz="8" w:color="auto"/>
            </w:tcBorders>
          </w:tcPr>
          <w:p>
            <w:pPr>
              <w:spacing w:after="0"/>
              <w:rPr>
                <w:sz w:val="22"/>
                <w:szCs w:val="22"/>
                <w:color w:val="auto"/>
              </w:rPr>
            </w:pPr>
          </w:p>
        </w:tc>
        <w:tc>
          <w:tcPr>
            <w:tcW w:w="20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76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DAKT</w:t>
            </w:r>
          </w:p>
        </w:tc>
        <w:tc>
          <w:tcPr>
            <w:tcW w:w="2000" w:type="dxa"/>
            <w:vAlign w:val="bottom"/>
            <w:tcBorders>
              <w:bottom w:val="single" w:sz="8" w:color="auto"/>
              <w:right w:val="single" w:sz="8" w:color="auto"/>
            </w:tcBorders>
          </w:tcPr>
          <w:p>
            <w:pPr>
              <w:spacing w:after="0"/>
              <w:rPr>
                <w:sz w:val="21"/>
                <w:szCs w:val="21"/>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February 24, 2025 was 49,893,293.</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January 25,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20" w:type="dxa"/>
            <w:vAlign w:val="bottom"/>
            <w:gridSpan w:val="23"/>
            <w:vMerge w:val="continue"/>
          </w:tcPr>
          <w:p>
            <w:pPr>
              <w:spacing w:after="0"/>
              <w:rPr>
                <w:sz w:val="16"/>
                <w:szCs w:val="16"/>
                <w:color w:val="auto"/>
              </w:rPr>
            </w:pPr>
          </w:p>
        </w:tc>
        <w:tc>
          <w:tcPr>
            <w:tcW w:w="420" w:type="dxa"/>
            <w:vAlign w:val="bottom"/>
            <w:gridSpan w:val="4"/>
          </w:tcPr>
          <w:p>
            <w:pPr>
              <w:jc w:val="center"/>
              <w:ind w:left="17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00" w:type="dxa"/>
            <w:vAlign w:val="bottom"/>
            <w:gridSpan w:val="11"/>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25, 2025 and April 27, 2024</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January 25, 2025 and</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January 27, 2024</w:t>
            </w:r>
          </w:p>
        </w:tc>
        <w:tc>
          <w:tcPr>
            <w:tcW w:w="4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30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gridSpan w:val="2"/>
          </w:tcPr>
          <w:p>
            <w:pPr>
              <w:spacing w:after="0"/>
              <w:rPr>
                <w:sz w:val="17"/>
                <w:szCs w:val="17"/>
                <w:color w:val="auto"/>
              </w:rPr>
            </w:pPr>
          </w:p>
        </w:tc>
        <w:tc>
          <w:tcPr>
            <w:tcW w:w="164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1720" w:type="dxa"/>
            <w:vAlign w:val="bottom"/>
            <w:tcBorders>
              <w:top w:val="single" w:sz="8" w:color="0000FF"/>
              <w:bottom w:val="single" w:sz="8" w:color="0000FF"/>
            </w:tcBorders>
          </w:tcPr>
          <w:p>
            <w:pPr>
              <w:spacing w:after="0"/>
              <w:rPr>
                <w:sz w:val="17"/>
                <w:szCs w:val="17"/>
                <w:color w:val="auto"/>
              </w:rPr>
            </w:pPr>
          </w:p>
        </w:tc>
        <w:tc>
          <w:tcPr>
            <w:tcW w:w="2040" w:type="dxa"/>
            <w:vAlign w:val="bottom"/>
            <w:tcBorders>
              <w:top w:val="single" w:sz="8" w:color="0000FF"/>
              <w:bottom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for the Three and Nine Months Ended January</w:t>
            </w:r>
          </w:p>
        </w:tc>
        <w:tc>
          <w:tcPr>
            <w:tcW w:w="1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80" w:type="dxa"/>
            <w:vAlign w:val="bottom"/>
            <w:tcBorders>
              <w:bottom w:val="single" w:sz="8" w:color="0000FF"/>
            </w:tcBorders>
            <w:gridSpan w:val="21"/>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25, 2025 and January 27, 2024</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January 25, 2025</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and January 27, 2024</w:t>
            </w:r>
          </w:p>
        </w:tc>
        <w:tc>
          <w:tcPr>
            <w:tcW w:w="3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gridSpan w:val="3"/>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gridSpan w:val="3"/>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January 25, 2025 and January 27,</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2024</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5"/>
            <w:vMerge w:val="continue"/>
          </w:tcPr>
          <w:p>
            <w:pPr>
              <w:spacing w:after="0"/>
              <w:rPr>
                <w:sz w:val="18"/>
                <w:szCs w:val="18"/>
                <w:color w:val="auto"/>
              </w:rPr>
            </w:pPr>
          </w:p>
        </w:tc>
        <w:tc>
          <w:tcPr>
            <w:tcW w:w="1720" w:type="dxa"/>
            <w:vAlign w:val="bottom"/>
          </w:tcPr>
          <w:p>
            <w:pPr>
              <w:spacing w:after="0"/>
              <w:rPr>
                <w:sz w:val="18"/>
                <w:szCs w:val="18"/>
                <w:color w:val="auto"/>
              </w:rPr>
            </w:pPr>
          </w:p>
        </w:tc>
        <w:tc>
          <w:tcPr>
            <w:tcW w:w="2660" w:type="dxa"/>
            <w:vAlign w:val="bottom"/>
            <w:gridSpan w:val="6"/>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6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60" w:type="dxa"/>
            <w:vAlign w:val="bottom"/>
            <w:gridSpan w:val="8"/>
          </w:tcPr>
          <w:p>
            <w:pPr>
              <w:spacing w:after="0"/>
              <w:rPr>
                <w:sz w:val="18"/>
                <w:szCs w:val="18"/>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80" w:type="dxa"/>
            <w:vAlign w:val="bottom"/>
            <w:gridSpan w:val="17"/>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320" w:type="dxa"/>
            <w:vAlign w:val="bottom"/>
            <w:tcBorders>
              <w:bottom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18"/>
                <w:szCs w:val="18"/>
                <w:color w:val="auto"/>
              </w:rPr>
            </w:pPr>
          </w:p>
        </w:tc>
        <w:tc>
          <w:tcPr>
            <w:tcW w:w="478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60" w:type="dxa"/>
            <w:vAlign w:val="bottom"/>
            <w:gridSpan w:val="14"/>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800" w:type="dxa"/>
            <w:vAlign w:val="bottom"/>
            <w:gridSpan w:val="18"/>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41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4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5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401,949</w:t>
            </w:r>
          </w:p>
        </w:tc>
      </w:tr>
      <w:tr>
        <w:trPr>
          <w:trHeight w:val="250"/>
        </w:trPr>
        <w:tc>
          <w:tcPr>
            <w:tcW w:w="34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25,862</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524,156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65,524</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192,296</w:t>
            </w: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96,796</w:t>
            </w: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 par value, authorized 50 shares; no shares issued and outstanding</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authorized 115,000 shares; 49,006 and 48,121 shares issued as of January 25,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April 27, 2024, respectively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138,031</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2,443 and 1,907 shares as of January 25, 2025 and April 27, 2024, respectively</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8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6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r>
      <w:tr>
        <w:trPr>
          <w:trHeight w:val="241"/>
        </w:trPr>
        <w:tc>
          <w:tcPr>
            <w:tcW w:w="36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435,139</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167,064</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26,459</w:t>
            </w:r>
          </w:p>
        </w:tc>
      </w:tr>
      <w:tr>
        <w:trPr>
          <w:trHeight w:val="223"/>
        </w:trPr>
        <w:tc>
          <w:tcPr>
            <w:tcW w:w="3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99,376</w:t>
            </w:r>
          </w:p>
        </w:tc>
      </w:tr>
      <w:tr>
        <w:trPr>
          <w:trHeight w:val="25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67,688</w:t>
            </w:r>
          </w:p>
        </w:tc>
      </w:tr>
      <w:tr>
        <w:trPr>
          <w:trHeight w:val="250"/>
        </w:trPr>
        <w:tc>
          <w:tcPr>
            <w:tcW w:w="3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p>
      <w:pPr>
        <w:spacing w:after="0" w:line="63" w:lineRule="exact"/>
        <w:rPr>
          <w:sz w:val="20"/>
          <w:szCs w:val="20"/>
          <w:color w:val="auto"/>
        </w:rPr>
      </w:pPr>
    </w:p>
    <w:p>
      <w:pPr>
        <w:ind w:left="180" w:right="660"/>
        <w:spacing w:after="0" w:line="282" w:lineRule="auto"/>
        <w:rPr>
          <w:sz w:val="20"/>
          <w:szCs w:val="20"/>
          <w:color w:val="auto"/>
        </w:rPr>
      </w:pPr>
      <w:r>
        <w:rPr>
          <w:rFonts w:ascii="Times New Roman" w:cs="Times New Roman" w:eastAsia="Times New Roman" w:hAnsi="Times New Roman"/>
          <w:sz w:val="18"/>
          <w:szCs w:val="18"/>
          <w:color w:val="auto"/>
        </w:rPr>
        <w:t>Other expense and debt issuance costs write-off, net</w:t>
      </w:r>
    </w:p>
    <w:p>
      <w:pPr>
        <w:spacing w:after="0" w:line="266" w:lineRule="exact"/>
        <w:rPr>
          <w:sz w:val="20"/>
          <w:szCs w:val="20"/>
          <w:color w:val="auto"/>
        </w:rPr>
      </w:pPr>
    </w:p>
    <w:p>
      <w:pPr>
        <w:ind w:left="180" w:right="1260"/>
        <w:spacing w:after="0" w:line="313" w:lineRule="auto"/>
        <w:rPr>
          <w:sz w:val="20"/>
          <w:szCs w:val="20"/>
          <w:color w:val="auto"/>
        </w:rPr>
      </w:pPr>
      <w:r>
        <w:rPr>
          <w:rFonts w:ascii="Times New Roman" w:cs="Times New Roman" w:eastAsia="Times New Roman" w:hAnsi="Times New Roman"/>
          <w:sz w:val="18"/>
          <w:szCs w:val="18"/>
          <w:b w:val="1"/>
          <w:bCs w:val="1"/>
          <w:color w:val="auto"/>
        </w:rPr>
        <w:t xml:space="preserve">(Loss) income before income taxes </w:t>
      </w:r>
      <w:r>
        <w:rPr>
          <w:rFonts w:ascii="Times New Roman" w:cs="Times New Roman" w:eastAsia="Times New Roman" w:hAnsi="Times New Roman"/>
          <w:sz w:val="18"/>
          <w:szCs w:val="18"/>
          <w:color w:val="auto"/>
        </w:rPr>
        <w:t>Income tax (benefit) expense</w:t>
      </w:r>
    </w:p>
    <w:p>
      <w:pPr>
        <w:ind w:left="180"/>
        <w:spacing w:after="0"/>
        <w:tabs>
          <w:tab w:leader="none" w:pos="3620" w:val="left"/>
        </w:tabs>
        <w:rPr>
          <w:sz w:val="20"/>
          <w:szCs w:val="20"/>
          <w:color w:val="auto"/>
        </w:rPr>
      </w:pPr>
      <w:r>
        <w:rPr>
          <w:rFonts w:ascii="Times New Roman" w:cs="Times New Roman" w:eastAsia="Times New Roman" w:hAnsi="Times New Roman"/>
          <w:sz w:val="18"/>
          <w:szCs w:val="18"/>
          <w:b w:val="1"/>
          <w:bCs w:val="1"/>
          <w:color w:val="auto"/>
        </w:rPr>
        <w:t>Net (loss) income</w:t>
      </w:r>
      <w:r>
        <w:rPr>
          <w:sz w:val="20"/>
          <w:szCs w:val="20"/>
          <w:color w:val="auto"/>
        </w:rPr>
        <w:tab/>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36"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color w:val="auto"/>
        </w:rPr>
        <w:t>Basic</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color w:val="auto"/>
        </w:rPr>
        <w:t>Diluted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508</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7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(14,083)</w:t>
            </w:r>
          </w:p>
        </w:tc>
        <w:tc>
          <w:tcPr>
            <w:tcW w:w="6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r>
      <w:tr>
        <w:trPr>
          <w:trHeight w:val="486"/>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52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(17,816)</w:t>
            </w: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w:t>
            </w:r>
          </w:p>
        </w:tc>
      </w:tr>
      <w:tr>
        <w:trPr>
          <w:trHeight w:val="27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c>
          <w:tcPr>
            <w:tcW w:w="6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r>
      <w:tr>
        <w:trPr>
          <w:trHeight w:val="22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(17,156)</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32,103</w:t>
            </w:r>
          </w:p>
        </w:tc>
      </w:tr>
      <w:tr>
        <w:trPr>
          <w:trHeight w:val="20"/>
        </w:trPr>
        <w:tc>
          <w:tcPr>
            <w:tcW w:w="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36"/>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47,764</w:t>
            </w: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w:t>
            </w:r>
          </w:p>
        </w:tc>
      </w:tr>
      <w:tr>
        <w:trPr>
          <w:trHeight w:val="270"/>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47,764</w:t>
            </w:r>
          </w:p>
        </w:tc>
        <w:tc>
          <w:tcPr>
            <w:tcW w:w="6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46,608</w:t>
            </w:r>
          </w:p>
        </w:tc>
      </w:tr>
      <w:tr>
        <w:trPr>
          <w:trHeight w:val="76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5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-2665095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-2322195</wp:posOffset>
            </wp:positionV>
            <wp:extent cx="7132320" cy="2322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4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4360" w:type="dxa"/>
        <w:tblCellMar>
          <w:top w:w="0" w:type="dxa"/>
          <w:left w:w="0" w:type="dxa"/>
          <w:bottom w:w="0" w:type="dxa"/>
          <w:right w:w="0" w:type="dxa"/>
        </w:tblCellMar>
      </w:tblPr>
      <w:tr>
        <w:trPr>
          <w:trHeight w:val="238"/>
        </w:trPr>
        <w:tc>
          <w:tcPr>
            <w:tcW w:w="350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8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74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25,</w:t>
            </w: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100" w:type="dxa"/>
            <w:vAlign w:val="bottom"/>
          </w:tcPr>
          <w:p>
            <w:pPr>
              <w:spacing w:after="0"/>
              <w:rPr>
                <w:sz w:val="14"/>
                <w:szCs w:val="14"/>
                <w:color w:val="auto"/>
              </w:rPr>
            </w:pPr>
          </w:p>
        </w:tc>
        <w:tc>
          <w:tcPr>
            <w:tcW w:w="174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1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r>
      <w:tr>
        <w:trPr>
          <w:trHeight w:val="241"/>
        </w:trPr>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ind w:left="20"/>
        <w:spacing w:after="0"/>
        <w:tabs>
          <w:tab w:leader="none" w:pos="4360" w:val="left"/>
        </w:tabs>
        <w:rPr>
          <w:sz w:val="20"/>
          <w:szCs w:val="20"/>
          <w:color w:val="auto"/>
        </w:rPr>
      </w:pPr>
      <w:r>
        <w:rPr>
          <w:rFonts w:ascii="Times New Roman" w:cs="Times New Roman" w:eastAsia="Times New Roman" w:hAnsi="Times New Roman"/>
          <w:sz w:val="18"/>
          <w:szCs w:val="18"/>
          <w:color w:val="auto"/>
        </w:rPr>
        <w:t>Net (loss) income</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p>
      <w:pPr>
        <w:spacing w:after="0" w:line="63" w:lineRule="exact"/>
        <w:rPr>
          <w:sz w:val="20"/>
          <w:szCs w:val="20"/>
          <w:color w:val="auto"/>
        </w:rPr>
      </w:pPr>
    </w:p>
    <w:p>
      <w:pPr>
        <w:ind w:left="180" w:right="320"/>
        <w:spacing w:after="0" w:line="282" w:lineRule="auto"/>
        <w:rPr>
          <w:sz w:val="20"/>
          <w:szCs w:val="20"/>
          <w:color w:val="auto"/>
        </w:rPr>
      </w:pPr>
      <w:r>
        <w:rPr>
          <w:rFonts w:ascii="Times New Roman" w:cs="Times New Roman" w:eastAsia="Times New Roman" w:hAnsi="Times New Roman"/>
          <w:sz w:val="18"/>
          <w:szCs w:val="18"/>
          <w:color w:val="auto"/>
        </w:rPr>
        <w:t>Unrealized (loss) gain on available-for-sale securities, net of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(17,156)</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10,742</w:t>
            </w:r>
          </w:p>
        </w:tc>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w:t>
            </w:r>
          </w:p>
        </w:tc>
      </w:tr>
      <w:tr>
        <w:trPr>
          <w:trHeight w:val="770"/>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48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-942340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-624840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-307975</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660" w:space="720"/>
            <w:col w:w="5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5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196"/>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27,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133,085</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238,211</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26,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154,491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260,930</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25,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89,875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137,335</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272,291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29,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122,606</w:t>
            </w: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221,047</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98"/>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28,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124,771</w:t>
            </w: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223,221</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Unrealized gain (loss) on</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available-for-sale securities, net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6"/>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2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27,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236,246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220" w:type="dxa"/>
            <w:vAlign w:val="bottom"/>
          </w:tcPr>
          <w:p>
            <w:pPr>
              <w:spacing w:after="0"/>
              <w:rPr>
                <w:sz w:val="11"/>
                <w:szCs w:val="11"/>
                <w:color w:val="auto"/>
              </w:rPr>
            </w:pPr>
          </w:p>
        </w:tc>
        <w:tc>
          <w:tcPr>
            <w:tcW w:w="126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January 27,</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32,103</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14,370</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sale of property, equipment and 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(Recoveries of) provision for doubtful accounts,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 write-off</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w:t>
            </w: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53,789</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or maturities of marketable securities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Purchases of equity and loans to equity investees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for common shares repurchased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Tax payments related to RSU issuances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52,503</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20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77,193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employee stock purchase plan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and share amounts in thousands, except per share data)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as of April 27, 2024 has been derived from the audited financial statements at that date, but it does not include all the information and disclosures required by GAAP for complete financial statements. The financial statements and notes thereto contained in this Quarterly Report on Form 10-Q should be read in conjunction with our financial statements and notes thereto contained in our Annual Report on Form 10-K for the fiscal year ended April 27, 2024, (the "Form 10-K").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nine months ended January 25, 2025 and January 27, 2024 contained operating results for 39 weeks.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certain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56"/>
        </w:trPr>
        <w:tc>
          <w:tcPr>
            <w:tcW w:w="66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$132,169 in cash and cash equivalent balances as of January 25, 2025, $117,833 were denominated in United States dollars, of which $1,887 were held by our foreign subsidiaries. As of January 25, 2025, we had an additional $14,336 in cash balances denominated in foreign currencies, of which $12,386 were maintained in accounts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Accounting Standard Updates ("ASU") issued that were adopted in the nine months ended January 25,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ASU 2023-07 requires enhanced disclosures about significant segment expenses.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ASU 2023-07 for its annual reporting in fiscal year 2025 and for interim period reporting beginning in the first quarter of fiscal year 2026 on a retrospective basis. Early adoption is permitted. We are currently evaluating the impact of ASU 2023-07 on our segment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the disaggregation of the disclosures of income taxes paid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requiring disclosure in the notes to the financial statements for specified information about certain costs and expenses.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 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("XDC"), which is developing micro-LED mass transfer expertise and technologies, and Miortech (dba Etulipa) ("Mirotech"), which is developing low power outdoor electrowetting technology. As of January 25, 2025, our ownership in Miortech and XDC was 55.9 percent and 16.4 percent, respectively. The aggregate amount of our investments accounted for under the equity method was $0 and $1,813 as of January 25, 2025 and April 27, 2024, respectively.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determined both entities are variable interest entities, and, based on management's analysis, we determined that Daktronics is not the primary beneficiary because the power criterion was not met. Therefore, as Daktronics does not have control, but is able to exercise significant influence, the investments in Miortech and XDC are accounted for under the equity method. Our proportional share of the respective affiliates' losses is included in the "Other expense and debt issuance costs write-off, net" line item in our Condensed Consolidated Statements of Operations. For the three and nine months ended January 25, 2025, our share of the losses of our affiliates was $762 and $2,594 as compared to $869 and $2,330 for the three and nine months ended January 27, 2024. These losses were first applied to the equity balances, and upon the equity balances being reduced to zero, the losses then reduce the book value of the promissory notes with these entities. For the three and nine months ended January 25, 2025, the amount of losses reduced the book value of the notes by $505 and $781, respectively. There was no reduction of the book value of the notes during the three and nine months ended January 27, 2024.</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our investments in affiliates for impairment indicators. There were no impairments recorded during the three and nine months ended January 25, 2025 compared to impairments of $437 and $1,091 during the three and nine months ended January 27,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nine months ended January 25, 2025 and January 27, 2024 was $593 and $162, respectively, which is included in the "Product design and development" line item in our Condensed Consolidated Statements of Operations. The portions of our activities that remain unpaid were $109 and $2 as of the nine months ended January 25, 2025 and January 27, 2024, respectively, which are included in the "Accounts payable" line item in our Condensed Consolidated Balance Sheets.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advanced our affiliates funds under convertible and promissory notes (collectively, the "Affiliate Notes"). We advanced $3,326 in the nine months ended January 25, 2025, which does not include the foreign currency translation adjustment of $97, and $5,050 in fiscal year 2024 under the Affiliate Notes. We have accrued interest related to the Affiliate Notes of $587 and $449 as of January 25, 2025 and April 27, 2024, respectively. The total face value of the outstanding amount of the Affiliate Notes was $18,057 and $14,241 as of January 25, 2025 and April 27, 2024, respectively. After equity method losses were recorded, the net balances of the Affiliate Notes were $17,276 and $14,241 as of January 25, 2025 and April 27, 2024, respectively. The balances of the Affiliate Notes are included in the "Investments in affiliates and other assets" line item in our Condensed Consolidated Balance Sheets. We evaluate the Affiliate Notes for impairment and credit losses. As of January 25, 2025 and April 27, 2024, no provision for losses was recorded, as management's analysis concluded the Affiliate Notes were collectable or realizable based on the rights of these instruments and related valuation of each affiliate.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Affiliate Notes balance combined with the investment in affiliates balance totaled $17,276 and $16,054 as of January 25, 2025 and April 27,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where basic earnings per share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three and nine months ended January 25, 2025 and January 27,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3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169"/>
        </w:trPr>
        <w:tc>
          <w:tcPr>
            <w:tcW w:w="4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r>
      <w:tr>
        <w:trPr>
          <w:trHeight w:val="241"/>
        </w:trPr>
        <w:tc>
          <w:tcPr>
            <w:tcW w:w="48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45,975</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on convertible note, net of tax</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32,103</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482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assuming</w:t>
            </w: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25, 2025, a total of 934 shares of potential common stock related to stock compensation plans were excluded from the computation of diluted EPS because the effects would be anti-dilutive. The excluded shares include options outstanding to purchase 29 shares of common stock with a weighted average exercise price of $11.87. For the three months ended January 27, 2024, options outstanding to purchase 484 shares of common stock with a weighted average exercise price of $10.73 were not included in the computation of diluted EPS because the effects would be anti-dilutive.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January 25, 2025, a total of 992 shares of potential common stock relating to the stock compensation plan were excluded from the computation of diluted EPS because the effects would be anti-dilutive. The excluded shares include options outstanding to purchase 51 shares of common stock with a weighted average exercise price of $10.43. For the nine months ended January 27, 2024, options outstanding to purchase 695 shares of common stock with a weighted average exercise price of $10.30 were not included in the computation of diluted EPS because the effects would be anti-dilutive.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25, 2025, 3,079 potential shares of common stock issuable upon conversion of the senior secured convertible note dated May 11, 2023 issued to Alta Fox Opportunities Fund, LP (the Holder," and collectively with its affiliates, "Alta Fox") during fiscal 2024 (the "Convertible Note") were not included in the computation of diluted EPS, as the effect would be anti-dilutive. The 2,218 common shares attributed to settling a portion of the Convertible Note, but not yet been issued, were weighted for the number of days outstanding from the settlement date and included in the weighted average shares outstanding in the computation of diluted EPS.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25, 2025, 3,697 potential common shares issuable upon conversion of the Convertible Note were not included in the computation of diluted EPS, as the effect would be anti-dilutive. The 2,218 common shares attributed to settling a portion of the Convertible Note, but not yet been issued, were weighted for the number of days outstanding from the settlement date and included in the weighted average shares outstanding in the computation of diluted EPS.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27, 2024, 3,875 potential shares of common stock issuable upon conversion of the Convertible Note were not included in the computation of diluted EPS, as the effect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determined that disaggregating revenue in these categories achieves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25, 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25, 2025</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27, 2024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86,676</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99,770</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27, 2024</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302,220</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251,888</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261,521</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340,682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customers in excess of revenue recognized to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27, 2024 to January 25, 2025 were due to the timing of billing schedules and revenue recognition, which can vary significantly depending on the contractual payment terms and the seasonality of the sports markets. We had no significant impairments of contract assets for the nine months ended January 25,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of our Condensed Consolidated Balance Sheets. Changes in unearned service-type warranty contracts, net for the nine months ended January 25, 2025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41,295</w:t>
            </w:r>
          </w:p>
        </w:tc>
      </w:tr>
      <w:tr>
        <w:trPr>
          <w:trHeight w:val="230"/>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(37,687)</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25,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January 25, 2025 and April 27, 2024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25, 2025, we recognized revenue of $58,407 related to our contract liabilities as of April 27,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January 25, 2025, the aggregate amount of the transaction price allocated to the remaining performance obligations was $338,339. Remaining performance obligations related to product and service agreements as of January 25, 2025 were $273,223 and $65,116, respectively. We expect approximately $285,680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nine months ended January 25, 2025 and January 27, 2024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E32E1"/>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04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0"/>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316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r>
      <w:tr>
        <w:trPr>
          <w:trHeight w:val="241"/>
        </w:trPr>
        <w:tc>
          <w:tcPr>
            <w:tcW w:w="12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122,628</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r>
      <w:tr>
        <w:trPr>
          <w:trHeight w:val="22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133,940</w:t>
            </w: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68,276</w:t>
            </w: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r>
      <w:tr>
        <w:trPr>
          <w:trHeight w:val="229"/>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23"/>
        </w:trPr>
        <w:tc>
          <w:tcPr>
            <w:tcW w:w="12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167,064</w:t>
            </w:r>
          </w:p>
        </w:tc>
      </w:tr>
      <w:tr>
        <w:trPr>
          <w:trHeight w:val="250"/>
        </w:trPr>
        <w:tc>
          <w:tcPr>
            <w:tcW w:w="12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w:t>
            </w:r>
          </w:p>
        </w:tc>
      </w:tr>
      <w:tr>
        <w:trPr>
          <w:trHeight w:val="229"/>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w:t>
            </w:r>
          </w:p>
        </w:tc>
      </w:tr>
      <w:tr>
        <w:trPr>
          <w:trHeight w:val="230"/>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26,459</w:t>
            </w:r>
          </w:p>
        </w:tc>
      </w:tr>
      <w:tr>
        <w:trPr>
          <w:trHeight w:val="223"/>
        </w:trPr>
        <w:tc>
          <w:tcPr>
            <w:tcW w:w="12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99,376</w:t>
            </w:r>
          </w:p>
        </w:tc>
      </w:tr>
      <w:tr>
        <w:trPr>
          <w:trHeight w:val="223"/>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67,688</w:t>
            </w:r>
          </w:p>
        </w:tc>
      </w:tr>
      <w:tr>
        <w:trPr>
          <w:trHeight w:val="250"/>
        </w:trPr>
        <w:tc>
          <w:tcPr>
            <w:tcW w:w="128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7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r>
      <w:tr>
        <w:trPr>
          <w:trHeight w:val="23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2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r>
      <w:tr>
        <w:trPr>
          <w:trHeight w:val="241"/>
        </w:trPr>
        <w:tc>
          <w:tcPr>
            <w:tcW w:w="3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545,699</w:t>
            </w: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w:t>
            </w:r>
          </w:p>
        </w:tc>
      </w:tr>
      <w:tr>
        <w:trPr>
          <w:trHeight w:val="223"/>
        </w:trPr>
        <w:tc>
          <w:tcPr>
            <w:tcW w:w="39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602,203</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changes in the carrying amount of goodwill related to each segment with a goodwill balance for the nine months ended January 25, 2025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25, 2025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as of October 27, 2024 and concluded no goodwill impairment existed.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accumulated impairments to goodwill as of January 25, 2025 and April 27, 2024 was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817"/>
        </w:trPr>
        <w:tc>
          <w:tcPr>
            <w:tcW w:w="1280" w:type="dxa"/>
            <w:vAlign w:val="bottom"/>
            <w:tcBorders>
              <w:top w:val="single" w:sz="8" w:color="0E32E1"/>
            </w:tcBorders>
          </w:tcPr>
          <w:p>
            <w:pPr>
              <w:spacing w:after="0"/>
              <w:rPr>
                <w:sz w:val="24"/>
                <w:szCs w:val="24"/>
                <w:color w:val="auto"/>
              </w:rPr>
            </w:pPr>
          </w:p>
        </w:tc>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30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1280" w:type="dxa"/>
            <w:vAlign w:val="bottom"/>
            <w:tcBorders>
              <w:bottom w:val="single" w:sz="8" w:color="CCEEFF"/>
            </w:tcBorders>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38,875</w:t>
            </w: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maturing on May 11, 2026 (the "ABL"), which is secured by a first priority lien on the Company's assets, and a $15,000 delayed draw loan (the "Delayed Draw Loan") secured by a first priority mortgage on our Brookings, South Dakota real estate (the "Mortgage").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January 25, 2025, our borrowing capacity was $33,397, there were no borrowings outstanding, and there was $3,471 used to secure letters of credit outstanding. The interest rate on the ABL is set on a sliding scale based on the trailing 12-month fixed charge coverage and ranges from 2.5 to 3.5 percent over the standard overnight financing rate (SOFR).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$15,000 Delayed Draw Loan was funded on July 7, 2023. It amortizes over 10 years and has monthly payments of $125. The Delayed Draw Loan is subject to the terms of the Credit Agreement dated as of May 11, 2023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January 25, 2025 for the Delayed Draw Loan was 9.5 percent.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evidenced by the secured Convertible Note. The Holder has a second priority lien on assets securing the ABL facility and a first priority lien on substantially all of the other assets of the Company, excluding all real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the Company's common stock at the Conversion Price.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November 11, 2024, the Company issued notice to the Holder that the Company would force the conversion of $7,000 of the principal balance and accrued interest of the Convertible Note on December 3, 2024 at the conversion price of $6.31 per share into 1,109 shares of the Company's common stock (the "December Conversion"). On December 11, 2024, the Company issued notice to the Holder that the Company would force the conversion of $7,000 of the principal balance and accrued interest of the Convertible Note on January 3, 2025 at the conversion price of $6.31 per share into 1,109 shares of the Company's common stock (the "January Conversion"). On January 27, 2025, in accordance with the terms of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Convertible Note, the Company settled $14,000 of the principal balance and accrued interest of the Convertible Note in exchange for the issuance of 2,218 shares of the Company's common stock (based on the Conversion Price). On January 10, 2025, the Company issued notice to the Holder that the Company would force the conversion of $7,000 of the principal balance and accrued interest of the Convertible Note on February 3, 2025 at the conversion price of $6.31 per share into 1,109 shares of the Company's common stock (the "February Conversion"). On February 3, 2025, in accordance with the terms of the Convertible Note, the Company settled the February Conversion. The obligation to issue a fixed number of shares to the Holder was determined to be an equity contract that met the criteria for equity classification under ASC 815-40. See "Note 12. Related Party Transactions" and "Note 13. Subsequent Events" for further information on the Convertible Note.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41" w:lineRule="exact"/>
        <w:rPr>
          <w:sz w:val="20"/>
          <w:szCs w:val="20"/>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January 25, 2025, as interest will be paid in cash.</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10. Fair Value Measurement" of the Notes to our Condensed Consolidated Financial Statements included in this Quarterly Report on Form 10-Q. The financial liability was initially measured at its issue-date fair value and is subsequently remeasured at fair value on a recurring basis at each reporting period date. We have elected to present the fair value and the accrued interest component separately in the Condensed Consolidated Statements of Operations. Therefore, interest will be recognized and accrued separately in interest expense, with changes in fair value of the Convertible Note presented in the "Change in fair value of convertible note" line item in our Condensed Consolidated Statements of Operations.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was computed using the binomial lattice model. Given the appreciation of the Company’s stock price since inception of the Convertible Note combined with our intent and expectation of settlement as soon as is feasible through exercise of its forced conversion right, we determined that the Monte Carlo simulation ("MCS") model was appropriately suited to determine the fair value of the Convertible Note as of January 25, 2025. Both models incorporate significant inputs that are not observable in the market and thus represents a Level 3 measurement.</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two principal tranches of the Convertible Note that were force converted was $18,116 and $18,681, resulting in an additional $499 in changes in fair value recognized in earnings for the period ended January 25, 2025. Upon conversion, the Company extinguished the debt at its then fair value and recorded the related settlement to equity, reflecting the obligation to deliver 2,218 shares of the Company's common stock to the Holder.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the nine months ended January 25, 2025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Liability Component</w:t>
            </w:r>
          </w:p>
        </w:tc>
      </w:tr>
      <w:tr>
        <w:trPr>
          <w:trHeight w:val="234"/>
        </w:trPr>
        <w:tc>
          <w:tcPr>
            <w:tcW w:w="3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6"/>
              </w:rPr>
              <w:t>41,550</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note settled through conversion</w:t>
            </w:r>
          </w:p>
        </w:tc>
        <w:tc>
          <w:tcPr>
            <w:tcW w:w="220" w:type="dxa"/>
            <w:vAlign w:val="bottom"/>
          </w:tcPr>
          <w:p>
            <w:pPr>
              <w:spacing w:after="0"/>
              <w:rPr>
                <w:sz w:val="19"/>
                <w:szCs w:val="19"/>
                <w:color w:val="auto"/>
              </w:rPr>
            </w:pPr>
          </w:p>
        </w:tc>
        <w:tc>
          <w:tcPr>
            <w:tcW w:w="20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(36,797)</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6"/>
              </w:rPr>
              <w:t>25,497</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25, 2025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color w:val="auto"/>
                <w:w w:val="96"/>
              </w:rPr>
              <w:t>30,250</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MCS and binomial lattice model as of January 25, 2025 and April 27, 2024,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49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16.28 %</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January 25, 2025, we were in compliance with our financial covenants under the Credit Agreement and the Convertible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are expensed. As part of these financings, we capitalized $8,195 in debt issuance costs. During the nine months ended January 27, 2024, due to the Convertible Note being accounted for at fair value, we expensed $3,353 of the related debt issuance costs, which is included in the "Other expense and debt issuance costs write-off, net" line item in our Condensed Consolidated Statements of Operations and represented the full amount of such costs related to the Convertible Note. During the nine months ended January 25, 2025 and January 27, 2024, we amortized $1,211 and $1,148, respectively, of debt issuance costs. The remaining debt issuance costs of $2,080 are being amortized over the remaining two-year term of the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w:t>
            </w:r>
          </w:p>
        </w:tc>
      </w:tr>
      <w:tr>
        <w:trPr>
          <w:trHeight w:val="20"/>
        </w:trPr>
        <w:tc>
          <w:tcPr>
            <w:tcW w:w="5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 See also “Note 13. Subsequent Events” for a description of litigation filed against the Company after the end of our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Changes in our warranty obligation for the nine months ended January 25, 2025 consisted of the following:</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r>
      <w:tr>
        <w:trPr>
          <w:trHeight w:val="229"/>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25,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January 25, 2025, we had outstanding letters of credit and surety bonds in the amount of $3,471 and $20,381,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January 25, 2025, we were not aware of any material indemnification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January 25, 2025 were 3.7 percent and 109.2 percent, respectively. Income before tax includes the tax impacts of the Convertible Note fair value adjustment, which is not deductible, in proportion to the period's decrease in pre-tax income. The effective tax rate for the three and nine months ended January 27, 2024 were 15.0 percent and 31.5 percent, respectively, and were driven by the decrease in the fair value adjustment to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January 25, 2025, the undistributed earnings of our foreign subsidiaries were considered to be reinvested indefinitely. Additionally, as of January 25, 2025, we had $440 of unrecognized tax benefits which would reduce our effective tax rate if recognized.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January 25, 2025 and April 27, 2024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25, 2025</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132,169</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elected to value the Convertible Note at fair value in accordance with ASC 825-10-15-4(a) because of the embedded derivatives contained in the Convertible Note. The fair value of the Convertible Note as of April 27, 2024 was estimated using the binomial lattice model. The fair value of the Convertible Note as of January 25, 2025 was estimated using the MCS. Both models allow for the examination of the value to a holder and an understanding of the investment decision that would occur at each node.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certain inputs for the valuation were not readily determinable or 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7. Financing Agreements" and the Form 10-K for additional information on the methods and assumptions used to estimate the fair value of each class of financial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(the "Board" or "Board of Directors") approved a share repurchase program (the "Repurchase Program") under which we may purchase up to $40,000 of the Company's outstanding shares of common stock. Under the Repurchase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2020, the Board suspended the Repurchase Program. On December 2, 2021, the Board voted to reauthorize the Repurchase Program.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25, 2025, we repurchased 536 shares of common stock at a total cost of $9,016. As of January 25, 2025, we had $20,339 of remaining capacity under the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written policy and procedures with respect to related party transactions, which the Audit Committee of the Board (the "Audit Committee") oversees (the "Policy").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five percent of any class of our voting securities and any immediate family member of any of the foregoing persons.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Related Party Transactions with Alta Fox: </w:t>
      </w:r>
      <w:r>
        <w:rPr>
          <w:rFonts w:ascii="Times New Roman" w:cs="Times New Roman" w:eastAsia="Times New Roman" w:hAnsi="Times New Roman"/>
          <w:sz w:val="18"/>
          <w:szCs w:val="18"/>
          <w:color w:val="auto"/>
        </w:rPr>
        <w:t>As reported in Part II, Item 7 “Management’s Discussion and Analysis of Financial Condition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the section entitled “Liquidity and Capital Resources” of the Form 10-K, effective May 11, 2023, the Company entered into a Securities Purchase Agreement with the Holder under which the Company sold and issued to the Holder the Convertible Note in exchange for the payment by the Holder to the Company of $25,000 (the "Securities Purchase Agreement"). As of May 11, 2023, and based on Amendment No. 2 to the Schedule 13D filed by Alta Fox on May 15, 2023 with the Securities and Exchange Commission ("SEC"), Alta Fox beneficially owned 4,768 shares of common stock of the Company, representing 9.99 percent of the Company’s common stock, causing the Holder to be a “related party” of the Company under the Policy and the applicable provisions of the Securities Act of 1933, as amended (the "Securities Act"), and the rules promulgated thereunder. The Securities Purchase Agreement, the Convertible Note, the Pledge and Security Agreement dated as of May 11, 2023 by and between the Holder and the Company (the "Pledge and Security Agreement"), and the Registration Rights Agreement dated as of May 11, 2023 (the "Registration Rights Agreement") were approved in advance of their execution by the Strategy and Financing Review Committee of the Board of Directors, the members of which include all members of the Audit Committee.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was a party to the Standstill and Voting Agreement dated as of March 19, 2023 with Alta Fox Management, LLC and Connor Haley (the “Standstill Agreement”), who are affiliates of the Holder, which expired in accordance with its terms on September 5,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In the first nine months of fiscal 2025, we made interest payments or settlements of interest through conversions of $1,816 under the Convertible Note.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and their respective terms set forth in Part II, Item 7 “Management’s Discussion and Analysis of Financial Condition and Results of Operations” in the section entitled “Liquidity and Capital Resources” of the Form 10-K. The Standstill Agreement filed as Exhibit 10.13 to the Form 10-K are hereby incorporated by reference into this Quarterly Report on Form 10-Q.</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by Alta Fox on June 9, 2023 with the SEC,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7, 2023, the Company received from the Holder a written notice of a decrease in the Percentage Cap from 9.99 percent to 4.99 percent; on October 21, 2024, the Company received from the Holder a written notice to further decrease the Percentage Cap to 3.00 percent; and on November 25, 2024, the Company received from the Holder a written notice to increase the Percentage Cap to 14.99 percent. Each decrease became effective immediately upon the Company’s receipt of such written notice, and each increase became effective 61 days after receipt of such written notice. The Percentage Cap generally represents the maximum percentage of shares of the Company’s common stock the Holder may own. In Amendment No. 3, Alta Fox owned 2,293 shares of the Company's common stock on June 9, 2023, representing 4.99 percent of the common stock of the Company, meaning Alta Fox was then no longer a “related party” of the Company under the Policy and the applicable provisions of the Securities Act and the rules promulgated thereunder. However, according to Schedule 13D filed by Alta Fox on December 11, 2024 with the SEC, Alta Fox owns 1,965 shares of the Company’s common stock. With these shares, along with the 4,009 shares subject to the Convertible Note and related interest accrual, Alta Fox beneficially owns 11.79 percent of the Company’s common stock. This percentage assumes all of the shares subject to the Convertible Note are outstanding and thus are added to the denominator in determining the percentage. Thus, Alta Fox is again subject to the Policy and the applicable provisions of the Securities Act and the rules promulgated thereunder.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stated in “Note 7. Financing Agreements,” the Company effected the December Conversion and January Conversion, resulting in settlement of $14,000 of the principal balance and accrued interest of the Convertible Note as of January 25, 2025.</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Related Party Transactions: </w:t>
      </w:r>
      <w:r>
        <w:rPr>
          <w:rFonts w:ascii="Times New Roman" w:cs="Times New Roman" w:eastAsia="Times New Roman" w:hAnsi="Times New Roman"/>
          <w:sz w:val="18"/>
          <w:szCs w:val="18"/>
          <w:color w:val="auto"/>
        </w:rPr>
        <w:t>During the first nine months of fiscal 2024, the Company and the South Dakota Board of Regents entered into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video display systems for Dakota State University. The amount of the contracts was $1,178. A member of the Board of Directors is the President of Dakota State University.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Investments in Affiliates" for further details of related party transactions with our investments in the Affiliate Notes issued by our affiliates and "Note 13. Subsequent Events" for a discussion of other related party transactions with Alta Fox.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Convertible Note. </w:t>
      </w:r>
      <w:r>
        <w:rPr>
          <w:rFonts w:ascii="Times New Roman" w:cs="Times New Roman" w:eastAsia="Times New Roman" w:hAnsi="Times New Roman"/>
          <w:sz w:val="18"/>
          <w:szCs w:val="18"/>
          <w:color w:val="auto"/>
        </w:rPr>
        <w:t>On January 27, 2025, the first trading day after the effective date of the Percentage Cap increase, the Company issued and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2,218 common shares owed under the December Conversion and the January Conversion to the Holder. Alta Fox certified that the delivery of shares would not cause its ownership to exceed the allowable beneficial ownership of 14.99 percent.</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10, 2025, the Company issued notice to the Holder that the Company would force the conversion of the third tranche of $7,000 of the principal balance and accrued interest of the Convertible Note on February 3, 2025 at the conversion price of $6.31 per share into 1,109 common shares. Subsequent to the end of the quarter, on February 3, 2025, the 1,109 common shares were issued to the Holder.</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10, 2025, the Company issued notice to the Holder that the Company would force the conversion of the fourth and final tranche of $4,294 on March 4, 2025, representing the remaining principal and interest balance of the Convertible Note. We will issue the shares upon the Holder’s indicating the ability to take delivery of the shares under the maximum ownership provisions of the Convertible Note. See "Note 12. Related Party Transactions" and "Note 7. Financing Agreements" for further information of the Convertible Note.</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Cooperation Agreement. </w:t>
      </w:r>
      <w:r>
        <w:rPr>
          <w:rFonts w:ascii="Times New Roman" w:cs="Times New Roman" w:eastAsia="Times New Roman" w:hAnsi="Times New Roman"/>
          <w:sz w:val="18"/>
          <w:szCs w:val="18"/>
          <w:color w:val="auto"/>
        </w:rPr>
        <w:t>On January 21, 2025, Daktronics filed a preliminary proxy statement with the SEC relating to a special meeting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"Special Meeting") to consider and vote on a proposal to change its legal domicile from South Dakota to Delaware (the "Reincorporation Proposal"). On January 31, 2025, the Holder filed a preliminary proxy statement with the SEC disclosing its intention to solicit proxies against the Reincorporation Proposal. On February 6, 2025, the Holder commenced an action in the United States District Court for the District of South Dakota, Southern Division (the “Court”). Named as defendants in the complaint filed in the action (the "Complaint") are the Company and Reece Kurtenbach. The Complaint asserts, among other things, that the defendants breached fiduciary duties in connection with the Reincorporation Proposal and Holder's own claimed intention to call a special meeting of shareholders. The Complaint seeks to preliminarily and permanently enjoin the Defendants from setting a record date and holding a special meeting to vote on the Reincorporation Proposal and from soliciting votes and proxies in connection with that meeting until after the Holder can call for and conduct a special meeting to consider and vote on de-classifying the Board of Directors and other governance changes, and for certain other declaratory and monetary relief. On February 25, 2025, the South Dakota District Court issued a memorandum to counsel indicating its intention to deny Alta Fox's preliminary injunction motion in a forthcoming written opinion and order.</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3, 2025, the Company entered into a Cooperation Agreement with Alta Fox (the "Cooperation Agreement"). In connection with the Cooperation Agreement, among other things, Alta Fox agreed to dismiss with prejudice all claims against the Company and its directors and/or officers, including its pending litigation against the Company with the Court. Pursuant to the Cooperation Agreement, Alta Fox also agreed to vote all shares of the Company's common stock that it beneficially owns in favor of the Reincorporation Proposal at the Special Meeting. For further information on the Cooperation Agreement, please refer to Item 1.01 of the Current Report on Form 8-K filed with the SEC on March 3, 2025, which is incorporated herein by reference.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Expiration of Rights Agreement: </w:t>
      </w:r>
      <w:r>
        <w:rPr>
          <w:rFonts w:ascii="Times New Roman" w:cs="Times New Roman" w:eastAsia="Times New Roman" w:hAnsi="Times New Roman"/>
          <w:sz w:val="18"/>
          <w:szCs w:val="18"/>
          <w:color w:val="auto"/>
        </w:rPr>
        <w:t>Pursuant to the Cooperation Agreement, the Company agreed to amend that certain Rights Agreement,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16, 2018, by and between the Company and Equiniti Trust Company, LLC (the “Rights Agent”), as amended on November 19, 2021 and November 19, 2024 (as amended, the “Rights Agreement”) to accelerate its expiration. On March 3, 2025, the Company and the Rights Agent entered into the Third Amendment to Rights Agreement (the “Third Amendment”). The Third Amendment amends the Rights Agreement by accelerating the Final Expiration Date (as defined in the Rights Agreement) of the Company’s Series A Junior Participating Preferred Stock purchase rights (the “Rights”) from the Close of Business (as defined in the Rights Agreement) on November 19, 2025 to the Close of Business on March 3, 2025. As a result of the Third Amendment, effective as of the Close of Business 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March 3, 2025, all of the Rights, which were previously distributed to holders of the Company’s common stock pursuant to the Rights Agreement, have expired and cease to be outstanding. For further information on the Third Amendment and the expiration of the Rights Agreement, please refer to Items 1.01 and 3.03 of the Current Report on Form 8-K filed with the SEC on March 3, 2025,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(i) financial condition of Daktronics, Inc. and its subsidiaries (the "Company", "Daktronics", "we", "our", or "us") during the period from the most recent fiscal year-end, April 27, 2024, to and including January 25, 2025; and (ii) results of operations of the Company during the current fiscal period(s) as compared to the corresponding period(s) of the preceding fiscal year.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and orders, fluctuations in margins, the introduction of new products and technology, the impact of adverse weather conditions, increased regulation, the imposition of tariffs, trade wars, and the other risk factors described more fully in the Company’s Annual Report on Form 10-K for the fiscal year ended April 27, 2024 (the "Form 10-K") filed with the Securities and Exchange Commission ("SEC"), as well as other publicly available information about the Company.</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MD&amp;A should be read in conjunction with the Consolidated Financial Statements and related Notes included in Item 1 of Part 1 of this Quarterly Report on Form 10-Q and the Form 10-K (including the information presented therein under "Item 1A. Risk Factors" of Part I), as well as other publicly available information about our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quarter-over-quarter comparisons in this MD&amp;A are as of and for the fiscal quarters ended January 25, 2025 and January 27, 2024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we use and consists of gross profit less selling expenses. Selling expenses consist primarily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 In addition to gross profit, management uses contribution margin as another measure of assessing segment profitability and allocating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resources to each segment. Management believes that contribution margin is useful to investors because it permits investors to view and evaluate our segment financial performance through the same lens as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nine months ended January 25, 2025 and January 27, 2024 contained operating results for 39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2024, we converted pandemic-related, pent-up backlog into record levels of sales and gross profit. In fiscal 2025 and beyond, we are more dependent on the timing, size, and profitability profile of the orders we win and market conditions to be able to generate sales and gross profit at similar levels. We expect the expansion of use of digital display systems in the global market over the coming years, however, recent governmental regulations and orders and related geopolitical reactions and changes to or uncertainty around federal funding priorities can impact customers willingness to invest in digital display systems which can impact the timing and levels of orders. For example, announcements from the new United States presidential administration about increased and expansive import tariffs and federal funding priorities has created near-term uncertainty about economic conditions. In recent months, we have observed an increasing number of extended quote times, which we believe is partially attributable to these conditions. As a result, while quoting activity is high, order volume timing in the near-term is more difficult to predict, making fiscal 2025 orders more difficult to predict than in fiscal 2024. In addition, the announced tariff changes are expected to increase our input costs for imports of electronic components from China and the costs of aluminum and steel in the market. Competitors importing products from China will also be impacted by the Chinese tariffs. We are monitoring and adjusting pricing for our products and services carefully to account for these dynamics.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 investments have been made in manufacturing capacity and the advancement in display and control technologies. A majority of digital displays are constructed using standard surface mount display technology. Chip on board technologies are advancing for narrow pixel pitch ("NPP") applications. Micro-LED technologies (also referred to as NPP) are being used and advanced, especially for displays installed for short viewing distances. Advancements continue in technologies related to digital displays used in professional services, including the use of artificial intelligence and other software which improve content creation, user interfaces, digital display monitoring systems, and security. We rely on a complex supply chain for raw material and component imports and the global distribution of our products. We are adopting our manufacturing, sourcing capabilities, and product development priorities for these evolving changes in market and technology trends.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we have a unique leadership position in our target markets, which are large, growing, and enjoy resilient demand driven by our customers’ desire to improve their audience experience in sports, commercial, and transportation environments. We are investing in capacity and resources to grow the business and penetrate markets.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capitalize on this position, we are focused on digital and business transformation, improving our cost structure, and further growing our markets. During fiscal 2025, we formed a Business Transformation Office ("BTO"), which has undertaken a comprehensive review of the Company’s business, strategy, and operations and is developing a set of strategic initiatives, enabled in part by the Company’s previously announced digital transformation, to provide even better outcomes for customers, deeper penetration of the Company's current and adjacent market verticals, above-market growth, and more efficient delivery, fulfillment, and service. These initiatives, overseen by the BTO, were designed and structured to support our ambitious targets to grow revenue faster than our addressable market, expand operating margins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10-12 percent, and generate returns on capital in the 17-20 percent range consistently above the Company's cost of capital (the "Business Transformation Plan"). To accelerate these initiatives, we are projecting to spend between $8.0 million and $10.0 million for transformation efforts in fiscal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our business has grown and become more complex, we have come to recognize the importance of evolving our corporate governance structure. Delaware is the legal domicile for most large, publicly traded companies, and its corporate law is well understood, clear and predictable and provides strong shareholder rights and protections. We began the process to change our legal domicile to Delaware and enhance our governance frameworks in fiscal 2025. On January 21, 2025, Daktronics filed a preliminary proxy with the SEC relating to a special meeting of shareholders (the "Special Meeting") to consider and vote on a proposal to change its legal domicile from South Dakota to Delaware (the "Reincorporation Proposal"). On January 31, 2025 the Holder filed a preliminary proxy statement with the SEC disclosing its intention to solicit proxies against the Reincorporation Proposal. On February 6, 2025, one of our shareholders, Alta Fox Opportunities Fund, LP (the "Holder," and collectively with its affiliates, "Alta Fox") commenced an action in the United States District Court for the District of South Dakota, Southern Division. For the first nine months of the quarter, $2.1 million of legal and advisor related expenses were incurred for these matters.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March 3, 2025, the Company entered into a Cooperation Agreement with Alta Fox (the “Cooperation Agreement”). In connection with the Cooperation Agreement, among other things, Alta Fox agreed to dismiss with prejudice all claims against the Company and its directors and/or officers, including its pending litigation against the Company with the Court. Pursuant to the Cooperation Agreement, Alta Fox also agreed to vote all shares of the Company’s common stock that it beneficially owns in favor of the Reincorporation Proposal at the Special Meeting. The Company has agreed to pay Alta Fox $1.2 million, which will be expensed in the fourth quarter of 2025. To conclude these matters, including the litigation, we expect that additional costs will be incurred in future reporting periods. For further information on the Cooperation Agreement, please refer to Item 1.01 of the Current Report on Form 8-K filed with the SEC on March 3, 2025, which is incorporated herein by reference, and “Note 13. Subsequent Events” of this Quarterly Report on Form 10-Q.</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carefully evaluate our capacity and resource levels to the conditions noted; however, there can be periods during which sales and expenses can be misaligned and periods we invest more in transformational and corporate governance activities, all impacting our profitability levels in the near-term.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25, 2025 AND JANUARY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generally accepted accounting principles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January 25, 2025 was $273.2 million as compared to $328.3 million as of January 27, 2024 and $316.9 million as of April 27, 2024. The decrease in backlog to more historical levels is a result of fulfilling orders at a faster, more normalized pace as supply chain conditions have stabilized, production lead times have improved, and we have been utilizing our increased capacity.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January 25, 2025 within the next 24 months. The timing of backlog fulfillment may be impacted by project delays resulting from customer site conditions, which are outside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three months ended January 25, 2025 and January 27,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25, 2025</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27, 2024</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149,507</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170,303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112,726</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128,585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(15,859)</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14,471</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General and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(145.1)</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(expense)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net</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8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80" w:type="dxa"/>
            <w:vAlign w:val="bottom"/>
          </w:tcPr>
          <w:p>
            <w:pPr>
              <w:spacing w:after="0"/>
              <w:rPr>
                <w:sz w:val="14"/>
                <w:szCs w:val="14"/>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(322.1)</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expense and debt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costs write-off,</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(Loss) income before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(17,816)</w:t>
            </w:r>
          </w:p>
        </w:tc>
        <w:tc>
          <w:tcPr>
            <w:tcW w:w="80" w:type="dxa"/>
            <w:vAlign w:val="bottom"/>
          </w:tcPr>
          <w:p>
            <w:pPr>
              <w:spacing w:after="0"/>
              <w:rPr>
                <w:sz w:val="12"/>
                <w:szCs w:val="12"/>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12,631</w:t>
            </w:r>
          </w:p>
        </w:tc>
        <w:tc>
          <w:tcPr>
            <w:tcW w:w="10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(30,447)</w:t>
            </w:r>
          </w:p>
        </w:tc>
        <w:tc>
          <w:tcPr>
            <w:tcW w:w="80" w:type="dxa"/>
            <w:vAlign w:val="bottom"/>
          </w:tcPr>
          <w:p>
            <w:pPr>
              <w:spacing w:after="0"/>
              <w:rPr>
                <w:sz w:val="12"/>
                <w:szCs w:val="12"/>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214"/>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20" w:type="dxa"/>
            <w:vAlign w:val="bottom"/>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213"/>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10,742</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(27,898)</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50,837</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186,904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192,063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sales decrease in the third quarter of fiscal 2025 compared to the same period in fiscal 2024 was the result primarily of lower volumes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 Events business unit, partially offset by increased sales in the Commercial and International business units. Sales in our High School Park and Recreation and Transportation business units were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relatively flat. The amount of recognized revenue associated with performance obligations satisfied in prior years during the three months ended January 25, 2025 and January 27, 2024 was immaterial.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decline in the third quarter of fiscal 2025 compared to the same period in fiscal 2024 was primarily due to an order decrease in the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High School Park and Recreation, and Transportation business units. Variability in orders comparatively is typical in these large project business areas and during the time of year for sports projects. These declines were offset by large project bookings in the International and Commercial business units.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percentage of net sales increased slightly to 24.6 percent for the third quarter of fiscal 2025 as compared to 24.5 percent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year ago. Total warranty expense as a percentage of sales decreased to 0.9 percent for the third quarter of fiscal 2025 as compared to 1.9 percent for the same period from a year ago.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 the third quarter of fiscal 2025 remained relatively flat compared to the same period last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increased in the third quarter of fiscal 2025 compared to the same period in fiscal 2024 because of higher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wages and benefits for increased staffing levels primarily for our digital transformation strategies and increased professional fees. During the third quarter of fiscal 2025, additional professional fees included consultant, legal, and advisory related expenses associated with business transformation initiatives and corporate governance matters, which totaled $4.8 million.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third quarter of fiscal 2025 primarily due to personnel-related expenses and for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staffing levels. Our focus has been to advance 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expenses increased in the third quarter of fiscal 2025 primarily due to higher cash levels invested in interest-bearing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offsetting interest expense.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senior secured convertible note dated May 11, 2023 we issued to Alta Fox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Fund, LP during fiscal 2024 (the "Convertible Note") under the fair value option. The fair value changed of the note increased due primarily due to the stock price increase and its effect on the valuation of the embedded features of the Convertible Note.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was relatively flat compared to the same period last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January 25, 2025, our effective tax rate was 3.7 percent compared to an effective tax rate of 15.0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January 27, 2024. The lower tax rate is due to the tax effect of the increase of the Convertible Note fair value adjustment to expense that is not deductible for tax purposes reduced by the tax effect of the period's decrease in pre-tax income, whereas the tax rate was higher in the prior period due to a decrease in the fair value adjustment in proportion to the increase in pre-tax income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our reportable segment financial performance of contribution margin reconciled to GAAP operating income for the three months ended January 25, 2025 and January 27,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Three Months Ended January 25, 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Park and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 xml:space="preserve">net sales </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Recreation</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37,976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46,072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29,367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149,507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28,890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37,278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11,863</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14,620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112,726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9,086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8,794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9,292</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6,926</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36,781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24.6</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3,870</w:t>
            </w: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2,991</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3,845</w:t>
            </w:r>
          </w:p>
        </w:tc>
        <w:tc>
          <w:tcPr>
            <w:tcW w:w="7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2,486</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14,471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5,216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5,447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22,310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16,498</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9,440</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5,216</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5,447</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18.5 %</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40,983</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78,132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34,549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13,838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19,402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186,904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Three Months Ended January 27, 2024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Percent of</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Park and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 xml:space="preserve">net sales </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Recreation</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0" w:type="dxa"/>
            <w:vAlign w:val="bottom"/>
          </w:tcPr>
          <w:p>
            <w:pPr>
              <w:spacing w:after="0"/>
              <w:rPr>
                <w:sz w:val="1"/>
                <w:szCs w:val="1"/>
                <w:color w:val="auto"/>
              </w:rPr>
            </w:pPr>
          </w:p>
        </w:tc>
      </w:tr>
      <w:tr>
        <w:trPr>
          <w:trHeight w:val="136"/>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33,292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73,393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28,764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19,605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15,249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170,303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27,746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52,291</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20,735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72.1 %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14,388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128,585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21,102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8,029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861</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41,718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4,072</w:t>
            </w: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3,514</w:t>
            </w:r>
          </w:p>
        </w:tc>
        <w:tc>
          <w:tcPr>
            <w:tcW w:w="7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2,579</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14,258</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1,474</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4,515</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27,460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16.1</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10,589</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8,835</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1,474</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17,987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24.5 %</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4,515</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15.7 %</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5,202</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8,036</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34,524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95,217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18,924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8,013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192,063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9"/>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Three Months Ended Net Dollar and % Change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700" w:type="dxa"/>
            <w:vAlign w:val="bottom"/>
          </w:tcPr>
          <w:p>
            <w:pPr>
              <w:jc w:val="center"/>
              <w:ind w:right="4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Park and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Recreation</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8"/>
              </w:rPr>
              <w:t xml:space="preserve">Change </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8"/>
              </w:rPr>
              <w:t xml:space="preserve">Change </w:t>
            </w:r>
            <w:r>
              <w:rPr>
                <w:rFonts w:ascii="Times New Roman" w:cs="Times New Roman" w:eastAsia="Times New Roman" w:hAnsi="Times New Roman"/>
                <w:sz w:val="14"/>
                <w:szCs w:val="14"/>
                <w:b w:val="1"/>
                <w:bCs w:val="1"/>
                <w:color w:val="auto"/>
                <w:w w:val="88"/>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4,684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1,144</w:t>
            </w:r>
          </w:p>
        </w:tc>
        <w:tc>
          <w:tcPr>
            <w:tcW w:w="10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(15,013)</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0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(15,859)</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3,540</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(12,308)</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1,263</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331</w:t>
            </w:r>
          </w:p>
        </w:tc>
        <w:tc>
          <w:tcPr>
            <w:tcW w:w="7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3,742</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932</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1,915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(111.5)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5,909</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55.8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3,742</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253.9 %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(12,184)</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932</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20.6 %</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1,915</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(11,664)</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(145.1)%</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6,459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(17,085)</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w w:val="92"/>
              </w:rPr>
              <w:t>(2.4)%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11,389</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142.1 %</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(5,159)</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2025, total net sales and gross profit percentage declined due to the cumulative effects of the following:</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in the third quarter of fiscal 2025 compared to the same period one year ago was driven by fulfilling orders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billboards niche and Spectacular LED video display projects. On-Premise digital signage sales were similar to last year. Gross profit as a percentage of sales increased due to a shift in mix to products with higher margins and higher sales volume over relatively fixed cost structure. Selling expense decreased as a percentage of sales primarily because of the increase in sales volume during the quarter. The increase in order bookings in our Spectacular niche was attributable to LED video display project orders with governmental and multi-use commercial and retail facilities. Digital billboard order bookings during the quarter increased as a result of marketing efforts to independent billboard operators and the timing of a bulk order from a national Out-of-Home advertising company.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in the third quarter of fiscal 2025 was due to the absence of the fulfillment of a large project, which we had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quarter a year ago and because of order volume declines and the differences in expected timing to fulfill current backlog compared to last year's scheduling. The decline in gross profit as a percentage of sales in the quarter is attributable to lower sales volume over relatively fixed cost structure. Selling expense decreased quarter over quarter; however, selling expense as a percentage of sales increased due to the lower sales volume. Order bookings vary because of large project booking impacts and seasonal sports impacts. During the third quarter of fiscal 2025, we booked a large NFL stadium project but had lower orders for baseball facilities.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Sales were relatively flat during third quarter of fiscal 2025 compared to the same period one year ago. Gross profit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sales increased due to a more cost-effective video offering in addition to efficient use of manufacturing expenses. Selling expenses increased primarily because of personnel related wages. Order bookings were down slightly to the prior year.</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Sales decreased slightly during the third quarter of fiscal 2025 compared to the same period one year ago due to lower order bookings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reduced the level of backlog available to build. Gross profit as a percentage of sales increased due to a change in product mix and a warranty estimate reduction. Selling expenses increased primarily because of personnel related wages and benefit costs for investments in staffing to support future growth. Order bookings vary because of the timing of large project bookings which have inherent volatility.</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in the third quarter of fiscal 2025 was driven by higher backlog and higher orders. Gross profit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as a result of a higher sales volume. Selling expense remained relatively flat in the third quarter of fiscal 2025 compared to the same period in the prior year. The increase in order bookings is primarily driven by successful bookings in Europe and Middle East to out of home niche customers.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25, 2025 AND JANUARY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nine months ended January 25, 2025 and January 27,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25, 2025</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27, 2024</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583,926</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602,203</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431,584</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435,139</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152,342</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167,064</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44,811</w:t>
            </w:r>
          </w:p>
        </w:tc>
        <w:tc>
          <w:tcPr>
            <w:tcW w:w="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41,840</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62"/>
        </w:trPr>
        <w:tc>
          <w:tcPr>
            <w:tcW w:w="2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28,902</w:t>
            </w:r>
          </w:p>
        </w:tc>
        <w:tc>
          <w:tcPr>
            <w:tcW w:w="8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26,459</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117,484</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99,376</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34,858</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67,688</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53"/>
        </w:trPr>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(expense)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Interest income (expense),</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(25,369)</w:t>
            </w:r>
          </w:p>
        </w:tc>
        <w:tc>
          <w:tcPr>
            <w:tcW w:w="80" w:type="dxa"/>
            <w:vAlign w:val="bottom"/>
          </w:tcPr>
          <w:p>
            <w:pPr>
              <w:spacing w:after="0"/>
              <w:rPr>
                <w:sz w:val="14"/>
                <w:szCs w:val="14"/>
                <w:color w:val="auto"/>
              </w:rPr>
            </w:pPr>
          </w:p>
        </w:tc>
        <w:tc>
          <w:tcPr>
            <w:tcW w:w="142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8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0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3"/>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convertible note</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Other expense and debt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costs write-off,</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(Loss) income before</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80" w:type="dxa"/>
            <w:vAlign w:val="bottom"/>
          </w:tcPr>
          <w:p>
            <w:pPr>
              <w:spacing w:after="0"/>
              <w:rPr>
                <w:sz w:val="12"/>
                <w:szCs w:val="12"/>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46,884</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(39,297)</w:t>
            </w:r>
          </w:p>
        </w:tc>
        <w:tc>
          <w:tcPr>
            <w:tcW w:w="100" w:type="dxa"/>
            <w:vAlign w:val="bottom"/>
          </w:tcPr>
          <w:p>
            <w:pPr>
              <w:spacing w:after="0"/>
              <w:rPr>
                <w:sz w:val="12"/>
                <w:szCs w:val="12"/>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4"/>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6"/>
                <w:szCs w:val="16"/>
                <w:color w:val="auto"/>
              </w:rPr>
              <w:t>Income tax (benefit)</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8"/>
                <w:szCs w:val="18"/>
                <w:color w:val="auto"/>
              </w:rPr>
            </w:pPr>
          </w:p>
        </w:tc>
        <w:tc>
          <w:tcPr>
            <w:tcW w:w="1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32,103</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(32,799)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46,608</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540,664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534,386</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decrease in the first nine months of fiscal 2025 was the result of lower volumes in the Commercial, High School Parks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Recreation, and International business units offset by higher sales levels in the Transportation business unit. The net sales for the Live Events business unit remained relatively flat in the first nine months of fiscal 2025</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the same period a year prior. The amount of revenue recognized associated with performance obligations satisfied in prior years during the nine months ended January 25, 2025 and January 27, 2024 was immaterial.</w:t>
      </w:r>
    </w:p>
    <w:p>
      <w:pPr>
        <w:spacing w:after="0" w:line="121" w:lineRule="exact"/>
        <w:rPr>
          <w:sz w:val="20"/>
          <w:szCs w:val="20"/>
          <w:color w:val="auto"/>
        </w:rPr>
      </w:pPr>
    </w:p>
    <w:p>
      <w:pPr>
        <w:jc w:val="both"/>
        <w:ind w:right="20"/>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growth was driven by rebounding demand in the Spectacular and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markets in our Commercial business unit and solid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High School Parks and Recreation and International business units. These higher orders offset an order decrease in the Live Events and Transportation business units. Variability in orders comparatively is typical in these large project business areas.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percentage of sales decreased in the first nine months of fiscal 2025 compared to the first nine months of fiscal 2024 partially because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mix differences between periods. Total warranty expense as a percent of sales decreased slightly to 1.6 percent for the first nine months of fiscal 2025 as compared to 2.1 percent for same period from a year ago.</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increased because of increases in personnel related wages and benefits expenses for increased staffing levels to support future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and entertainment; and marketing, conventions, and advertising.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increased in the first nine months of fiscal 2025 because of personnel related wages and benefits for increased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primarily for our digital transformation strategies and increased professional fees. During the first nine months of fiscal 2025, additional professional fees included consultant, legal, and advisory related expenses associated with business transformation initiatives and corporate governance matters, which totaled $9.0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first nine months of fiscal 2025 compared to the same period a year ago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personnel-related expenses and for increased staffing levels. Our focus has been to advance product features aligned with customer needs and to reduce product costs. We focused these efforts on both standard product and control offerings and in new emerging areas, including micro-LED products and new control capabilities.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increased primarily due to higher cash levels invested in interest-bearing accounts offsetting interest expense.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under the fair value option. The fair value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caused by the two principal tranches that were force converted during the third quarter as well as an increase in value of the embedded features of the remaining portion of the Convertible Note as our stock price has increased since April 27,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The change in Other expense and debt issuance costs write-off, net for the first nine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same period one year ago was primarily due to expensing $3.4 million of debt issuance costs related to the Convertible Note issuance in fiscal 2024.</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nine months ended January 25, 2025, we recorded an effective tax rate of 109.2 percent, as compared to 31.5 percent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January 27, 2024. Both periods' income before taxes included the impacts of the change in Convertible Note fair value adjustment to expense which is not deductible and is the primary driver of the effective tax rate for both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regarding our contribution margin reconciled to GAAP operating income of our reportable segments for the nine months ended January 25, 2025 and January 27,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Nine Months Ended January 25, 2025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680" w:type="dxa"/>
            <w:vAlign w:val="bottom"/>
          </w:tcPr>
          <w:p>
            <w:pPr>
              <w:jc w:val="center"/>
              <w:ind w:right="2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115,614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231,887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62,757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583,926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87,795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182,095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81,032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39,410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41,252</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431,584</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27,819</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49,792</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44,412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23,347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6,972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152,342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26.1</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12,808</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8,172</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11,932</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4,080</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7,819</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44,811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15,011</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41,620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32,480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19,267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107,531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18.4</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43,771</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28,902</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15,011</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41,620</w:t>
            </w:r>
          </w:p>
        </w:tc>
        <w:tc>
          <w:tcPr>
            <w:tcW w:w="8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17.9 %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32,480</w:t>
            </w:r>
          </w:p>
        </w:tc>
        <w:tc>
          <w:tcPr>
            <w:tcW w:w="100" w:type="dxa"/>
            <w:vAlign w:val="bottom"/>
            <w:vMerge w:val="restart"/>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25.9 %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19,267</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30.7 %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7"/>
                <w:szCs w:val="7"/>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34,858</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127,653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199,555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116,834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48,819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47,803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540,664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Nine Months Ended January 27, 2024</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122,628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233,602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61,217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50,816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602,203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97,082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165,326</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41,168</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42,897</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435,139</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25,546</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68,276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45,274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20,049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7,919</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167,064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27.7</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12,948</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8,302</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10,550</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2,905</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7,135</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41,840</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12,598</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59,974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34,724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17,144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784</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125,224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31,077</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26,459</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12,598</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59,974</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34,724</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17,144</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28.0 %</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784</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67,688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101,167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226,436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103,924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59,409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43,450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534,386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9"/>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Nine Months Ended Net Dollar and % Change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680" w:type="dxa"/>
            <w:vAlign w:val="bottom"/>
          </w:tcPr>
          <w:p>
            <w:pPr>
              <w:jc w:val="center"/>
              <w:ind w:right="2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9"/>
              </w:rPr>
              <w:t>(5.7)%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99"/>
              </w:rPr>
              <w:t>(6.3)%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(9,287)</w:t>
            </w:r>
          </w:p>
        </w:tc>
        <w:tc>
          <w:tcPr>
            <w:tcW w:w="100" w:type="dxa"/>
            <w:vAlign w:val="bottom"/>
          </w:tcPr>
          <w:p>
            <w:pPr>
              <w:spacing w:after="0"/>
              <w:rPr>
                <w:sz w:val="12"/>
                <w:szCs w:val="12"/>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16,769</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(7,634)</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(1,758)</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8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(3,555)</w:t>
            </w:r>
          </w:p>
        </w:tc>
        <w:tc>
          <w:tcPr>
            <w:tcW w:w="10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2,273</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(18,484)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3,298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2"/>
                <w:szCs w:val="12"/>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1,175</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2,413</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(18,354)</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2,123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(14.1)</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12,694</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40.8</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2,443</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2,413</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19.2 %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(18,354)</w:t>
            </w:r>
          </w:p>
        </w:tc>
        <w:tc>
          <w:tcPr>
            <w:tcW w:w="8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vMerge w:val="restart"/>
          </w:tcPr>
          <w:p>
            <w:pPr>
              <w:spacing w:after="0"/>
              <w:rPr>
                <w:sz w:val="7"/>
                <w:szCs w:val="7"/>
                <w:color w:val="auto"/>
              </w:rPr>
            </w:pPr>
          </w:p>
        </w:tc>
        <w:tc>
          <w:tcPr>
            <w:tcW w:w="70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1"/>
                <w:szCs w:val="11"/>
                <w:color w:val="auto"/>
                <w:w w:val="99"/>
              </w:rPr>
              <w:t>(6.5)%</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2,123</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12.4 %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(1,631)</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(208.0)%</w:t>
            </w:r>
          </w:p>
        </w:tc>
        <w:tc>
          <w:tcPr>
            <w:tcW w:w="100" w:type="dxa"/>
            <w:vAlign w:val="bottom"/>
          </w:tcPr>
          <w:p>
            <w:pPr>
              <w:spacing w:after="0"/>
              <w:rPr>
                <w:sz w:val="7"/>
                <w:szCs w:val="7"/>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(32,830)</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26,486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(26,881)</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4,353</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6,278</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fiscal 2025, sales were slightly lower and gross profit levels declined because of the change in operating environments over the two periods.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Sales were down in the first nine months of fiscal 2025 primarily because we fulfilled fewer larger sized video display projects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sales in the out of home segment. Larger projects cause inherent volatility in comparison and sales and orders because of the unique nature of each customer's timing and project needs. There were fewer large sized projects in the market and ordered early this year as compared to prior years, causing the change in sales volumes. Sales increases related to the out of home area follows the reasons for the increase in orders. Gross profit as a percentage of sales increased due to improved fulfillment costs and pricing strategies. Selling expenses remained relatively flat in dollars. Order bookings increased in the out of home areas as result in our marketing efforts to independent billboard operators and increased demand and availability of large sized video display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for the first nine months of fiscal 2025 was driven by timing of large projects and customer delivery schedules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orders in the third quarter of fiscal 2025. The decline in gross profit as a percentage of sales is partially attributable to the sales mix differences between periods. Selling expenses remained relatively flat in dollar amounts and decreased as a percent of sales. The change in orders was impacted by the timing of large contract orders which cause inherent lumpiness and volatility in comparisons.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decrease in net sales for the first nine months of fiscal 2025 was driven by converting the high level of 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supply chain disruptions from the first quarter of fiscal 2024 compared to the more normal level backlog at the beginning of fiscal 2025. Gross profit as a percentage of sales increased due to the market shift to more video projects and better utilization of manufacturing department expenses. Selling expenses increased primarily because of personnel related wages and benefits costs for investments in staffing to support future growth. Order bookings increased as a result of the trends for schools increasingly using video solutions, which are larger dollar-sized transactions than traditional scoreboard projects.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during the first nine months of fiscal 2025 was driven by fulfilling orders in backlog and continued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bookings, especially in large intelligent transportation system projects. Gross profit as a percentage of sales increased as a result of a change in product mix, the recognition of a $1.0 million project related insurance reimbursement, and a reduction in warranty reserves. Selling expenses increased primarily because of personnel related wages and benefit costs for investments in staffing to support future growth. Available orders in the market are smaller this year and uncertainty around federal funding has caused orders to decline.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in the first nine months of fiscal 2025 was driven by timing of conversion of orders due to lower backlog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period. Gross profit decreased primarily because of lower sales volume over relatively fixed cost structure. Even with efforts to decrease selling and other operational costs, our International business unit operated at a negative contribution margin. We are seeing higher demand in International markets that were previously impacted by inflationary environment and geopolitical events which has driven the increase in orders.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January 27,</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(22,283)</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$74.8 million of cash provided by operating activities during the first nine months of fiscal 2025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business profitability (adjusting operating loss for non-cash expenses, primarily depreciation and amortization and loan fair value charges) and net positive changes in operating asset and liabilities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the receivable and contract asset collections and our initiatives to lower inventory offset by payments of accounts payable and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for the nine months ended January 25, 2025 and January 27, 2024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27,</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the first nine months of fiscal 2025 and fiscal 2024, purchases of property and equipment totaled $14.7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$13.6 million, respectively, and investments in affiliates were $3.3 million and $4.1 million, respectively.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financing activities: </w:t>
      </w:r>
      <w:r>
        <w:rPr>
          <w:rFonts w:ascii="Times New Roman" w:cs="Times New Roman" w:eastAsia="Times New Roman" w:hAnsi="Times New Roman"/>
          <w:sz w:val="18"/>
          <w:szCs w:val="18"/>
          <w:color w:val="auto"/>
        </w:rPr>
        <w:t>During the first nine months of fiscal 2025, financing cash outflow included $9.0 million for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shares repurchased and $1.7 million for payments on notes payable, partially offset by cash inflow of $5.1 million received for the exercise of stock options. Cash inflow from the first nine months of fiscal 2024 resulted from closing on the $25.0 million Convertible Note financing, which had an outstanding balance of $11.1 million as of January 25, 2025, and the $15.0 million mortgage financing in the first quarter of fiscal 2024. These inflows were partially offset by the payoff of our previous credit line of $18.5 million, expending $6.8 million of debt issuance costs, and principal payments made on the mortgage financing.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$60.0 million asset-based revolving credit facility with a maturity date of May 11, 2026 ("ABL") that is subject to customary covenants and conditions. As of January 25, 2025, we had $33.4 million borrowing capacity on the ABL after $3.5 million used to secure letters of credit outstanding. We had no borrowings against the ABL. As of January 25, 2025, the outstanding principal balance of $12.8 million on a loan which is secured by a first priority mortgage on our Brookings, South Dakota real estate. The outstanding principal balance under the Convertible Note was $11.1 million. The Convertible Note is secured by a second priority lien on the assets securing the ABL facility and a first priority lien on substantially all the other assets of the Company, excluding all real property.</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continued to execute on its intentions to convert the remainder of the Convertible Note during the third quarter and subsequent to the end of the quarter. The details of these transactions include: On January 10, 2025, the Company issued notice to the Holder, to force the conversion of the third tranche of $7.0 million of the principal and interest balance on February 3, 2025 of the Convertible Note at the conversion price of $6.31 per share into 1.1 million shares of the Company's common stock. On February 10, 2025, the Company issued notice to the Holder to force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conversion of the fourth and final tranche of $4.3 million on March 4, 2025, the remaining principal and interest balance of the Convertible Note. We will issue the shares upon the Holder’s indicating the ability to take delivery of the shares under the maximum ownership provisions of the Convertible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25, 2025, we had $132.2 million in cash and cash equivalents. We believe cash flow from operations, existing line of credit, and access to debt and capital markets will be sufficient to meet our current liquidity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was $232.0 million and $209.7 million as of January 25, 2025 and April 27, 2024, respectively. The changes in working capital, particularly changes in inventory, accounts payable, accounts receivable, and contract assets and liabilities, are impacted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$8.9 million of retainage on long-term contracts included in receivables and contract assets as of January 25, 2025,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long-term capital allocation strategy is to first fund operations and investments in growth, maintain a reasonable liquidity and leverage ratio that reflects a prudent and compliant capital structure in light of the cyclically of business, reduce debt, and then, as allowed under any restrictive debt covenants, return excess cash over time to shareholders through dividends and share repurchases.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 spend between $8.0 million to $10.0 million for transformation efforts during fiscal 2025. Our total capital expenditures are expected to be approximately $20.7 million for fiscal 2025.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capital expenditures, we plan to make additional investments in our general and administrative expenses to execute our broad digital transformation strategies to modernize our service systems for field service automation, advance our enterprise performance planning capabilities, and improve and automate quoting and sales processes.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$1.5 million in fiscal 2025 in our current affiliates. We may make additional investments beyond our commitments.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an aggregate of $190.0 million bonding line available through surety companies. If we were unable to complete the installation work, and our customer would call upon the bond for payment, the surety company would subrogate its loss to Daktronics. As of January 25, 2025, we had $20.4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fiscal 2025, there were no material changes in our contractual obligations. See the Form 10-K for additional information regarding our contractual obligations and commercial commitments.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27, 2024. We discuss our critical accounting estimates in "Part II, Item 7. Management’s Discussion and Analysis of Financial Condition and Results of Operations" in our Annual Report on Form 10-K for the fiscal year ended April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the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the market risks identified in the Form 10-K during the first nine months of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amended. As of January 25, 2025,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January 25, 2025, our disclosure controls and procedures were effective at the reasonable assurance level to ensure information required to be disclosed in the Condensed Consolidated Financial Statements included in this Quarterly Report on Form 10-Q was recorded, processed, summarized, and reported within the time period required by the SEC's rules and forms and accumulated and communicated to management, including the Chief Executive Officer and Chief Financial Officer, to allow timely decisions regarding required disclosure.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January 25, 2025, there have been no changes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and "Note. 13. Subsequent Events" of the Notes to our Condensed Consolidated Financial Statements included in this Quarterly Report on Form 10-Q for further information on any legal proceedings and claims.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27, 2024. They describe various risks and uncertainties to which we are or may become subject. These risks and uncertainties, 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 We review and, where applicable, update our risk factors each quarter. There have been no material changes from the risk factors disclosed in the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11, 2024, the Company issued notice to the Holder that the Company would force the conversion of $7,000 of the principal balance and accrued interest of the Convertible Note on December 3, 2024 at the conversion price of $6.31 per share (the "Conversion Price") into 1,109 shares of the Company's common stock (the "December Conversion"). On December 11, 2024, the Company issued notice to the Holder that the Company would force the conversion of $7,000 of the principal balance and accrued interest of the Convertible Note on January 3, 2025 at the Conversion Price into 1,109 shares of the Company's common stock (the "January Conversion"). On January 27, 2025, in accordance with the terms of the Convertible Note, the Company settled $14,000 of the principal balance and accrued interest of the Convertible Note in exchange for the issuance of 2,218 shares of the Company's common stock (based on the Conversion Price). On January 10, 2025, the Company issued notice to the Holder that the Company would force the conversion of $7,000 of the principal balance and accrued interest of the Convertible Note on February 3, 2025 at the conversion price of $6.31 per share into 1,109 shares of the Company's common stock (the "February Conversion"). On February 3, 2025, in accordance with the terms of the Convertible Note, the Company settled the February Conversion.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common stock that were issued upon conversion of the Convertible Note in the third fiscal quarter ended January 25, 2025 were offered and sold in transactions exempt from registration under the Securities Act in reliance on Section 4(a)(2) or Section 3(a)(9) of the Securities Act and Regulation D under the Securities Act. For more information about the December Conversion and the January Conversion, please refer to "Note 7. Financing Agreements" and “Note 13. Subsequent Events” of the Notes to our Condensed Consolidated Financial Statements included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of common stock during the third quarter of fiscal 2025, there were no share repurchases</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two quarters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27, 2024 - November 23,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24, 2024 - December 21,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22, 2024 - January 25, 2025</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2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80" w:type="dxa"/>
            <w:vAlign w:val="bottom"/>
            <w:gridSpan w:val="2"/>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0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75"/>
        </w:trPr>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290"/>
              <w:spacing w:after="0" w:line="176"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60" w:type="dxa"/>
            <w:vAlign w:val="bottom"/>
          </w:tcPr>
          <w:p>
            <w:pPr>
              <w:spacing w:after="0"/>
              <w:rPr>
                <w:sz w:val="15"/>
                <w:szCs w:val="15"/>
                <w:color w:val="auto"/>
              </w:rPr>
            </w:pPr>
          </w:p>
        </w:tc>
        <w:tc>
          <w:tcPr>
            <w:tcW w:w="18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60" w:type="dxa"/>
            <w:vAlign w:val="bottom"/>
          </w:tcPr>
          <w:p>
            <w:pPr>
              <w:spacing w:after="0"/>
              <w:rPr>
                <w:sz w:val="20"/>
                <w:szCs w:val="20"/>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 (1)</w:t>
            </w:r>
          </w:p>
        </w:tc>
        <w:tc>
          <w:tcPr>
            <w:tcW w:w="0" w:type="dxa"/>
            <w:vAlign w:val="bottom"/>
          </w:tcPr>
          <w:p>
            <w:pPr>
              <w:spacing w:after="0"/>
              <w:rPr>
                <w:sz w:val="1"/>
                <w:szCs w:val="1"/>
                <w:color w:val="auto"/>
              </w:rPr>
            </w:pP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29,354,956</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25,249,307</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303,137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20,338,904</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535,697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535,697</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-624840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-333375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21" w:right="339" w:bottom="1440" w:gutter="0" w:footer="0" w:header="0"/>
          <w:type w:val="continuous"/>
        </w:sectPr>
      </w:pPr>
    </w:p>
    <w:p>
      <w:pPr>
        <w:spacing w:after="0" w:line="79" w:lineRule="exact"/>
        <w:rPr>
          <w:sz w:val="20"/>
          <w:szCs w:val="20"/>
          <w:color w:val="auto"/>
        </w:rPr>
      </w:pPr>
    </w:p>
    <w:p>
      <w:pPr>
        <w:jc w:val="both"/>
        <w:ind w:firstLine="8"/>
        <w:spacing w:after="0" w:line="261"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repurchases described in the above table were made pursuant to the $40.0 million share repurchase program authorized by the Company's Board of Directors (the "Board" or "Board of Directors") on June 17, 2016 (the "Repurchase Program"). On April 1, 2020, the Board of Directors voted to suspend repurchases under the Repurchase Program. On December 2, 2021, the Board of Directors reinstated the Repurchase Program. The Repurchase Program has no fixed expiration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Amended and Restated Articles of Incorporation of the Company. (Incorporated by reference to Exhibit 3.1 of the Quarterly Report on Form</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10-Q/A (Amendment No. 1) of Daktronics, Inc. filed on December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-255905</wp:posOffset>
            </wp:positionV>
            <wp:extent cx="7132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20"/>
        <w:spacing w:after="0" w:line="237"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Second Amended and Restated Bylaws of Daktronics, Inc., dated as of March 3, 2025(incorporated by reference to Exhibit 3.1 to the Current</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Report on Form 8-K filed by Daktronics, Inc. on March 3, 2025).</w:t>
        </w:r>
      </w:hyperlink>
    </w:p>
    <w:p>
      <w:pPr>
        <w:spacing w:after="0" w:line="10" w:lineRule="exact"/>
        <w:rPr>
          <w:sz w:val="20"/>
          <w:szCs w:val="20"/>
          <w:color w:val="auto"/>
        </w:rPr>
      </w:pPr>
    </w:p>
    <w:p>
      <w:pPr>
        <w:sectPr>
          <w:pgSz w:w="11900" w:h="16838" w:orient="portrait"/>
          <w:cols w:equalWidth="0" w:num="2">
            <w:col w:w="320" w:space="720"/>
            <w:col w:w="10200"/>
          </w:cols>
          <w:pgMar w:left="320" w:top="121" w:right="3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340" w:type="dxa"/>
            <w:vAlign w:val="bottom"/>
            <w:tcBorders>
              <w:left w:val="single" w:sz="8" w:color="CCEEFF"/>
            </w:tcBorders>
            <w:gridSpan w:val="2"/>
            <w:shd w:val="clear" w:color="auto" w:fill="CCEEFF"/>
          </w:tcPr>
          <w:p>
            <w:pPr>
              <w:ind w:left="2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720" w:type="dxa"/>
            <w:vAlign w:val="bottom"/>
            <w:tcBorders>
              <w:right w:val="single" w:sz="8" w:color="CCEEFF"/>
            </w:tcBorders>
            <w:shd w:val="clear" w:color="auto" w:fill="CCEEFF"/>
          </w:tcPr>
          <w:p>
            <w:pPr>
              <w:spacing w:after="0"/>
              <w:rPr>
                <w:sz w:val="17"/>
                <w:szCs w:val="17"/>
                <w:color w:val="auto"/>
              </w:rPr>
            </w:pPr>
          </w:p>
        </w:tc>
        <w:tc>
          <w:tcPr>
            <w:tcW w:w="102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6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180" w:type="dxa"/>
            <w:vAlign w:val="bottom"/>
            <w:tcBorders>
              <w:top w:val="single" w:sz="8" w:color="0000EE"/>
              <w:bottom w:val="single" w:sz="8" w:color="0000EE"/>
            </w:tcBorders>
            <w:gridSpan w:val="22"/>
            <w:shd w:val="clear" w:color="auto" w:fill="CCEEFF"/>
          </w:tcPr>
          <w:p>
            <w:pPr>
              <w:spacing w:after="0" w:line="182"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reference to Exhibit 4.1 of the Current Report on Form 8-K of Daktronics, Inc. filed on November 16, 2018, Commission File No. 000-</w:t>
              </w:r>
            </w:hyperlink>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23246).</w:t>
              </w:r>
            </w:hyperlink>
          </w:p>
        </w:tc>
        <w:tc>
          <w:tcPr>
            <w:tcW w:w="36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720" w:type="dxa"/>
            <w:vAlign w:val="bottom"/>
          </w:tcPr>
          <w:p>
            <w:pPr>
              <w:spacing w:after="0"/>
              <w:rPr>
                <w:sz w:val="17"/>
                <w:szCs w:val="17"/>
                <w:color w:val="auto"/>
              </w:rPr>
            </w:pPr>
          </w:p>
        </w:tc>
        <w:tc>
          <w:tcPr>
            <w:tcW w:w="10220" w:type="dxa"/>
            <w:vAlign w:val="bottom"/>
            <w:gridSpan w:val="24"/>
          </w:tcPr>
          <w:p>
            <w:pPr>
              <w:spacing w:after="0" w:line="20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6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tcBorders>
              <w:left w:val="single" w:sz="8" w:color="CCEEFF"/>
            </w:tcBorders>
            <w:gridSpan w:val="2"/>
            <w:shd w:val="clear" w:color="auto" w:fill="CCEEFF"/>
          </w:tcPr>
          <w:p>
            <w:pPr>
              <w:ind w:left="20"/>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20" w:type="dxa"/>
            <w:vAlign w:val="bottom"/>
            <w:tcBorders>
              <w:right w:val="single" w:sz="8" w:color="CCEEFF"/>
            </w:tcBorders>
            <w:shd w:val="clear" w:color="auto" w:fill="CCEEFF"/>
          </w:tcPr>
          <w:p>
            <w:pPr>
              <w:spacing w:after="0"/>
              <w:rPr>
                <w:sz w:val="17"/>
                <w:szCs w:val="17"/>
                <w:color w:val="auto"/>
              </w:rPr>
            </w:pPr>
          </w:p>
        </w:tc>
        <w:tc>
          <w:tcPr>
            <w:tcW w:w="1022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Second Amendment to Rights Agreement, dated as of November 19, 2024, by and between Daktronics, Inc. and Equiniti Trust Company,</w:t>
              </w:r>
            </w:hyperlink>
          </w:p>
        </w:tc>
      </w:tr>
      <w:tr>
        <w:trPr>
          <w:trHeight w:val="183"/>
        </w:trPr>
        <w:tc>
          <w:tcPr>
            <w:tcW w:w="26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880" w:type="dxa"/>
            <w:vAlign w:val="bottom"/>
            <w:tcBorders>
              <w:top w:val="single" w:sz="8" w:color="0000FF"/>
              <w:bottom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LLC, as Rights Agent (incorporated by reference to Exhibit 4.3 to the Current Report on Form 8-K filed by Daktronics, Inc. on November</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 2024).</w:t>
              </w:r>
            </w:hyperlink>
          </w:p>
        </w:tc>
        <w:tc>
          <w:tcPr>
            <w:tcW w:w="4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720" w:type="dxa"/>
            <w:vAlign w:val="bottom"/>
          </w:tcPr>
          <w:p>
            <w:pPr>
              <w:spacing w:after="0"/>
              <w:rPr>
                <w:sz w:val="17"/>
                <w:szCs w:val="17"/>
                <w:color w:val="auto"/>
              </w:rPr>
            </w:pPr>
          </w:p>
        </w:tc>
        <w:tc>
          <w:tcPr>
            <w:tcW w:w="10220" w:type="dxa"/>
            <w:vAlign w:val="bottom"/>
            <w:gridSpan w:val="24"/>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Third Amendment to Rights Agreement, dated as of March 3, 2025, by and between Daktronics, Inc. and Equiniti Trust Company, LLC, as</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Rights Agent (incorporated by reference to Exhibit 4.4 to the Current Report on Form 8-K filed by Daktronics, Inc. on March 3, 2025).</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22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Securities Purchase Agreement dated as of May 11, 2023 by and between Daktronics, Inc. and Alta Fox Opportunities Fund, LP</w:t>
              </w:r>
            </w:hyperlink>
          </w:p>
        </w:tc>
      </w:tr>
      <w:tr>
        <w:trPr>
          <w:trHeight w:val="183"/>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CCEEFF"/>
              <w:right w:val="single" w:sz="8" w:color="CCEEFF"/>
            </w:tcBorders>
            <w:shd w:val="clear" w:color="auto" w:fill="CCEEFF"/>
          </w:tcPr>
          <w:p>
            <w:pPr>
              <w:spacing w:after="0"/>
              <w:rPr>
                <w:sz w:val="15"/>
                <w:szCs w:val="15"/>
                <w:color w:val="auto"/>
              </w:rPr>
            </w:pPr>
          </w:p>
        </w:tc>
        <w:tc>
          <w:tcPr>
            <w:tcW w:w="9220" w:type="dxa"/>
            <w:vAlign w:val="bottom"/>
            <w:tcBorders>
              <w:top w:val="single" w:sz="8" w:color="0000FF"/>
            </w:tcBorders>
            <w:gridSpan w:val="8"/>
            <w:shd w:val="clear" w:color="auto" w:fill="CCEEFF"/>
          </w:tcPr>
          <w:p>
            <w:pPr>
              <w:spacing w:after="0" w:line="182"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by reference to Exhibit 10.3 filed with the Current Report on Form 8-K of Daktronics, Inc. filed on May 12, 2023)</w:t>
              </w:r>
            </w:hyperlink>
          </w:p>
        </w:tc>
        <w:tc>
          <w:tcPr>
            <w:tcW w:w="320" w:type="dxa"/>
            <w:vAlign w:val="bottom"/>
            <w:tcBorders>
              <w:top w:val="single" w:sz="8" w:color="CCEEFF"/>
              <w:right w:val="single" w:sz="8" w:color="CCEEFF"/>
            </w:tcBorders>
            <w:gridSpan w:val="2"/>
            <w:shd w:val="clear" w:color="auto" w:fill="CCEEFF"/>
          </w:tcPr>
          <w:p>
            <w:pPr>
              <w:jc w:val="right"/>
              <w:ind w:right="260"/>
              <w:spacing w:after="0" w:line="182" w:lineRule="exact"/>
              <w:rPr>
                <w:rFonts w:ascii="Times New Roman" w:cs="Times New Roman" w:eastAsia="Times New Roman" w:hAnsi="Times New Roman"/>
                <w:sz w:val="18"/>
                <w:szCs w:val="18"/>
                <w:color w:val="0000FF"/>
                <w:w w:val="87"/>
              </w:rPr>
            </w:pPr>
            <w:hyperlink r:id="rId75">
              <w:r>
                <w:rPr>
                  <w:rFonts w:ascii="Times New Roman" w:cs="Times New Roman" w:eastAsia="Times New Roman" w:hAnsi="Times New Roman"/>
                  <w:sz w:val="18"/>
                  <w:szCs w:val="18"/>
                  <w:color w:val="0000FF"/>
                  <w:w w:val="87"/>
                </w:rPr>
                <w:t>.</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3"/>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26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right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06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220" w:type="dxa"/>
            <w:vAlign w:val="bottom"/>
            <w:gridSpan w:val="24"/>
          </w:tcPr>
          <w:p>
            <w:pPr>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Senior Secured Convertible Note dated as of May 11, 2023 issued by Daktronics, Inc. to Alta Fox Opportunities Fund, LP (Incorporated by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02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reference to Exhibit 10.4 filed with the Current Report on Form 8-K of Daktronics, Inc. filed on May 12, 2023).</w:t>
              </w:r>
            </w:hyperlink>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22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Pledge and Security Agreement dated as of May 11, 2023 by and among Daktronics, Inc., Daktronics Installation, Inc., and Alta Fox</w:t>
              </w:r>
            </w:hyperlink>
          </w:p>
        </w:tc>
      </w:tr>
      <w:tr>
        <w:trPr>
          <w:trHeight w:val="20"/>
        </w:trPr>
        <w:tc>
          <w:tcPr>
            <w:tcW w:w="26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CCEEFF"/>
            </w:tcBorders>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3"/>
        </w:trPr>
        <w:tc>
          <w:tcPr>
            <w:tcW w:w="26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9880" w:type="dxa"/>
            <w:vAlign w:val="bottom"/>
            <w:tcBorders>
              <w:bottom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Opportunities Fund, LP (Incorporated by reference to Exhibit 10.5 filed with the Current Report on Form 8-K of Daktronics, Inc. filed on</w:t>
              </w:r>
            </w:hyperlink>
          </w:p>
        </w:tc>
        <w:tc>
          <w:tcPr>
            <w:tcW w:w="34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22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May 12, 2023).</w:t>
              </w:r>
            </w:hyperlink>
          </w:p>
        </w:tc>
      </w:tr>
      <w:tr>
        <w:trPr>
          <w:trHeight w:val="34"/>
        </w:trPr>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6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220" w:type="dxa"/>
            <w:vAlign w:val="bottom"/>
            <w:gridSpan w:val="24"/>
          </w:tcPr>
          <w:p>
            <w:pPr>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Registration Rights Agreement dated as of May 11, 2023 by and between Daktronics, Inc. and Alta Fox Opportunities Fund, LP</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920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(Incorporated by reference to Exhibit 10.6 filed with the Current Report on Form 8-K of Daktronics, Inc. filed on May 12, 2023)</w:t>
              </w:r>
            </w:hyperlink>
          </w:p>
        </w:tc>
        <w:tc>
          <w:tcPr>
            <w:tcW w:w="340" w:type="dxa"/>
            <w:vAlign w:val="bottom"/>
            <w:gridSpan w:val="3"/>
          </w:tcPr>
          <w:p>
            <w:pPr>
              <w:jc w:val="right"/>
              <w:ind w:right="260"/>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w:t>
              </w:r>
            </w:hyperlink>
          </w:p>
        </w:tc>
        <w:tc>
          <w:tcPr>
            <w:tcW w:w="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2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22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Cooperation Agreement dated as of March 3, 2025 by and between Daktronics, Inc. and Alta Fox Capital Management, LLC, Alta Fox</w:t>
              </w:r>
            </w:hyperlink>
          </w:p>
        </w:tc>
      </w:tr>
      <w:tr>
        <w:trPr>
          <w:trHeight w:val="20"/>
        </w:trPr>
        <w:tc>
          <w:tcPr>
            <w:tcW w:w="26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51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3"/>
        </w:trPr>
        <w:tc>
          <w:tcPr>
            <w:tcW w:w="2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0220" w:type="dxa"/>
            <w:vAlign w:val="bottom"/>
            <w:gridSpan w:val="24"/>
            <w:shd w:val="clear" w:color="auto" w:fill="CCEEFF"/>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Opportunities Fund, LP, Alta Fox GenPar, LP, Alta Fox Equity, LLC and P. Connor Haley (Incorporated by reference to Exhibit 10.1 filed</w:t>
              </w:r>
            </w:hyperlink>
          </w:p>
        </w:tc>
      </w:tr>
      <w:tr>
        <w:trPr>
          <w:trHeight w:val="196"/>
        </w:trPr>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with the Current Report on Form 8-K of Daktronics, Inc. filed on March 3, 2025).</w:t>
              </w:r>
            </w:hyperlink>
          </w:p>
        </w:tc>
        <w:tc>
          <w:tcPr>
            <w:tcW w:w="320" w:type="dxa"/>
            <w:vAlign w:val="bottom"/>
            <w:tcBorders>
              <w:top w:val="single" w:sz="8" w:color="CCEEFF"/>
            </w:tcBorders>
            <w:gridSpan w:val="7"/>
            <w:shd w:val="clear" w:color="auto" w:fill="CCEEFF"/>
          </w:tcPr>
          <w:p>
            <w:pPr>
              <w:spacing w:after="0"/>
              <w:rPr>
                <w:sz w:val="17"/>
                <w:szCs w:val="17"/>
                <w:color w:val="auto"/>
              </w:rPr>
            </w:pPr>
          </w:p>
        </w:tc>
      </w:tr>
      <w:tr>
        <w:trPr>
          <w:trHeight w:val="34"/>
        </w:trPr>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22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required by Rule 13a-14(a) or Rule 15d-14(a) under the Securities Exchange Act of 1934, as</w:t>
            </w:r>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200" w:type="dxa"/>
            <w:vAlign w:val="bottom"/>
            <w:tcBorders>
              <w:top w:val="single" w:sz="8" w:color="0000EE"/>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 (1)</w:t>
            </w:r>
          </w:p>
        </w:tc>
        <w:tc>
          <w:tcPr>
            <w:tcW w:w="20" w:type="dxa"/>
            <w:vAlign w:val="bottom"/>
          </w:tcPr>
          <w:p>
            <w:pPr>
              <w:spacing w:after="0"/>
              <w:rPr>
                <w:sz w:val="15"/>
                <w:szCs w:val="15"/>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22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5160" w:type="dxa"/>
            <w:vAlign w:val="bottom"/>
            <w:tcBorders>
              <w:top w:val="single" w:sz="8" w:color="0000EE"/>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 (1)</w:t>
            </w:r>
          </w:p>
        </w:tc>
        <w:tc>
          <w:tcPr>
            <w:tcW w:w="5000" w:type="dxa"/>
            <w:vAlign w:val="bottom"/>
            <w:tcBorders>
              <w:top w:val="single" w:sz="8" w:color="0000EE"/>
              <w:bottom w:val="single" w:sz="8" w:color="CCEEFF"/>
            </w:tcBorders>
            <w:gridSpan w:val="17"/>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22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(2)</w:t>
            </w:r>
          </w:p>
        </w:tc>
      </w:tr>
      <w:tr>
        <w:trPr>
          <w:trHeight w:val="34"/>
        </w:trPr>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tcBorders>
              <w:left w:val="single" w:sz="8" w:color="CCEEFF"/>
              <w:right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22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(2)</w:t>
            </w:r>
          </w:p>
        </w:tc>
      </w:tr>
      <w:tr>
        <w:trPr>
          <w:trHeight w:val="34"/>
        </w:trPr>
        <w:tc>
          <w:tcPr>
            <w:tcW w:w="260" w:type="dxa"/>
            <w:vAlign w:val="bottom"/>
            <w:tcBorders>
              <w:top w:val="single" w:sz="8" w:color="0000FF"/>
              <w:lef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16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1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rFonts w:ascii="Times New Roman" w:cs="Times New Roman" w:eastAsia="Times New Roman" w:hAnsi="Times New Roman"/>
          <w:sz w:val="18"/>
          <w:szCs w:val="18"/>
          <w:color w:val="auto"/>
        </w:rPr>
      </w:pPr>
    </w:p>
    <w:p>
      <w:pPr>
        <w:ind w:left="1300" w:hanging="26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electronically.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25, 2025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p>
      <w:pPr>
        <w:sectPr>
          <w:pgSz w:w="11900" w:h="16838" w:orient="portrait"/>
          <w:cols w:equalWidth="0" w:num="1">
            <w:col w:w="11240"/>
          </w:cols>
          <w:pgMar w:left="320" w:top="93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25, 2025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p>
      <w:pPr>
        <w:sectPr>
          <w:pgSz w:w="11900" w:h="16838" w:orient="portrait"/>
          <w:cols w:equalWidth="0" w:num="1">
            <w:col w:w="11240"/>
          </w:cols>
          <w:pgMar w:left="320" w:top="93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25, 2025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p>
      <w:pPr>
        <w:sectPr>
          <w:pgSz w:w="11900" w:h="16838" w:orient="portrait"/>
          <w:cols w:equalWidth="0" w:num="1">
            <w:col w:w="11240"/>
          </w:cols>
          <w:pgMar w:left="320" w:top="93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25, 2025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04"/>
    </w:lvl>
    <w:lvl w:ilvl="1">
      <w:lvlJc w:val="left"/>
      <w:lvlText w:val="(%2)"/>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65" Type="http://schemas.openxmlformats.org/officeDocument/2006/relationships/hyperlink" Target="https://www.sec.gov/Archives/edgar/data/915779/000091577918000119/exhibit31.htm" TargetMode="External"/><Relationship Id="rId66" Type="http://schemas.openxmlformats.org/officeDocument/2006/relationships/hyperlink" Target="https://www.sec.gov/Archives/edgar/data/915779/000119312525044301/d874207dex31.htm" TargetMode="External"/><Relationship Id="rId67" Type="http://schemas.openxmlformats.org/officeDocument/2006/relationships/hyperlink" Target="http://www.sec.gov/Archives/edgar/data/915779/000091577918000119/exhibit31.htm" TargetMode="External"/><Relationship Id="rId69" Type="http://schemas.openxmlformats.org/officeDocument/2006/relationships/hyperlink" Target="https://www.sec.gov/Archives/edgar/data/915779/000091577918000089/dakt_20181116x8-kxex41.htm" TargetMode="External"/><Relationship Id="rId70" Type="http://schemas.openxmlformats.org/officeDocument/2006/relationships/hyperlink" Target="http://www.sec.gov/Archives/edgar/data/915779/000091577918000089/dakt_20181116x8-kxex41.htm" TargetMode="External"/><Relationship Id="rId71" Type="http://schemas.openxmlformats.org/officeDocument/2006/relationships/hyperlink" Target="https://www.sec.gov/Archives/edgar/data/915779/000143774921027158/ex_309612.htm" TargetMode="External"/><Relationship Id="rId72" Type="http://schemas.openxmlformats.org/officeDocument/2006/relationships/hyperlink" Target="http://www.sec.gov/Archives/edgar/data/915779/000143774921027158/ex_309612.htm" TargetMode="External"/><Relationship Id="rId73" Type="http://schemas.openxmlformats.org/officeDocument/2006/relationships/hyperlink" Target="https://www.sec.gov/Archives/edgar/data/915779/000091577924000145/exhibit43_2ndamendmenttori.htm" TargetMode="External"/><Relationship Id="rId74" Type="http://schemas.openxmlformats.org/officeDocument/2006/relationships/hyperlink" Target="https://www.sec.gov/Archives/edgar/data/915779/000119312525044301/d874207dex44.htm" TargetMode="External"/><Relationship Id="rId75" Type="http://schemas.openxmlformats.org/officeDocument/2006/relationships/hyperlink" Target="https://www.sec.gov/Archives/edgar/data/915779/000091577923000029/exhibit103toform_execute.htm" TargetMode="External"/><Relationship Id="rId76" Type="http://schemas.openxmlformats.org/officeDocument/2006/relationships/hyperlink" Target="https://www.sec.gov/Archives/edgar/data/915779/000091577923000029/exhibit104toform_execute.htm" TargetMode="External"/><Relationship Id="rId77" Type="http://schemas.openxmlformats.org/officeDocument/2006/relationships/hyperlink" Target="https://www.sec.gov/Archives/edgar/data/915779/000091577923000029/exhibit105toform_execute.htm" TargetMode="External"/><Relationship Id="rId78" Type="http://schemas.openxmlformats.org/officeDocument/2006/relationships/hyperlink" Target="https://www.sec.gov/Archives/edgar/data/915779/000091577923000029/exhibit106toform_execute.htm" TargetMode="External"/><Relationship Id="rId79" Type="http://schemas.openxmlformats.org/officeDocument/2006/relationships/hyperlink" Target="https://www.sec.gov/Archives/edgar/data/915779/000119312525044301/d8742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2025-03-05T11:39:25Z</dcterms:created>
  <dcterms:modified xsi:type="dcterms:W3CDTF">2025-03-05T11:39:25Z</dcterms:modified>
</cp:coreProperties>
</file>