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October 29, 2016</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97915"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November 28, 2016 was 44,029,469.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 the Quarter Ended October 29, 2016</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gridSpan w:val="4"/>
          </w:tcPr>
          <w:p>
            <w:pPr>
              <w:ind w:left="96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3">
              <w:r>
                <w:rPr>
                  <w:rFonts w:ascii="Arial" w:cs="Arial" w:eastAsia="Arial" w:hAnsi="Arial"/>
                  <w:sz w:val="18"/>
                  <w:szCs w:val="18"/>
                  <w:b w:val="1"/>
                  <w:bCs w:val="1"/>
                  <w:color w:val="0000FF"/>
                  <w:w w:val="95"/>
                </w:rPr>
                <w:t>Part I.</w:t>
              </w:r>
            </w:hyperlink>
          </w:p>
        </w:tc>
        <w:tc>
          <w:tcPr>
            <w:tcW w:w="320" w:type="dxa"/>
            <w:vAlign w:val="bottom"/>
            <w:gridSpan w:val="3"/>
          </w:tcPr>
          <w:p>
            <w:pPr>
              <w:spacing w:after="0"/>
              <w:rPr>
                <w:sz w:val="19"/>
                <w:szCs w:val="19"/>
                <w:color w:val="auto"/>
              </w:rPr>
            </w:pPr>
          </w:p>
        </w:tc>
        <w:tc>
          <w:tcPr>
            <w:tcW w:w="1700" w:type="dxa"/>
            <w:vAlign w:val="bottom"/>
            <w:tcBorders>
              <w:bottom w:val="single" w:sz="8" w:color="0000FF"/>
            </w:tcBorders>
            <w:gridSpan w:val="6"/>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6880" w:type="dxa"/>
            <w:vAlign w:val="bottom"/>
            <w:gridSpan w:val="13"/>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160" w:type="dxa"/>
            <w:vAlign w:val="bottom"/>
            <w:gridSpan w:val="3"/>
          </w:tcPr>
          <w:p>
            <w:pPr>
              <w:ind w:left="98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October 29, 2016 (unaudited) and April 30, 2016</w:t>
              </w:r>
            </w:hyperlink>
          </w:p>
        </w:tc>
        <w:tc>
          <w:tcPr>
            <w:tcW w:w="1960" w:type="dxa"/>
            <w:vAlign w:val="bottom"/>
            <w:gridSpan w:val="4"/>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Six Months Ended October 29, 2016 and</w:t>
              </w:r>
            </w:hyperlink>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October 31, 2015 (unaudited)</w:t>
              </w:r>
            </w:hyperlink>
          </w:p>
        </w:tc>
        <w:tc>
          <w:tcPr>
            <w:tcW w:w="940" w:type="dxa"/>
            <w:vAlign w:val="bottom"/>
          </w:tcPr>
          <w:p>
            <w:pPr>
              <w:spacing w:after="0"/>
              <w:rPr>
                <w:sz w:val="17"/>
                <w:szCs w:val="17"/>
                <w:color w:val="auto"/>
              </w:rPr>
            </w:pPr>
          </w:p>
        </w:tc>
        <w:tc>
          <w:tcPr>
            <w:tcW w:w="1160" w:type="dxa"/>
            <w:vAlign w:val="bottom"/>
            <w:gridSpan w:val="3"/>
          </w:tcPr>
          <w:p>
            <w:pPr>
              <w:ind w:left="98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for the Three and Six Months Ended October</w:t>
              </w:r>
            </w:hyperlink>
          </w:p>
        </w:tc>
        <w:tc>
          <w:tcPr>
            <w:tcW w:w="9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29, 2016 and October 31, 2015 (unaudited)</w:t>
              </w:r>
            </w:hyperlink>
          </w:p>
        </w:tc>
        <w:tc>
          <w:tcPr>
            <w:tcW w:w="1160" w:type="dxa"/>
            <w:vAlign w:val="bottom"/>
            <w:gridSpan w:val="3"/>
          </w:tcPr>
          <w:p>
            <w:pPr>
              <w:ind w:left="98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9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Six Months Ended October 29, 2016 and October</w:t>
              </w:r>
            </w:hyperlink>
          </w:p>
        </w:tc>
        <w:tc>
          <w:tcPr>
            <w:tcW w:w="102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31, 2015 (unaudited)</w:t>
              </w:r>
            </w:hyperlink>
          </w:p>
        </w:tc>
        <w:tc>
          <w:tcPr>
            <w:tcW w:w="6520" w:type="dxa"/>
            <w:vAlign w:val="bottom"/>
            <w:gridSpan w:val="11"/>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the Consolidated Financial Statements</w:t>
              </w:r>
            </w:hyperlink>
          </w:p>
        </w:tc>
        <w:tc>
          <w:tcPr>
            <w:tcW w:w="1160" w:type="dxa"/>
            <w:vAlign w:val="bottom"/>
            <w:gridSpan w:val="3"/>
          </w:tcPr>
          <w:p>
            <w:pPr>
              <w:ind w:left="98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Item 2.</w:t>
              </w:r>
            </w:hyperlink>
          </w:p>
        </w:tc>
        <w:tc>
          <w:tcPr>
            <w:tcW w:w="8580" w:type="dxa"/>
            <w:vAlign w:val="bottom"/>
            <w:gridSpan w:val="1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320" w:type="dxa"/>
            <w:vAlign w:val="bottom"/>
            <w:gridSpan w:val="4"/>
          </w:tcPr>
          <w:p>
            <w:pPr>
              <w:ind w:left="980"/>
              <w:spacing w:after="0"/>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3.</w:t>
              </w:r>
            </w:hyperlink>
          </w:p>
        </w:tc>
        <w:tc>
          <w:tcPr>
            <w:tcW w:w="858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Quantitative and Qualitative Disclosures About Market Risk</w:t>
              </w:r>
            </w:hyperlink>
          </w:p>
        </w:tc>
        <w:tc>
          <w:tcPr>
            <w:tcW w:w="1320" w:type="dxa"/>
            <w:vAlign w:val="bottom"/>
            <w:gridSpan w:val="4"/>
          </w:tcPr>
          <w:p>
            <w:pPr>
              <w:ind w:left="980"/>
              <w:spacing w:after="0"/>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60" w:type="dxa"/>
            <w:vAlign w:val="bottom"/>
            <w:tcBorders>
              <w:right w:val="single" w:sz="8" w:color="0000FF"/>
            </w:tcBorders>
            <w:gridSpan w:val="4"/>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w:t>
              </w:r>
            </w:hyperlink>
          </w:p>
        </w:tc>
        <w:tc>
          <w:tcPr>
            <w:tcW w:w="858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1320" w:type="dxa"/>
            <w:vAlign w:val="bottom"/>
            <w:gridSpan w:val="4"/>
          </w:tcPr>
          <w:p>
            <w:pPr>
              <w:ind w:left="98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w:t>
              </w:r>
            </w:hyperlink>
          </w:p>
        </w:tc>
        <w:tc>
          <w:tcPr>
            <w:tcW w:w="8580" w:type="dxa"/>
            <w:vAlign w:val="bottom"/>
            <w:gridSpan w:val="19"/>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Other Information</w:t>
              </w:r>
            </w:hyperlink>
          </w:p>
        </w:tc>
        <w:tc>
          <w:tcPr>
            <w:tcW w:w="1320" w:type="dxa"/>
            <w:vAlign w:val="bottom"/>
            <w:gridSpan w:val="4"/>
          </w:tcPr>
          <w:p>
            <w:pPr>
              <w:ind w:left="980"/>
              <w:spacing w:after="0"/>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rFonts w:ascii="Arial" w:cs="Arial" w:eastAsia="Arial" w:hAnsi="Arial"/>
                <w:sz w:val="18"/>
                <w:szCs w:val="18"/>
                <w:color w:val="0000FF"/>
                <w:w w:val="98"/>
              </w:rPr>
            </w:pPr>
            <w:hyperlink w:anchor="page33">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gridSpan w:val="5"/>
          </w:tcPr>
          <w:p>
            <w:pPr>
              <w:spacing w:after="0"/>
              <w:rPr>
                <w:rFonts w:ascii="Arial" w:cs="Arial" w:eastAsia="Arial" w:hAnsi="Arial"/>
                <w:sz w:val="18"/>
                <w:szCs w:val="18"/>
                <w:color w:val="0000FF"/>
                <w:w w:val="93"/>
              </w:rPr>
            </w:pPr>
            <w:hyperlink w:anchor="page33">
              <w:r>
                <w:rPr>
                  <w:rFonts w:ascii="Arial" w:cs="Arial" w:eastAsia="Arial" w:hAnsi="Arial"/>
                  <w:sz w:val="18"/>
                  <w:szCs w:val="18"/>
                  <w:color w:val="0000FF"/>
                  <w:w w:val="93"/>
                </w:rPr>
                <w:t>Legal Proceedings</w:t>
              </w:r>
            </w:hyperlink>
          </w:p>
        </w:tc>
        <w:tc>
          <w:tcPr>
            <w:tcW w:w="7140" w:type="dxa"/>
            <w:vAlign w:val="bottom"/>
            <w:gridSpan w:val="14"/>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FF"/>
                <w:w w:val="87"/>
              </w:rPr>
            </w:pPr>
            <w:hyperlink w:anchor="page33">
              <w:r>
                <w:rPr>
                  <w:rFonts w:ascii="Arial" w:cs="Arial" w:eastAsia="Arial" w:hAnsi="Arial"/>
                  <w:sz w:val="18"/>
                  <w:szCs w:val="18"/>
                  <w:color w:val="0000FF"/>
                  <w:w w:val="87"/>
                </w:rPr>
                <w:t>Risk Factors</w:t>
              </w:r>
            </w:hyperlink>
          </w:p>
        </w:tc>
        <w:tc>
          <w:tcPr>
            <w:tcW w:w="7680" w:type="dxa"/>
            <w:vAlign w:val="bottom"/>
            <w:gridSpan w:val="16"/>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w:t>
              </w:r>
            </w:hyperlink>
          </w:p>
        </w:tc>
        <w:tc>
          <w:tcPr>
            <w:tcW w:w="180" w:type="dxa"/>
            <w:vAlign w:val="bottom"/>
            <w:tcBorders>
              <w:bottom w:val="single" w:sz="8" w:color="0000FF"/>
            </w:tcBorders>
          </w:tcPr>
          <w:p>
            <w:pPr>
              <w:spacing w:after="0"/>
              <w:rPr>
                <w:sz w:val="21"/>
                <w:szCs w:val="21"/>
                <w:color w:val="auto"/>
              </w:rPr>
            </w:pP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Unregistered Sales of Equity Securities and Use of Proceeds</w:t>
              </w:r>
            </w:hyperlink>
          </w:p>
        </w:tc>
        <w:tc>
          <w:tcPr>
            <w:tcW w:w="4220" w:type="dxa"/>
            <w:vAlign w:val="bottom"/>
            <w:gridSpan w:val="6"/>
          </w:tcPr>
          <w:p>
            <w:pPr>
              <w:spacing w:after="0"/>
              <w:rPr>
                <w:sz w:val="21"/>
                <w:szCs w:val="21"/>
                <w:color w:val="auto"/>
              </w:rPr>
            </w:pPr>
          </w:p>
        </w:tc>
        <w:tc>
          <w:tcPr>
            <w:tcW w:w="1320" w:type="dxa"/>
            <w:vAlign w:val="bottom"/>
            <w:gridSpan w:val="4"/>
          </w:tcPr>
          <w:p>
            <w:pPr>
              <w:ind w:left="98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3.</w:t>
              </w:r>
            </w:hyperlink>
          </w:p>
        </w:tc>
        <w:tc>
          <w:tcPr>
            <w:tcW w:w="8580" w:type="dxa"/>
            <w:vAlign w:val="bottom"/>
            <w:gridSpan w:val="1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Defaults Upon Senior Securities</w:t>
              </w:r>
            </w:hyperlink>
          </w:p>
        </w:tc>
        <w:tc>
          <w:tcPr>
            <w:tcW w:w="1320" w:type="dxa"/>
            <w:vAlign w:val="bottom"/>
            <w:gridSpan w:val="4"/>
          </w:tcPr>
          <w:p>
            <w:pPr>
              <w:ind w:left="98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4.</w:t>
              </w:r>
            </w:hyperlink>
          </w:p>
        </w:tc>
        <w:tc>
          <w:tcPr>
            <w:tcW w:w="176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Mine Safety Disclosures</w:t>
              </w:r>
            </w:hyperlink>
          </w:p>
        </w:tc>
        <w:tc>
          <w:tcPr>
            <w:tcW w:w="6820" w:type="dxa"/>
            <w:vAlign w:val="bottom"/>
            <w:gridSpan w:val="12"/>
          </w:tcPr>
          <w:p>
            <w:pPr>
              <w:spacing w:after="0"/>
              <w:rPr>
                <w:sz w:val="21"/>
                <w:szCs w:val="21"/>
                <w:color w:val="auto"/>
              </w:rPr>
            </w:pPr>
          </w:p>
        </w:tc>
        <w:tc>
          <w:tcPr>
            <w:tcW w:w="1320" w:type="dxa"/>
            <w:vAlign w:val="bottom"/>
            <w:gridSpan w:val="4"/>
          </w:tcPr>
          <w:p>
            <w:pPr>
              <w:ind w:left="98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5.</w:t>
              </w:r>
            </w:hyperlink>
          </w:p>
        </w:tc>
        <w:tc>
          <w:tcPr>
            <w:tcW w:w="858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Other Information</w:t>
              </w:r>
            </w:hyperlink>
          </w:p>
        </w:tc>
        <w:tc>
          <w:tcPr>
            <w:tcW w:w="1320" w:type="dxa"/>
            <w:vAlign w:val="bottom"/>
            <w:gridSpan w:val="4"/>
          </w:tcPr>
          <w:p>
            <w:pPr>
              <w:ind w:left="98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8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6.</w:t>
              </w:r>
            </w:hyperlink>
          </w:p>
        </w:tc>
        <w:tc>
          <w:tcPr>
            <w:tcW w:w="858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1320" w:type="dxa"/>
            <w:vAlign w:val="bottom"/>
            <w:gridSpan w:val="4"/>
          </w:tcPr>
          <w:p>
            <w:pPr>
              <w:ind w:left="98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0" w:type="dxa"/>
            <w:vAlign w:val="bottom"/>
            <w:gridSpan w:val="1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4"/>
        </w:trPr>
        <w:tc>
          <w:tcPr>
            <w:tcW w:w="820" w:type="dxa"/>
            <w:vAlign w:val="bottom"/>
            <w:gridSpan w:val="4"/>
          </w:tcPr>
          <w:p>
            <w:pPr>
              <w:spacing w:after="0"/>
              <w:rPr>
                <w:rFonts w:ascii="Arial" w:cs="Arial" w:eastAsia="Arial" w:hAnsi="Arial"/>
                <w:sz w:val="18"/>
                <w:szCs w:val="18"/>
                <w:b w:val="1"/>
                <w:bCs w:val="1"/>
                <w:color w:val="0000FF"/>
                <w:w w:val="83"/>
              </w:rPr>
            </w:pPr>
            <w:hyperlink w:anchor="page35">
              <w:r>
                <w:rPr>
                  <w:rFonts w:ascii="Arial" w:cs="Arial" w:eastAsia="Arial" w:hAnsi="Arial"/>
                  <w:sz w:val="18"/>
                  <w:szCs w:val="18"/>
                  <w:b w:val="1"/>
                  <w:bCs w:val="1"/>
                  <w:color w:val="0000FF"/>
                  <w:w w:val="83"/>
                </w:rPr>
                <w:t>Signatures</w:t>
              </w:r>
            </w:hyperlink>
          </w:p>
        </w:tc>
        <w:tc>
          <w:tcPr>
            <w:tcW w:w="8580" w:type="dxa"/>
            <w:vAlign w:val="bottom"/>
            <w:gridSpan w:val="19"/>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1320" w:type="dxa"/>
            <w:vAlign w:val="bottom"/>
            <w:gridSpan w:val="5"/>
          </w:tcPr>
          <w:p>
            <w:pPr>
              <w:spacing w:after="0"/>
              <w:rPr>
                <w:rFonts w:ascii="Arial" w:cs="Arial" w:eastAsia="Arial" w:hAnsi="Arial"/>
                <w:sz w:val="18"/>
                <w:szCs w:val="18"/>
                <w:b w:val="1"/>
                <w:bCs w:val="1"/>
                <w:color w:val="0000FF"/>
                <w:w w:val="90"/>
              </w:rPr>
            </w:pPr>
            <w:hyperlink w:anchor="page36">
              <w:r>
                <w:rPr>
                  <w:rFonts w:ascii="Arial" w:cs="Arial" w:eastAsia="Arial" w:hAnsi="Arial"/>
                  <w:sz w:val="18"/>
                  <w:szCs w:val="18"/>
                  <w:b w:val="1"/>
                  <w:bCs w:val="1"/>
                  <w:color w:val="0000FF"/>
                  <w:w w:val="90"/>
                </w:rPr>
                <w:t>Index to Exhibits</w:t>
              </w:r>
            </w:hyperlink>
          </w:p>
        </w:tc>
        <w:tc>
          <w:tcPr>
            <w:tcW w:w="8080" w:type="dxa"/>
            <w:vAlign w:val="bottom"/>
            <w:gridSpan w:val="18"/>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gridSpan w:val="3"/>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28,328</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90,421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77,554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69,827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43,354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30,200</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6,468</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receivables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4,812</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260,391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245,231</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3,866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7,721</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9,412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9,437</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31,554</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Buildings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65,039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65,247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82,973</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14,746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Computer software and hardware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48,917</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Equipment held for rental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Demonstration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8,026</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6,596</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229,034</w:t>
            </w:r>
          </w:p>
        </w:tc>
      </w:tr>
      <w:tr>
        <w:trPr>
          <w:trHeight w:val="243"/>
        </w:trPr>
        <w:tc>
          <w:tcPr>
            <w:tcW w:w="8440" w:type="dxa"/>
            <w:vAlign w:val="bottom"/>
          </w:tcPr>
          <w:p>
            <w:pPr>
              <w:ind w:left="5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151,671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155,871</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73,163</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357,709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349,948</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121" w:right="4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October 29,</w:t>
            </w:r>
          </w:p>
        </w:tc>
        <w:tc>
          <w:tcPr>
            <w:tcW w:w="20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43,441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25,270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23,532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16,564</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10,361</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16,012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12,514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10,712</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310</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121,517</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5,603</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Long-term income tax payable</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3,016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r>
      <w:tr>
        <w:trPr>
          <w:trHeight w:val="237"/>
        </w:trPr>
        <w:tc>
          <w:tcPr>
            <w:tcW w:w="844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28,587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27,364</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148,881</w:t>
            </w:r>
          </w:p>
        </w:tc>
      </w:tr>
      <w:tr>
        <w:trPr>
          <w:trHeight w:val="277"/>
        </w:trPr>
        <w:tc>
          <w:tcPr>
            <w:tcW w:w="8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9"/>
        </w:trPr>
        <w:tc>
          <w:tcPr>
            <w:tcW w:w="844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44,214,750 and 43,998,635</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40" w:type="dxa"/>
            <w:vAlign w:val="bottom"/>
          </w:tcPr>
          <w:p>
            <w:pPr>
              <w:ind w:left="440"/>
              <w:spacing w:after="0"/>
              <w:rPr>
                <w:sz w:val="20"/>
                <w:szCs w:val="20"/>
                <w:color w:val="auto"/>
              </w:rPr>
            </w:pPr>
            <w:r>
              <w:rPr>
                <w:rFonts w:ascii="Arial" w:cs="Arial" w:eastAsia="Arial" w:hAnsi="Arial"/>
                <w:sz w:val="18"/>
                <w:szCs w:val="18"/>
                <w:color w:val="auto"/>
              </w:rPr>
              <w:t>shares issued and outstanding at October 29, 2016 and April 30, 2016, respectively</w:t>
            </w: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51,449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51,347</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35,351</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124,353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117,276</w:t>
            </w: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Treasury Stock, at cost, 303,957 and 19,680 shares at October 29, 2016 and April 30, 2016,</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201,067</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357,709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349,948</w:t>
            </w:r>
          </w:p>
        </w:tc>
      </w:tr>
      <w:tr>
        <w:trPr>
          <w:trHeight w:val="271"/>
        </w:trPr>
        <w:tc>
          <w:tcPr>
            <w:tcW w:w="8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122" w:right="41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60" w:type="dxa"/>
            <w:vAlign w:val="bottom"/>
            <w:gridSpan w:val="5"/>
          </w:tcPr>
          <w:p>
            <w:pPr>
              <w:ind w:left="6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9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4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29,</w:t>
            </w:r>
          </w:p>
        </w:tc>
        <w:tc>
          <w:tcPr>
            <w:tcW w:w="20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w:t>
            </w:r>
          </w:p>
        </w:tc>
        <w:tc>
          <w:tcPr>
            <w:tcW w:w="20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October 31,</w:t>
            </w:r>
          </w:p>
        </w:tc>
      </w:tr>
      <w:tr>
        <w:trPr>
          <w:trHeight w:val="234"/>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157,668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327,138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307,889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125,684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122,155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243,763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236,875</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44,308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83,375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71,014</w:t>
            </w:r>
          </w:p>
        </w:tc>
      </w:tr>
      <w:tr>
        <w:trPr>
          <w:trHeight w:val="284"/>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15,891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14,825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31,150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29,089</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16,286</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7,126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14,169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13,943</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31,642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29,916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62,727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59,318</w:t>
            </w:r>
          </w:p>
        </w:tc>
      </w:tr>
      <w:tr>
        <w:trPr>
          <w:trHeight w:val="237"/>
        </w:trPr>
        <w:tc>
          <w:tcPr>
            <w:tcW w:w="480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12,666</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5,597</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20,648</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11,696</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7"/>
        </w:trPr>
        <w:tc>
          <w:tcPr>
            <w:tcW w:w="4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77"/>
        </w:trPr>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20,961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w:t>
            </w: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3,889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2,436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6,401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4,552</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9,021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14,560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6,944</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43,988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43,934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44,051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43,890</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44,098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44,113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44,168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44,255</w:t>
            </w:r>
          </w:p>
        </w:tc>
      </w:tr>
      <w:tr>
        <w:trPr>
          <w:trHeight w:val="284"/>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0.16</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r>
      <w:tr>
        <w:trPr>
          <w:trHeight w:val="277"/>
        </w:trPr>
        <w:tc>
          <w:tcPr>
            <w:tcW w:w="48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r>
      <w:tr>
        <w:trPr>
          <w:trHeight w:val="284"/>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459"/>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9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29,</w:t>
            </w:r>
          </w:p>
        </w:tc>
        <w:tc>
          <w:tcPr>
            <w:tcW w:w="20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October 31,</w:t>
            </w:r>
          </w:p>
        </w:tc>
      </w:tr>
      <w:tr>
        <w:trPr>
          <w:trHeight w:val="234"/>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5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7"/>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6,944</w:t>
            </w:r>
          </w:p>
        </w:tc>
      </w:tr>
      <w:tr>
        <w:trPr>
          <w:trHeight w:val="284"/>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7"/>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available-for-sale securities, net of tax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w:t>
            </w:r>
          </w:p>
        </w:tc>
      </w:tr>
      <w:tr>
        <w:trPr>
          <w:trHeight w:val="27"/>
        </w:trPr>
        <w:tc>
          <w:tcPr>
            <w:tcW w:w="5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8,510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2,948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13,116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6,181</w:t>
            </w: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608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121" w:right="3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18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14,560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Impairment loss of intangible assets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(gain) on sale of property, equipment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1,484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(26,487)</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15,006</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sale of property, equipment and other assets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(13,780)</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11,328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37"/>
        </w:trPr>
        <w:tc>
          <w:tcPr>
            <w:tcW w:w="844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1,630</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(11,969)</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(7,482)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(8,760)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common shares repurchased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Tax payments related to RSU issuances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183"/>
        </w:trPr>
        <w:tc>
          <w:tcPr>
            <w:tcW w:w="84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5,717</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(29,824)</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28,328</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57,284</w:t>
            </w:r>
          </w:p>
        </w:tc>
        <w:tc>
          <w:tcPr>
            <w:tcW w:w="0" w:type="dxa"/>
            <w:vAlign w:val="bottom"/>
          </w:tcPr>
          <w:p>
            <w:pPr>
              <w:spacing w:after="0"/>
              <w:rPr>
                <w:sz w:val="1"/>
                <w:szCs w:val="1"/>
                <w:color w:val="auto"/>
              </w:rPr>
            </w:pPr>
          </w:p>
        </w:tc>
      </w:tr>
      <w:tr>
        <w:trPr>
          <w:trHeight w:val="297"/>
        </w:trPr>
        <w:tc>
          <w:tcPr>
            <w:tcW w:w="84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34,045</w:t>
            </w:r>
          </w:p>
        </w:tc>
        <w:tc>
          <w:tcPr>
            <w:tcW w:w="2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payments for:</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720"/>
              <w:spacing w:after="0"/>
              <w:rPr>
                <w:sz w:val="20"/>
                <w:szCs w:val="20"/>
                <w:color w:val="auto"/>
              </w:rPr>
            </w:pPr>
            <w:r>
              <w:rPr>
                <w:rFonts w:ascii="Arial" w:cs="Arial" w:eastAsia="Arial" w:hAnsi="Arial"/>
                <w:sz w:val="18"/>
                <w:szCs w:val="18"/>
                <w:color w:val="auto"/>
              </w:rPr>
              <w:t>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taxes, net of refunds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40" w:type="dxa"/>
            <w:vAlign w:val="bottom"/>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 included in accounts payable</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1" w:right="259" w:bottom="1029"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1" w:right="259" w:bottom="1029"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U.S. generally accepted accounting principles ("GAAP") requires management to make estimates and assumptions affecting the reported amounts therein. Due to the inherent uncertainty involved in making estimates, actual results in future periods may differ from those estimates.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The balance sheet at April 30, 2016 has been derived from the audited financial statements at that date, but it does not include all of the information and footnotes required by GAAP for complete financial statements. These financial statements should be read in conjunction with our financial statements and notes thereto for the year ended April 30, 2016,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Daktronics, Inc. operates on a 52 to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An immaterial reclassification has been made to conform fiscal 2016 to the fiscal 2017 classifications of the statements of cash flows for comparative purposes due to retrospectively adopting Accounting Standards Update ("ASU") 2016-09,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 Share-Based Payment Accounting </w:t>
      </w:r>
      <w:r>
        <w:rPr>
          <w:rFonts w:ascii="Arial" w:cs="Arial" w:eastAsia="Arial" w:hAnsi="Arial"/>
          <w:sz w:val="18"/>
          <w:szCs w:val="18"/>
          <w:color w:val="auto"/>
        </w:rPr>
        <w:t>in the first quarter of fiscal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in affiliates over which we do not have the ability to exert significant influence over the investee's operating and financing activities are accounted for under the cost method of accounting. We have evaluated our relationships with affiliates and have determined that these entities are not variable interest entities.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aggregate amount of investments accounted for under the cost method was $1,211 at October 29, 2016 and April 30, 2016. There have not been any identified events or changes in circumstances that may have a significant adverse effect on their fair value and it is not practical to estimate their fair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2016, the Financial Accounting Standards Board ("FASB") issued ASU 2016-09, which is intended to simplify certain aspects of the accounting for share-based payment award transactions, including income tax effects when awards vest or settle, repurchase of employees’ shares to satisfy statutory tax withholding obligations, an option to account for forfeitures as they occur, and classification of certain amounts on the statements of cash flows. ASU 2016-09 is effective for annual and interim reporting periods beginning after December 15, 2016. Early adoption is permitted, and we adopted it during the first quarter of fiscal 2017. We have elected to continue to estimate forfeitures expected to occur to determine the amount of compensation cost to be recognized in each period. Provisions related to income taxes have been adopted prospectively. Provisions related to the statements of cash flows have been adopted retrospectively but did not have a material impact on our statements of cash flows.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which changes the measurement principle of inventory from the lower of cost or market to the lower of cost and net realizable value. The guidance will require prospective application at the beginning of our first quarter of fiscal 2018, but it permits adoption in an earlier period. ASU 2015-11 was adopted by the Company effective May 1, 2016 and did not have a material impact on our consolidated results of operations, cash flows, and financial position.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2015, the FASB issued ASU 2015-05, </w:t>
      </w:r>
      <w:r>
        <w:rPr>
          <w:rFonts w:ascii="Arial" w:cs="Arial" w:eastAsia="Arial" w:hAnsi="Arial"/>
          <w:sz w:val="18"/>
          <w:szCs w:val="18"/>
          <w:i w:val="1"/>
          <w:iCs w:val="1"/>
          <w:color w:val="auto"/>
        </w:rPr>
        <w:t>Intangibles-Goodwill and Other-Internal-Use Software (Subtopic 350-40) Customer’s Accounting for Fees</w:t>
      </w:r>
      <w:r>
        <w:rPr>
          <w:rFonts w:ascii="Arial" w:cs="Arial" w:eastAsia="Arial" w:hAnsi="Arial"/>
          <w:sz w:val="18"/>
          <w:szCs w:val="18"/>
          <w:color w:val="auto"/>
        </w:rPr>
        <w:t xml:space="preserve"> </w:t>
      </w:r>
      <w:r>
        <w:rPr>
          <w:rFonts w:ascii="Arial" w:cs="Arial" w:eastAsia="Arial" w:hAnsi="Arial"/>
          <w:sz w:val="18"/>
          <w:szCs w:val="18"/>
          <w:i w:val="1"/>
          <w:iCs w:val="1"/>
          <w:color w:val="auto"/>
        </w:rPr>
        <w:t>Paid in a Cloud Computing Arrangement</w:t>
      </w:r>
      <w:r>
        <w:rPr>
          <w:rFonts w:ascii="Arial" w:cs="Arial" w:eastAsia="Arial" w:hAnsi="Arial"/>
          <w:sz w:val="18"/>
          <w:szCs w:val="18"/>
          <w:color w:val="auto"/>
        </w:rPr>
        <w:t>. This ASU clarifies existing GAAP guidance about a customer’s accounting for fees paid in a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("CCA") with or without a software license. Examples of cloud computing arrangements include software as a service, platform as a service, infrastructure as a service, and other similar hosting arrangements. Under ASU 2015-05, fees paid by a customer in a CCA for a software license are within the scope of the internal-use software guidance if certain criteria are met. If the criteria are not met, the fees paid are accounted for as a prepaid service contract and expensed. We have historically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accounted for all fees in a CCA as a prepaid service contract. We adopted ASU 2015-05 in the first quarter of fiscal 2017 when it became effective, using the prospective method. We did not pay any fees in a CCA in the current period that met the criteria to be in the scope of the internal-use software guidance, and ASU 2015-05 had no impact on our consolidated results of operations, cash flows, and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 Not Yet Adopted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which is intended to improve the accounting for the income tax consequences of intra-entity transfers of assets other than inventory. Current U.S. GAAP prohibits the recognition of current and deferred income taxes for an intra-entity asset transfer until the asset has been sold to an outside party, which is an exception to the principle of comprehensive recognition of current and deferred income taxes in U.S. GAAP. This update eliminates the exception by requiring entities to recognize the income tax consequences of an intra-entity transfer of an asset other than inventory when the transfer occurs. The new guidance is effective for interim and annual periods beginning after December 15, 2017, with early adoption permitted. We are currently evaluating the effect that adopting ASU 2016-16 will have on our consolidated financial statements and related disclosures.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which will make eight targeted changes to how cash receipts and cash payments are presented and classified in the statements of cash flows. ASU 2016-15 is effective for interim and annual periods beginning after December 15, 2017, and will require adoption on a retrospective basis unless it is impracticable to apply, in which case we would be required to apply the amendments prospectively as of the earliest date practicable. We are currently evaluating the effect that adopting this new accounting guidance will have on our consolidated cash flows and related disclosures.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sets out the principles for the recognition, measurement, presentation and disclosure of leases for both parties to a contract (that is, lessees and lessors). ASU 2016-02 requires lessees to apply a dual approach, classifying leases as either finance or operating leases based on the principle of whether or not the lease is effectively a financed purchase of the leased asset by the lessee. This classification will determine whether the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The new standard requires lessors to account for leases using an approach that is substantially equivalent to existing guidance for sales-type leases, direct financing leases and operating leases. The new guidance is effective for interim and annual periods beginning after December 15, 2018, with early adoption permitted. We are currently evaluating the effect that adopting this new accounting guidance will have on our consolidated results of operations, cash flows, and financial position.</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ASU 2014-09 is a comprehensive revenue recognition model that requires a company to recognize revenue from the transfer of goods or services to customers in an amount that reflects the consideration that the entity expects to receive in exchange for those goods or services. The FASB has also issued ASUs 2016-08, 2016-10, and 2016-12 to clarify guidance with respect to principal versus agent considerations, the identification of performance obligations and licensing and certain narrow areas and adds practical expedients. ASU 2014-09 is effective for fiscal years and interim periods beginning after December 15, 2017 (as stated in ASU 2015-14, which was issued in August 2015 and defers the effective date), and is now effective for the Company's fiscal 2019. We are evaluating the effect that adopting ASU 2014-09, as clarified, will have on our consolidated results of operations, cash flows, financial position, and related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income and common share amounts used in the calculation of basic and diluted EPS for the three and six months ended October 29, 2016 and October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29, 2016</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9,021</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43,988</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9,021</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44,098</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31, 2015</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43,934</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44,113</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29, 2016</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44,051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14,560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44,168</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31, 2015</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6,944</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43,890</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6360" w:type="dxa"/>
            <w:vAlign w:val="bottom"/>
          </w:tcPr>
          <w:p>
            <w:pPr>
              <w:ind w:left="46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6,944</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44,255</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2,162 shares of common stock with a weighted average exercise price of $14.56 for the three months ended October 29, 2016 and 2,173 shares of common stock with a weighted average exercise price of $15.13 for the three months ended October 31, 2015 were not included in the computation of diluted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2,655 shares of common stock with a weighted average exercise price of $13.41 for the six months ended October 29, 2016 and 1,378 shares of common stock with a weighted average exercise price of $18.61 for the six months ended October 31, 2015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Share Repurchase Program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2016, our Board of Directors approved a stock repurchase program under which Daktronics, Inc. may purchase up to $40,000 of its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During the first quarter of fiscal 2017, we repurchased 284 shares of common stock at a total cost of $1,825, and there have been no other purchases during the second quarter of fiscal 2017. We may repurchase up to an additional $38,175 of common stock under the current Board authorization.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Accounting Standards Codification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Our Commercial business unit primarily consists of sales of our video display systems, digital billboards,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Fuelight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resellers (primarily sign companies), Out-of-Home ("OOH") companies,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primarily consists of sales of scoring systems,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displays and video display systems to primary and secondary education facilities. Our Transportation business unit primarily consists of sales of our Vanguard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Galaxy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lines to governmental transportation departments, airlines and other transportation related customers. Our International business unit consists of sales of all product lines outside the United States and Canada. In our International business unit, we focus on product lines related to integrated scoring and video display systems for sports and commercial applications, OOH advertising products, and European transportation related products.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segment reporting presents results through contribution margin, which is comprised of gross profit less selling costs. Segment profit excludes general and administration expense, product development expense, interest income and expense, non-operating income and</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 expense. Assets are not allocated to the segments. Depreciation and amortization are allocated to each segment based on various financial measures; however, some depreciation and amortization are corporate in nature and remain unallocated. In general, our segments follow the same accounting policies as those described in Note 1 of our Annual Report on Form 10-K for the fiscal year ended April 30, 2016. Unabsorbed costs of domestic field sales and services infrastructure, including most field administrative staff, are allocated to the Commercial, Live Events, High School Park and Recreation, and Transportation business units based on cost of sales. Shared manufacturing, buildings and utilities, and procurement costs are allocated based on payroll dollars, square footage and various other financial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39,923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83,276</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55,363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50,761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115,996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98,683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28,707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43,212</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16,101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30,387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27,061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29,898</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29,294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48,254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55,657</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169,992</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157,668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327,138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307,889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10,106</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8,658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7,560</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4,531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2,641</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28,417</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20,688</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52,225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41,925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8,625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16,286</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7,126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14,169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13,943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12,666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11,696</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12,910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20,961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11,496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9,021</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3,168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14,560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amortization, and impairment:</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1,273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5260" w:type="dxa"/>
            <w:vAlign w:val="bottom"/>
          </w:tcPr>
          <w:p>
            <w:pPr>
              <w:ind w:left="46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5,472</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10,072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246,078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31,457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57,546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61,811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157,668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327,138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307,889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362"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October 29,</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30,</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40" w:space="700"/>
            <w:col w:w="39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68,233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4,930</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73,163</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two major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Marketable Securities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xml:space="preserve"> Marketable securities classified as available-for-sale are reported at fair value with unrealized gains or losses, net of tax, reported in accumulated other comprehensive loss. As it relates to fixed income marketable securities, it is not likely we will be required to sell any of these investments before recovery of the entire amortized cost basis. In addition, as of October 29, 2016,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29, 2016 and April 30, 2016,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October 29, 2016</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13,804</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13,804</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17,906</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14,927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8,523</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24,671</w:t>
            </w:r>
          </w:p>
        </w:tc>
        <w:tc>
          <w:tcPr>
            <w:tcW w:w="2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24,672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income (expense), net. Upon the sale of a security classified as available-for-sale, the security’s specific unrealized gain (loss) is reclassified out of "accumulated other comprehensive loss” into earnings based on the specific identification method. In the six months ended October 29, 2016 and October 31, 2015, the reclassifications from accumulated other comprehensive loss to earnings were immaterial.</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October 29, 2016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13,804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401</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agencies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2,198</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1,205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1,501</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8,385</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Display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Data Display, a European transportation display company, on August 11, 2014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Display is a European based company focused on the design and manufacture of transportation displays. This acquisition allows our organization to better service transportation customers world-wide and broaden our leadership position on a global scale. This acquisition included a manufacturing plant in Ireland to manufacture transportation displays. This acquisition was funded with cash on hand.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fiscal 2016, the purchase price allocation for the Data Display acquisition was completed and the fair values of the consideration paid and contingent consideration were finalized. The excess of the purchase price over the net tangible and intangible assets was recorded as goodwill of $1,463 which primarily related to the value of an assembled workforce and is not deductible for tax purposes. Included in the purchase price allocation were acquired identifiable intangibles valued at $480 representing trademarks and technology with a useful life of 20 years and customer relationships valued at $84 with a useful life of 18 years. Also included in the purchase was $1,433 of property and equipment, $437 of investment in affiliates, $2,624 of inventory, $3,063 of accounts receivable, and $1,892 of other current assets, which was offset by current operating liabilities of $3,695 and long term obligations of $950.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ADFLOW Acquisition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ADFLOW Networks, Inc. ("ADFLOW"), a Canadian company, on March 15, 2016 for an undisclosed amount. The results of its operations have been included in our consolidated financial statements since the date of acquisition. We have not made pro forma disclosures because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ADFLOW is a Canadian based company focused on digital media solutions. This acquisition will allow our organization to grow and strengthen our solution offering in Digital Media Networks (DMN). We believe this will broaden our value proposition for our customers and deliver new offerings to the market. This acquisition was funded with cash on hand.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fourth quarter of fiscal 2016, we prepared the preliminary fair value measurements of assets acquired and liabilities assumed as of the acquisition date using independent appraisals and other analysis. We are in the process of determining final working capital adjustments. The excess of the purchase price over the estimated net tangible and intangible assets was recorded as goodwill of $2,399 which primarily related to the value of an assembled workforce and is not deductible for tax purposes. Included in the preliminary purchase price allocation were acquired identifiable intangibles valued at $3,176 representing software and trademarks and customer relationships valued at $2,692. Based on the preliminary fair value measurements, also included in the purchase price was $58 of property and equipment, $230 of inventory, $1,283 of accounts receivable, and $616 of other current assets, which was offset by current operating liabilities of $935 and long term obligations of $1,545.</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includes deferred payments of $1,833 to be made over three years unless certain conditions in the business are not met. We have included the payment obligation in other long-term obligations in our consolidated balance sheet.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ADFLOW contributed net sales of $4,882 during the six months ended October 29, 2016. General and administrative expenses were immaterial in the six months ended October 29, 2016 for professional fees relating to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six months ended October 29, 2016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8,116</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Acquisition, net of cash required</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October 29, 2016</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7,712</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 an analysis of goodwill on an annual basis, and it is tested for impairment more frequently if events or changes in circumstances indicate that an asset might be impaired. We performed our annual analysis based on the goodwill amount as of the first business day of our third quarter in fiscal 2016, which was November 1, 2015. The result of the analysis indicated no goodwill impairment existed as of that date. During the fourth quarter of fiscal 2016, we performed an interim goodwill impairment analysis due to economic conditions causing slowing orders. The results of our analysis indicated no goodwill impairment was necessary. We are currently in the process of completing this annual analysis based on the goodwill amount as of the first business day of our third quarter of fiscal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8. Inventories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0"/>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30,</w:t>
            </w:r>
          </w:p>
        </w:tc>
      </w:tr>
      <w:tr>
        <w:trPr>
          <w:trHeight w:val="234"/>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25,211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28,184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7,253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6,158</w:t>
            </w: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31,168</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35,485</w:t>
            </w:r>
          </w:p>
        </w:tc>
      </w:tr>
      <w:tr>
        <w:trPr>
          <w:trHeight w:val="237"/>
        </w:trPr>
        <w:tc>
          <w:tcPr>
            <w:tcW w:w="7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63,632</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69,827</w:t>
            </w:r>
          </w:p>
        </w:tc>
      </w:tr>
      <w:tr>
        <w:trPr>
          <w:trHeight w:val="27"/>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reported net of an allowance for doubtful accounts of $2,692 and $2,797 at October 29, 2016 and April 30, 2016, respectively. Included in accounts receivable as of October 29, 2016 and April 30, 2016 was $1,376 and $437, respectively, of retainage on construction-type contracts, all of which is expected to be collected within one year.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U.S.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$6,270 and $7,038 as of October 29, 2016 and April 30, 2016, respectively. Contract and lease receivables bearing annual interest rates ranging from 4.8 to 10.0 percent are due in varying annual installments through August 2024. The face amount of long-term receivables was $7,095 and $7,236 as of October 29, 2016 and April 30, 2016,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Contingencies - Loss Contingencies</w:t>
      </w:r>
      <w:r>
        <w:rPr>
          <w:rFonts w:ascii="Arial" w:cs="Arial" w:eastAsia="Arial" w:hAnsi="Arial"/>
          <w:sz w:val="17"/>
          <w:szCs w:val="17"/>
          <w:color w:val="auto"/>
        </w:rPr>
        <w:t>. Our assessment of whether a loss is reasonably possible or probable is based on our assessment and consultation with</w:t>
      </w:r>
      <w:r>
        <w:rPr>
          <w:rFonts w:ascii="Arial" w:cs="Arial" w:eastAsia="Arial" w:hAnsi="Arial"/>
          <w:sz w:val="17"/>
          <w:szCs w:val="17"/>
          <w:i w:val="1"/>
          <w:iCs w:val="1"/>
          <w:color w:val="auto"/>
        </w:rPr>
        <w:t xml:space="preserve"> </w:t>
      </w:r>
      <w:r>
        <w:rPr>
          <w:rFonts w:ascii="Arial" w:cs="Arial" w:eastAsia="Arial" w:hAnsi="Arial"/>
          <w:sz w:val="17"/>
          <w:szCs w:val="17"/>
          <w:color w:val="auto"/>
        </w:rPr>
        <w:t>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29, 2016 and April 30, 2016, we did not believe there was a reasonable probability any material loss for these various claims or legal actions, including reviews, inspections or other legal proceedings, if any, would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accruals and, to the extent we experience any changes in warranty claim activity or costs associated with servicing those claims, our accrued warranty obligation is adjusted accordingly.</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discovered a warranty issue caused by a mechanical device failure within a module for displays primarily in our OOH applications built prior to fiscal 2013. The device failure causes a visual defect in the display. We are deploying preventative maintenance to sites impacted and can repair the device in our repair center. When certain site locations have exceeded an acceptable failure rate, we have refurbished the display to meet customers’ expectations under contractual obligations. We increased our accrued warranty obligations by $754 during the six months ended October 29, 2016, $9,174 during fiscal 2016, and $1,168 during fiscal 2015 for probable and reasonably estimable costs to remediate this issue. As of October 29, 2016, we had $3,998 remaining in accrued warranty obligations for the estimate of probable future claims related to this issue. Because failure rates are unpredictable, the final outcome of this matter is dependent on many factors that are difficult to predict. Accordingly, it is possible that the ultimate cost to resolve this matter may increase and may be materially different from the amount of the current estimate and accrual.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obligation for the six months ended October 29, 2016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30,496</w:t>
            </w:r>
          </w:p>
        </w:tc>
      </w:tr>
      <w:tr>
        <w:trPr>
          <w:trHeight w:val="243"/>
        </w:trPr>
        <w:tc>
          <w:tcPr>
            <w:tcW w:w="7020" w:type="dxa"/>
            <w:vAlign w:val="bottom"/>
          </w:tcPr>
          <w:p>
            <w:pPr>
              <w:ind w:left="66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5,444</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r>
      <w:tr>
        <w:trPr>
          <w:trHeight w:val="229"/>
        </w:trPr>
        <w:tc>
          <w:tcPr>
            <w:tcW w:w="7020" w:type="dxa"/>
            <w:vAlign w:val="bottom"/>
          </w:tcPr>
          <w:p>
            <w:pPr>
              <w:ind w:left="680"/>
              <w:spacing w:after="0"/>
              <w:rPr>
                <w:sz w:val="20"/>
                <w:szCs w:val="20"/>
                <w:color w:val="auto"/>
              </w:rPr>
            </w:pPr>
            <w:r>
              <w:rPr>
                <w:rFonts w:ascii="Arial" w:cs="Arial" w:eastAsia="Arial" w:hAnsi="Arial"/>
                <w:sz w:val="18"/>
                <w:szCs w:val="18"/>
                <w:color w:val="auto"/>
              </w:rPr>
              <w:t>Changes in accrued warranty obligations for pre-existing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warranties during 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3,190</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29,850</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construction-type contracts. As of October 29, 2016, we had outstanding letters of credit and surety bonds in the amount of $12,120 and $31,410,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vehicles, office space and equipment for various global sales and service locations, including manufacturing space in the United States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China. Some of these leases, including the lease for manufacturing facilities in Sioux Falls, South Dakota, include provisions for extensions or purchase. The lease for the facilities in Sioux Falls, South Dakota can be extended for an additional five years past its current term, which ends March 31, 2022, and it contains an option to purchase the property subject to the lease from March 31, 2017 to March 31, 2022 for $9,000, which approximates fair value. If the lease is extended, the purchase option increases to $9,090 for the year ending March 31, 2023 and $9,180 for the year ending March 31, 2024. Rental expense for operating leases was $1,614 and $1,464 for the six months ended October 29, 2016 and October 31, 2015, respectively.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October 29,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information technology maintenance and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other products and services over periods that extend beyond one year. As of October 29, 2016, we were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obligated under the following conditional and unconditional purchase commitments, which included $450 in conditional purchase commitments: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4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income taxes of multiple state jurisdictions. As a result of the completion of examinations by the Internal Revenue Service on prior years and the expiration of statutes of limitations, our fiscal years 2013, 2014, and 2015 are the remaining years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29, 2016, we had $3,184 of unrecognized tax benefits which would reduce our effective tax rate if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October 29, 2016 and April 30, 2016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9"/>
              </w:rPr>
              <w:t>Fair Value Measurements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October 29, 2016</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34,045</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34,045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13,804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13,804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34,651</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18,033</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50,822</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30, 2016</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28,328</w:t>
            </w:r>
          </w:p>
        </w:tc>
        <w:tc>
          <w:tcPr>
            <w:tcW w:w="24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28,328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8,522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w:t>
            </w:r>
          </w:p>
        </w:tc>
        <w:tc>
          <w:tcPr>
            <w:tcW w:w="2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28,526</w:t>
            </w:r>
          </w:p>
        </w:tc>
        <w:tc>
          <w:tcPr>
            <w:tcW w:w="2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24,219</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w:t>
            </w:r>
          </w:p>
        </w:tc>
        <w:tc>
          <w:tcPr>
            <w:tcW w:w="22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50,790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40" w:type="dxa"/>
            <w:vAlign w:val="bottom"/>
            <w:gridSpan w:val="9"/>
          </w:tcPr>
          <w:p>
            <w:pPr>
              <w:spacing w:after="0"/>
              <w:rPr>
                <w:sz w:val="20"/>
                <w:szCs w:val="20"/>
                <w:color w:val="auto"/>
              </w:rPr>
            </w:pPr>
            <w:r>
              <w:rPr>
                <w:rFonts w:ascii="Arial" w:cs="Arial" w:eastAsia="Arial" w:hAnsi="Arial"/>
                <w:sz w:val="18"/>
                <w:szCs w:val="18"/>
                <w:color w:val="auto"/>
                <w:w w:val="95"/>
              </w:rPr>
              <w:t>A roll forward of the Level 3 contingent liability, both short and long-term, for the six months ended October 29, 2016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liability as of April 30, 2016</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Contingent liability as of October 29, 2016</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ectPr>
          <w:pgSz w:w="11900" w:h="16838" w:orient="portrait"/>
          <w:cols w:equalWidth="0" w:num="1">
            <w:col w:w="11420"/>
          </w:cols>
          <w:pgMar w:left="240" w:top="122"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13. Derivative Financial Instruments for more information regarding our derivatives.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Contingent liability</w:t>
      </w:r>
      <w:r>
        <w:rPr>
          <w:rFonts w:ascii="Arial" w:cs="Arial" w:eastAsia="Arial" w:hAnsi="Arial"/>
          <w:sz w:val="18"/>
          <w:szCs w:val="18"/>
          <w:color w:val="auto"/>
        </w:rPr>
        <w:t>: Consists of a liability measured on payments owed for a business combination if certain conditions in the business performance are met.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included the payment obligation in other long-term obligations in our consolidated balance sheet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Non-recurring measurements: </w:t>
      </w:r>
      <w:r>
        <w:rPr>
          <w:rFonts w:ascii="Arial" w:cs="Arial" w:eastAsia="Arial" w:hAnsi="Arial"/>
          <w:sz w:val="18"/>
          <w:szCs w:val="18"/>
          <w:color w:val="auto"/>
        </w:rPr>
        <w:t>The fair value measurement standard also applies to certain non-financial assets and liabilities measured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nonrecurring basis. Certain long-lived assets such as goodwill, intangible assets and property, plant and equipment are measured at fair value in connection with business combinations or when an impairment is recognized and the related assets are written down to fair value. We did not have any business combinations during the six months ended October 29, 2016 and used Level 2 inputs to value the assets and liabilities for business combinations during fiscal 2016. See Note 6. Business Combinations for more information. We used Level 3 inputs to measure and record a technology and customer list intangible asset impairment of $830 during the second quarter of fiscal 2017.</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Other measurements using fair value</w:t>
      </w:r>
      <w:r>
        <w:rPr>
          <w:rFonts w:ascii="Arial" w:cs="Arial" w:eastAsia="Arial" w:hAnsi="Arial"/>
          <w:sz w:val="17"/>
          <w:szCs w:val="17"/>
          <w:color w:val="auto"/>
        </w:rPr>
        <w:t>: We measure fixed rate long-term receivables using a discounted cash flow analysis using Level 2 inputs such as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rates relating to the credit quality of the customer. In addition, we measure fixed rate long-term marketing obligations, included in other long-term obligations on our consolidated balance sheet, using a discounted cash flow analysis using Level 2 inputs such as the current interest rate environment for debt as related to our credit quality. The total long-term receivables and long-term marketing obligations approximate fair value.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October 29, 2016 and April 30, 2016, we had not designated any of our derivative instruments as accounting hedges, and thus we recorded the changes in fair value in other income (expense), net.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U.S. Dollars at October 29, 2016 and April 30, 2016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October 29, 2016</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30, 2016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U.S. 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Dollars/Japanese Yen</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22,345</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5,315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3,791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1,795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Dollars/Singapore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1,685</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October 29, 2016 and April 30, 2016, there was a net asset and liability of $530 and $453, respectively, representing the fair value of foreign currency exchange forward contracts, which were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December 1, 2016, our Board of Directors declared a regular quarterly dividend of $0.07 per share on our common stock payable on December 23, 2016 to holders of record of our common stock on December 12, 2016.</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November 15, 2016, we entered into a credit agreement and a related revolving note with a U.S. bank. We also entered into an amended and restated loan agreement and a continuing and unlimited guaranty agreement with another U.S. bank to support our credit needs outside the United States.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(x.) the introduction of new products and technology; (xi.) the amount and frequency of warranty claims; and (xii.) the timing and magnitude of any acquisitions or dispositions.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30, 2016 in the section entitled “Item 1A. Risk Factors” and "Item 7. Management's Discussion and Analysis of Financial Condition and Results of Operations," and those factors discussed in detail in our other filings with the Securities and Exchange Commission.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highlights the principal factors impacting our financial condition and further describes our results of operations. This discussion should be read in conjunction with the accompanying Consolidated Financial Statements and Notes to the Consolidated Financial Statements included in this Report.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U.S. generally accepted accounting principles ("GAAP").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4. Segment Disclosure of the Notes to the Consolidated Financial Statements included elsewhere in this Report.</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summary of recently issued accounting pronouncements and the effects of those pronouncements on our financial results, refer to Note 1. Basis of Presentation and Summary of Critical Accounting Policies of the Notes to the Consolidated Financial Statements included elsewhere in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generating profits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user adoption; the acceptance of a variety of digital solutions; and the decline of digital solution pricing over the years has increased the size of the global market. With this positive demand, strong competition exists across all of our business units, which causes margin constraints. Projects with multi-million revenue potential also attract competition, which generally reduces profitability.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organize around customer segments and geographic regions as further described in Note 4. Segment Disclosure of the Notes to the Consolidated Financial Statements included elsewhere in this Report. Each business segment also has unique key growth drivers and challenges.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7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impact our success in this business unit. We utilize a reseller network to distribute our standard products.</w:t>
      </w: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their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Dynamic messaging systems demand growth due to market adoption and marketplace expansion.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continued deployment of digital billboards as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the federal government, along with the continuing acceptance of private/public partnerships as an alternative funding source.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are broadening our product offerings into the transportation segment in Europe and the Middle East. We currently focus on third-party advertising market opportunities and the factors listed in each of the other business units to the extent they apply outside the United States and Canada.</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our business units can be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impacted. Our Commercial and International business units are highly dependent on economic conditions in general.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OCTOBER 29, 2016 AND OCTOBER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1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Dollar Change</w:t>
            </w:r>
          </w:p>
        </w:tc>
        <w:tc>
          <w:tcPr>
            <w:tcW w:w="1480" w:type="dxa"/>
            <w:vAlign w:val="bottom"/>
          </w:tcPr>
          <w:p>
            <w:pPr>
              <w:jc w:val="right"/>
              <w:ind w:right="3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1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1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40,066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55,363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50,761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4,602</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16,101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13,294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2,807</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29,294</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169,992</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157,668</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12,324</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0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36,663</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30,203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6,460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64,267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15,764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12,555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3,209</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11,873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6,770</w:t>
            </w:r>
          </w:p>
        </w:tc>
        <w:tc>
          <w:tcPr>
            <w:tcW w:w="2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116,874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135,595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(18,721)</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Net sales for the three months ended October 29, 2016 compared to the same period one year ago was relatively flat. We have had declines in</w:t>
      </w:r>
      <w:r>
        <w:rPr>
          <w:rFonts w:ascii="Arial" w:cs="Arial" w:eastAsia="Arial" w:hAnsi="Arial"/>
          <w:sz w:val="17"/>
          <w:szCs w:val="17"/>
          <w:i w:val="1"/>
          <w:iCs w:val="1"/>
          <w:color w:val="auto"/>
        </w:rPr>
        <w:t xml:space="preserve"> </w:t>
      </w:r>
      <w:r>
        <w:rPr>
          <w:rFonts w:ascii="Arial" w:cs="Arial" w:eastAsia="Arial" w:hAnsi="Arial"/>
          <w:sz w:val="17"/>
          <w:szCs w:val="17"/>
          <w:color w:val="auto"/>
        </w:rPr>
        <w:t>billboard shipments this quarter compared to last year, offset by increased demand in our on-premise niche. Sales in our spectacular niche compared to last year were relatively flat. ADFLOW sales in the Commercial business unit were $2.9 million during the second quarter of fiscal 2017. ADFLOW was acquired in March 2016, and its financial results were not included in the quarter ended October 31, 2015.</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the three months ended October 29, 2016 compared to the same period one year ago was the net result of the timing of awards of large custom projects in the spectacular niche and an increase in business in our on-premise niche due to ADFLOW sales and increases in the digital billboard segment order timing.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three months ended October 29, 2016 compared to the same period one year ago was primarily due to work</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for football stadiums. Last year, we also made a decision to delay production on some orders into the third quarter to take advantage of newly released product enhancements.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decreased for the three months ended October 29, 2016 compared to the same period one year ago due to order timing variability of large projects as compared to the second quarter of fiscal 2016. Last year, we booked several large multi-million dollar orders for professional sports projects during this quarter with no same-sized projects this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the three months ended October 29, 2016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increased video project sizes with higher average selling prices and more indoor video demand compared to the second quarter of fiscal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October 29, 2016 compared to the same period one year ago due to strong market demand for video in sporting applications with larger average sale prices than orders for scoring or message centers.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Net sales for the three months ended October 29, 2016 compared to the same period one year ago increased due to a higher buildable backlog</w:t>
      </w:r>
      <w:r>
        <w:rPr>
          <w:rFonts w:ascii="Arial" w:cs="Arial" w:eastAsia="Arial" w:hAnsi="Arial"/>
          <w:sz w:val="18"/>
          <w:szCs w:val="18"/>
          <w:i w:val="1"/>
          <w:iCs w:val="1"/>
          <w:color w:val="auto"/>
        </w:rPr>
        <w:t xml:space="preserve"> </w:t>
      </w:r>
      <w:r>
        <w:rPr>
          <w:rFonts w:ascii="Arial" w:cs="Arial" w:eastAsia="Arial" w:hAnsi="Arial"/>
          <w:sz w:val="18"/>
          <w:szCs w:val="18"/>
          <w:color w:val="auto"/>
        </w:rPr>
        <w:t>level coming into the second quarter of fiscal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for the three months ended October 29, 2016 compared to the same period one year ago decreased primarily due to the variability caused by large order timing.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for the three months ended October 29, 2016 compared to the same period one year ago remained relatively flat.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three months ended October 29, 2016 compared to the same period one year ago primarily due to sports stadium projects awarded in Australia and due to a spectacular niche project awarded in Europe.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product order backlog as of October 29, 2016 was $142 million as compared to $184 million as of October 31, 2015 and $198 million at the end of the first quarter of fiscal 2017. Historically, our backlog varies due to the seasonality of our business, the timing of large projects, and customer delivery schedules for these orders. The backlog as of October 29, 2016 increased from October 31, 2015 in our Commercial and High School Park and Recreation business units and decreased in our Live Events, Transportation, and International business units. Last year, Live Events backlog included an approximately $35 million stadium build project that we expected to realize in fiscal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October 29, 2016</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26.4%</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8,133</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20.3%</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11,625</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21.0</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10,104</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19.9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32.2</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26.5</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5,799</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36.0</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4,202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31.6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7,090</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23.7</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22.7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44,308</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26.1%</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35,513</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22.5%</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our gross profit percentage for the three months ended October 29, 2016 compared to the same period one year ago was primarily due to lower warranty charges and the impact of sales volumes across the relatively fixed manufacturing capability costs. The following describes the overall impact by business unit: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for the three months ended October 29, 2016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warranty charges because the second quarter of fiscal 2016 had specific warranty obligations for particular projects, offset by lower volumes of sales over our primarily fixed manufacturing capability costs.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for the three months ended October 29, 2016 compared to the same period one year ago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volumes of sales over our relatively fixed manufacturing cost infrastructure, a favorable sales mix impacted by project sizes and type, and production cost improvements.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for the three months ended October 29, 2016 as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increased volumes of sales over our relatively fixed manufacturing cost infrastructure, lower production costs due to process improvements, and lower warranty costs as a percent of sales.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three months ended October 29, 2016 compared to the same period one year ago was primarily due</w:t>
      </w:r>
      <w:r>
        <w:rPr>
          <w:rFonts w:ascii="Arial" w:cs="Arial" w:eastAsia="Arial" w:hAnsi="Arial"/>
          <w:sz w:val="18"/>
          <w:szCs w:val="18"/>
          <w:i w:val="1"/>
          <w:iCs w:val="1"/>
          <w:color w:val="auto"/>
        </w:rPr>
        <w:t xml:space="preserve"> </w:t>
      </w:r>
      <w:r>
        <w:rPr>
          <w:rFonts w:ascii="Arial" w:cs="Arial" w:eastAsia="Arial" w:hAnsi="Arial"/>
          <w:sz w:val="18"/>
          <w:szCs w:val="18"/>
          <w:color w:val="auto"/>
        </w:rPr>
        <w:t>to increased volumes of sales over our relatively fixed manufacturing cost infrastructure and favorable sales mix.</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increase for the three months ended October 29, 2016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increased volumes of sales over our relatively fixed manufacturing cost infrastructure and lower warranty costs as a percent of sales, offset by a $0.6 million technology intangible asset impairment.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October 29, 2016</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2,967</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5.4</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3,302</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2,491</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8.7</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1,268</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7.9</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7.7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4,450</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14.9</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3,734</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15,891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14,825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Commercial, Transportation, and International business units increased in the second quarter of fiscal 2017 compared to the same quarter a year ago, which was mainly related to a $0.8 million bad debt expense and a full quarter of expenses from ADFLOW, the company acquired in the fourth quarter of fiscal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 in our Live Events and High School Park and Recreation business units decreased in the second quarter of fiscal 2017 compared to the same quarter a year ago due to cost reduction initiatives.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October 29, 2016</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58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8,116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7,126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ind w:left="560"/>
              <w:spacing w:after="0"/>
              <w:rPr>
                <w:sz w:val="20"/>
                <w:szCs w:val="20"/>
                <w:color w:val="auto"/>
              </w:rPr>
            </w:pPr>
            <w:r>
              <w:rPr>
                <w:rFonts w:ascii="Arial" w:cs="Arial" w:eastAsia="Arial" w:hAnsi="Arial"/>
                <w:sz w:val="18"/>
                <w:szCs w:val="18"/>
                <w:color w:val="auto"/>
              </w:rPr>
              <w:t>6,975</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amortization of intangibles,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second quarter of fiscal 2017 increased as compared to the same period one year ago primarily due to increases in personnel expenses, professional fees, and information technology maintenance.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facilities cost and equipment-related costs and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investments in the near term are focused on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is included in cost of goods sold.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development expenses in the second quarter of fiscal 2017 increased as compared to the same period one year ago primarily due to increased labor costs assigned to product development projects.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480"/>
              <w:spacing w:after="0"/>
              <w:rPr>
                <w:sz w:val="20"/>
                <w:szCs w:val="20"/>
                <w:color w:val="auto"/>
              </w:rPr>
            </w:pPr>
            <w:r>
              <w:rPr>
                <w:rFonts w:ascii="Arial" w:cs="Arial" w:eastAsia="Arial" w:hAnsi="Arial"/>
                <w:sz w:val="18"/>
                <w:szCs w:val="18"/>
                <w:b w:val="1"/>
                <w:bCs w:val="1"/>
                <w:color w:val="auto"/>
              </w:rPr>
              <w:t>October 29, 2016</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October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a Percent of</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center"/>
              <w:ind w:right="8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00" w:type="dxa"/>
            <w:vAlign w:val="bottom"/>
            <w:gridSpan w:val="2"/>
          </w:tcPr>
          <w:p>
            <w:pPr>
              <w:ind w:left="300"/>
              <w:spacing w:after="0" w:line="194" w:lineRule="exact"/>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6"/>
                <w:szCs w:val="16"/>
                <w:color w:val="auto"/>
              </w:rPr>
            </w:pPr>
          </w:p>
        </w:tc>
        <w:tc>
          <w:tcPr>
            <w:tcW w:w="10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Interest income (expense), net in the second quarter of fiscal 2017 compared to the same period one year ago decreased as a result of lower long-term receivables which bear imputed interest rates due and lower interest rates realized on lower average invested cash during the same period.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second quarter of fiscal 2017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was 30.1 percent for the second quarter of fiscal 2017 as compared to an effective tax rate of 43.5 percent for the second quarter of fiscal 2016. The substantial factors which decreased our effective tax rate was the PATH Act, which was signed in December 2015 and which permanently extended the U.S. research and development credit and an increase in projected book income as compared to last year. During the second quarter of fiscal 2016, the PATH Act was not signed into law and thus no accrual for the credit was allowed. In addition, increasing research and development credits in foreign jurisdictions have contributed to a lower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9"/>
          </w:tcPr>
          <w:p>
            <w:pPr>
              <w:spacing w:after="0"/>
              <w:rPr>
                <w:sz w:val="20"/>
                <w:szCs w:val="20"/>
                <w:color w:val="auto"/>
              </w:rPr>
            </w:pPr>
            <w:r>
              <w:rPr>
                <w:rFonts w:ascii="Arial" w:cs="Arial" w:eastAsia="Arial" w:hAnsi="Arial"/>
                <w:sz w:val="18"/>
                <w:szCs w:val="18"/>
                <w:b w:val="1"/>
                <w:bCs w:val="1"/>
                <w:color w:val="auto"/>
              </w:rPr>
              <w:t>COMPARISON OF THE SIX MONTHS ENDED OCTOBER 29, 2016 AND OCTOBER 31, 2015</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ind w:left="580"/>
              <w:spacing w:after="0"/>
              <w:rPr>
                <w:sz w:val="20"/>
                <w:szCs w:val="20"/>
                <w:color w:val="auto"/>
              </w:rPr>
            </w:pPr>
            <w:r>
              <w:rPr>
                <w:rFonts w:ascii="Arial" w:cs="Arial" w:eastAsia="Arial" w:hAnsi="Arial"/>
                <w:sz w:val="18"/>
                <w:szCs w:val="18"/>
                <w:b w:val="1"/>
                <w:bCs w:val="1"/>
                <w:color w:val="auto"/>
              </w:rPr>
              <w:t>Six Months Ended</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29,</w:t>
            </w:r>
          </w:p>
        </w:tc>
        <w:tc>
          <w:tcPr>
            <w:tcW w:w="14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October 31,</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4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6"/>
                <w:szCs w:val="16"/>
                <w:color w:val="auto"/>
              </w:rPr>
            </w:pPr>
          </w:p>
        </w:tc>
        <w:tc>
          <w:tcPr>
            <w:tcW w:w="1460" w:type="dxa"/>
            <w:vAlign w:val="bottom"/>
            <w:gridSpan w:val="3"/>
          </w:tcPr>
          <w:p>
            <w:pPr>
              <w:ind w:left="60"/>
              <w:spacing w:after="0" w:line="194" w:lineRule="exact"/>
              <w:rPr>
                <w:sz w:val="20"/>
                <w:szCs w:val="20"/>
                <w:color w:val="auto"/>
              </w:rPr>
            </w:pPr>
            <w:r>
              <w:rPr>
                <w:rFonts w:ascii="Arial" w:cs="Arial" w:eastAsia="Arial" w:hAnsi="Arial"/>
                <w:sz w:val="18"/>
                <w:szCs w:val="18"/>
                <w:b w:val="1"/>
                <w:bCs w:val="1"/>
                <w:color w:val="auto"/>
              </w:rPr>
              <w:t>Dollar Change</w:t>
            </w:r>
          </w:p>
        </w:tc>
        <w:tc>
          <w:tcPr>
            <w:tcW w:w="138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6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76,177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83,276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115,996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98,683</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17,313</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56,324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43,212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13,112</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30,387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27,061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48,254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55,657</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(7,403)</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327,138</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307,889</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19,249</w:t>
            </w:r>
          </w:p>
        </w:tc>
        <w:tc>
          <w:tcPr>
            <w:tcW w:w="22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45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81,731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65,160</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16,571</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125,007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(41,077)</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High School Park and Recreation</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46,877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40,429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6,448</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30,334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52,835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39,737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13,098</w:t>
            </w:r>
          </w:p>
        </w:tc>
        <w:tc>
          <w:tcPr>
            <w:tcW w:w="22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292,042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300,667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Net sales for the six months ended October 29, 2016 compared to the same period one year ago decreased as a result of declines in billboard</w:t>
      </w:r>
      <w:r>
        <w:rPr>
          <w:rFonts w:ascii="Arial" w:cs="Arial" w:eastAsia="Arial" w:hAnsi="Arial"/>
          <w:sz w:val="18"/>
          <w:szCs w:val="18"/>
          <w:i w:val="1"/>
          <w:iCs w:val="1"/>
          <w:color w:val="auto"/>
        </w:rPr>
        <w:t xml:space="preserve"> </w:t>
      </w:r>
      <w:r>
        <w:rPr>
          <w:rFonts w:ascii="Arial" w:cs="Arial" w:eastAsia="Arial" w:hAnsi="Arial"/>
          <w:sz w:val="18"/>
          <w:szCs w:val="18"/>
          <w:color w:val="auto"/>
        </w:rPr>
        <w:t>shipments this year compared to last year and the volatility of large custom video demand in our spectacular niche, offset by increased demand in our on-premise niche. ADFLOW sales in the Commercial business unit were $4.9 million during the six months ended October 29, 2016. ADFLOW was acquired in March 2016, and its financial results were not included in the six months ended October 31,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the six months ended October 29, 2016 compared to the same period one year ago was the result of the timing of awards of large custom projects in the spectacular niche and an increase in business in our on-premise niche due to ADFLOW. Orders in our digital billboard niche were relatively flat.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six months ended October 29, 2016 compared to the same period one year ago was primarily due to work</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for football stadiums. Last year, we made a decision to delay production on some orders into the third quarter to take advantage of the then newly released product enhancements.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decreased for the six months ended October 29, 2016 compared to the same period one year ago due to order timing variability of large projects as compared to last year. Last year, we booked several large multi-million dollar orders for professional sports projects during the first six months with no same-sized project in the first six months of this year.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the six months ended October 29, 2016 compared to the same period one year ago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increased video project sizes with higher average selling prices and more indoor video demand compared to last year.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Orders increased for the six months ended October 29, 2016 compared to the same period one year ago due to strong market demand for video in sporting applications with larger average sale prices than orders for scoring or message centers.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increase in net sales for the six months ended October 29, 2016 compared to the same period one year ago was related to strong order</w:t>
      </w:r>
      <w:r>
        <w:rPr>
          <w:rFonts w:ascii="Arial" w:cs="Arial" w:eastAsia="Arial" w:hAnsi="Arial"/>
          <w:sz w:val="18"/>
          <w:szCs w:val="18"/>
          <w:i w:val="1"/>
          <w:iCs w:val="1"/>
          <w:color w:val="auto"/>
        </w:rPr>
        <w:t xml:space="preserve"> </w:t>
      </w:r>
      <w:r>
        <w:rPr>
          <w:rFonts w:ascii="Arial" w:cs="Arial" w:eastAsia="Arial" w:hAnsi="Arial"/>
          <w:sz w:val="18"/>
          <w:szCs w:val="18"/>
          <w:color w:val="auto"/>
        </w:rPr>
        <w:t>backlog coming into this fiscal year as compared to last year.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decreased for the six months ended October 29, 2016 compared to the same period one year ago primarily due to the variability caused by large order timing.</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Net sales decreased in our International business unit for the six months ended October 29, 2016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mainly due to sales earned on a large transportation project during the first six months of fiscal 2016, with no similar sized project in the first six months of fiscal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increased for the six months ended October 29, 2016 compared to the same period one year ago primarily due to sports stadium projects awarded in Australia and due to the spectacular niche project awarded in Europe.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October 29, 2016</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19,707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25.9%</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18,131</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21.8%</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23,801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20.5</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19,524</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19.8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18,702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33.2</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12,799</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29.6</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10,641</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35.0</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8,458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31.3</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21.8</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21.7</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83,375</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25.5%</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71,014</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23.1%</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our gross profit percentage for the six months ended October 29, 2016 compared to the same period one year ago was the net result of the changes described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for the six months ended October 29, 2016 compared to the same period one year ago was primarily the result</w:t>
      </w:r>
      <w:r>
        <w:rPr>
          <w:rFonts w:ascii="Arial" w:cs="Arial" w:eastAsia="Arial" w:hAnsi="Arial"/>
          <w:sz w:val="18"/>
          <w:szCs w:val="18"/>
          <w:i w:val="1"/>
          <w:iCs w:val="1"/>
          <w:color w:val="auto"/>
        </w:rPr>
        <w:t xml:space="preserve"> </w:t>
      </w:r>
      <w:r>
        <w:rPr>
          <w:rFonts w:ascii="Arial" w:cs="Arial" w:eastAsia="Arial" w:hAnsi="Arial"/>
          <w:sz w:val="18"/>
          <w:szCs w:val="18"/>
          <w:color w:val="auto"/>
        </w:rPr>
        <w:t>of lower warranty charges because the first six months of fiscal 2016 had specific warranty obligations for particular projects, the non-recurrence of the licensing charge which impacted the first six months of fiscal 2016, and increased gross margins in our spectacular niche mix of projects, offset by lower volumes of sales over our primarily fixed manufacturing capability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for the six months ended October 29, 2016 compared to the same period one year ago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volumes of sales over our relatively fixed manufacturing cost infrastructure, a favorable sales mix impacted by project sizes and type, and production cost improvements offset by higher warranty costs as a percent of sales.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for the six months ended October 29, 2016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was due to increased volumes of sales over our relatively fixed manufacturing cost infrastructure, lower production costs due to process improvements, and lower warranty costs as a percent of sales.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for the six months ended October 29, 2016 compared to the same period one year ago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volumes of sales over our relatively fixed manufacturing cost infrastructure and favorable sales mix.</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The gross profit percent change for the six months ended October 29, 2016 compared to the same period one year ago was relatively flat.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October 29, 2016, gross profit percent was negatively impacted by 1.2% due to a $0.6 million technology intangible asset impairment.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Six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4"/>
          </w:tcPr>
          <w:p>
            <w:pPr>
              <w:ind w:left="500"/>
              <w:spacing w:after="0"/>
              <w:rPr>
                <w:sz w:val="20"/>
                <w:szCs w:val="20"/>
                <w:color w:val="auto"/>
              </w:rPr>
            </w:pPr>
            <w:r>
              <w:rPr>
                <w:rFonts w:ascii="Arial" w:cs="Arial" w:eastAsia="Arial" w:hAnsi="Arial"/>
                <w:sz w:val="18"/>
                <w:szCs w:val="18"/>
                <w:b w:val="1"/>
                <w:bCs w:val="1"/>
                <w:color w:val="auto"/>
              </w:rPr>
              <w:t>October 29, 2016</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56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8"/>
              </w:rPr>
              <w:t>Net Sales</w:t>
            </w: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6,269</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6,540</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4,951</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5,238</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2,509</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2,095</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7.7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8,047</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7,191</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12.9</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31,150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29,089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 in our Commercial, Transportation, and International business units increased in the six months ended October 29, 2016 compared to the same period a year ago primarily due to a $0.8 million bad debt expense and the six months of expenses from ADFLOW, the company acquired in the fourth quarter of fiscal 2016.</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Selling expenses in our Live Events and High School Park and Recreation business units decreased in the six months ended October 29, 2016 compared to the same period one year ago primarily due to decreases in bad debt expense, travel and entertainment expense, and personnel related expenses.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Six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520"/>
              <w:spacing w:after="0"/>
              <w:rPr>
                <w:sz w:val="20"/>
                <w:szCs w:val="20"/>
                <w:color w:val="auto"/>
              </w:rPr>
            </w:pPr>
            <w:r>
              <w:rPr>
                <w:rFonts w:ascii="Arial" w:cs="Arial" w:eastAsia="Arial" w:hAnsi="Arial"/>
                <w:sz w:val="18"/>
                <w:szCs w:val="18"/>
                <w:b w:val="1"/>
                <w:bCs w:val="1"/>
                <w:color w:val="auto"/>
              </w:rPr>
              <w:t>October 29, 2016</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8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Amount</w:t>
            </w:r>
          </w:p>
        </w:tc>
        <w:tc>
          <w:tcPr>
            <w:tcW w:w="1560" w:type="dxa"/>
            <w:vAlign w:val="bottom"/>
            <w:gridSpan w:val="2"/>
          </w:tcPr>
          <w:p>
            <w:pPr>
              <w:jc w:val="center"/>
              <w:ind w:right="220"/>
              <w:spacing w:after="0" w:line="194" w:lineRule="exact"/>
              <w:rPr>
                <w:sz w:val="20"/>
                <w:szCs w:val="20"/>
                <w:color w:val="auto"/>
              </w:rPr>
            </w:pPr>
            <w:r>
              <w:rPr>
                <w:rFonts w:ascii="Arial" w:cs="Arial" w:eastAsia="Arial" w:hAnsi="Arial"/>
                <w:sz w:val="18"/>
                <w:szCs w:val="18"/>
                <w:b w:val="1"/>
                <w:bCs w:val="1"/>
                <w:color w:val="auto"/>
                <w:w w:val="86"/>
              </w:rPr>
              <w:t>Net Sales</w:t>
            </w:r>
          </w:p>
        </w:tc>
        <w:tc>
          <w:tcPr>
            <w:tcW w:w="156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Percent Change</w:t>
            </w:r>
          </w:p>
        </w:tc>
        <w:tc>
          <w:tcPr>
            <w:tcW w:w="24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16,286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14,169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13,943</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and the costs of supplies.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six months ended October 29, 2016 increased as compared to the same period one year ago primarily due to increases in personnel expenses, professional fees, and information technology maintenance.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Product design and development expenses </w:t>
      </w:r>
      <w:r>
        <w:rPr>
          <w:rFonts w:ascii="Arial" w:cs="Arial" w:eastAsia="Arial" w:hAnsi="Arial"/>
          <w:sz w:val="16"/>
          <w:szCs w:val="16"/>
          <w:color w:val="auto"/>
        </w:rPr>
        <w:t>consist primarily of salaries, other employee-related costs, facility costs and equipment-related costs and supplies.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development investments in the near term are focused on developing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six months ended October 29, 2016 as compared to the same period one year ago increased primarily due to increased labor costs assigned to product development projects.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2"/>
              </w:rPr>
              <w:t>Six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29, 2016</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October 31, 2015</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100" w:type="dxa"/>
            <w:vAlign w:val="bottom"/>
          </w:tcPr>
          <w:p>
            <w:pPr>
              <w:spacing w:after="0"/>
              <w:rPr>
                <w:sz w:val="22"/>
                <w:szCs w:val="22"/>
                <w:color w:val="auto"/>
              </w:rPr>
            </w:pP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6"/>
                <w:szCs w:val="16"/>
                <w:color w:val="auto"/>
              </w:rPr>
            </w:pPr>
          </w:p>
        </w:tc>
        <w:tc>
          <w:tcPr>
            <w:tcW w:w="1300" w:type="dxa"/>
            <w:vAlign w:val="bottom"/>
            <w:gridSpan w:val="2"/>
          </w:tcPr>
          <w:p>
            <w:pPr>
              <w:ind w:left="300"/>
              <w:spacing w:after="0" w:line="194"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and product sales on an installment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(expense), net in the six months ended October 29, 2016 compared to the same period one year ago decreased as a result of lower long-term receivables which bear imputed interest rates due and lower interest rates realized on lower average invested cash during the same period.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The change in other income and expense, net for the six months ended October 29, 2016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was primarily due to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effective tax rate was 30.5 percent for the six months ended October 29, 2016 as compared to an effective tax rate of 39.6 percent for the six months ended October 31, 2015. The substantial factors which decreased our effective tax rate was the PATH Act, which was signed in December 2015 and which permanently extended the U.S. research and development credit. During the second quarter of fiscal 2016, the PATH Act was not signed into law and thus no accrual for the credit was allowed. In addition, increasing research and development credits in foreign jurisdictions have contributed to a lower effective tax rate.</w:t>
      </w:r>
    </w:p>
    <w:p>
      <w:pPr>
        <w:sectPr>
          <w:pgSz w:w="11900" w:h="16838" w:orient="portrait"/>
          <w:cols w:equalWidth="0" w:num="1">
            <w:col w:w="11420"/>
          </w:cols>
          <w:pgMar w:left="240" w:top="121"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Six Months Ended</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29,</w:t>
            </w:r>
          </w:p>
        </w:tc>
        <w:tc>
          <w:tcPr>
            <w:tcW w:w="18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7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20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30"/>
              <w:spacing w:after="0" w:line="194" w:lineRule="exact"/>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6"/>
                <w:szCs w:val="16"/>
                <w:color w:val="auto"/>
              </w:rPr>
            </w:pPr>
          </w:p>
        </w:tc>
        <w:tc>
          <w:tcPr>
            <w:tcW w:w="1500" w:type="dxa"/>
            <w:vAlign w:val="bottom"/>
          </w:tcPr>
          <w:p>
            <w:pPr>
              <w:jc w:val="right"/>
              <w:ind w:right="50"/>
              <w:spacing w:after="0" w:line="194" w:lineRule="exact"/>
              <w:rPr>
                <w:sz w:val="20"/>
                <w:szCs w:val="20"/>
                <w:color w:val="auto"/>
              </w:rPr>
            </w:pPr>
            <w:r>
              <w:rPr>
                <w:rFonts w:ascii="Arial" w:cs="Arial" w:eastAsia="Arial" w:hAnsi="Arial"/>
                <w:sz w:val="18"/>
                <w:szCs w:val="18"/>
                <w:b w:val="1"/>
                <w:bCs w:val="1"/>
                <w:color w:val="auto"/>
                <w:w w:val="97"/>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7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1,630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(11,969)</w:t>
            </w:r>
          </w:p>
        </w:tc>
        <w:tc>
          <w:tcPr>
            <w:tcW w:w="200" w:type="dxa"/>
            <w:vAlign w:val="bottom"/>
          </w:tcPr>
          <w:p>
            <w:pPr>
              <w:spacing w:after="0"/>
              <w:rPr>
                <w:sz w:val="21"/>
                <w:szCs w:val="21"/>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21"/>
                <w:szCs w:val="21"/>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5,717</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(29,824)</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cash flows result primarily from cash received from customers, which is offset by cash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income taxes, market and warranty obligations, and employee compensation.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provided by operating activities was $15.0 million for the first six months of fiscal 2017 compared to cash used in operating activities of $9.0 million in the first six months of fiscal 2016. The $24.0 million increase in cash from operating activities from the first six months of fiscal 2016 to the first six months of fiscal 2017 was the net result of changes in net operating assets and liabilities of $14.4 million, an increase of $7.6 million in net income, a $1.0 million increase in depreciation and amortization, a $0.8 million increase in an impairment loss of intangible assets, a $0.7 million increase in other non-cash items, net, and a $0.1 million gain on sale of property, equipment and other assets, adjusted by a decrease of deferred income taxes, net of $0.6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operating assets and liabilities consisted of the following:</w:t>
      </w:r>
    </w:p>
    <w:p>
      <w:pPr>
        <w:spacing w:after="0" w:line="383"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29,</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31,</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(13,267)</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(10,606)</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receivables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6,140</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(4,831)</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Costs and estimated earnings in excess of billings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(13,154)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(1,067)</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Income tax receivables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4,583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Advertising rights and other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Increase (decrease):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Current marketing obligations and other payables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Customer deposits (billed or collected)</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(1,993)</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(1,455)</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Billings in excess of costs and estimated earnings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(11,214)</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Long-term 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808</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2,242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8"/>
                <w:szCs w:val="18"/>
                <w:color w:val="auto"/>
              </w:rPr>
              <w:t>Deferred revenue (billed or collected)</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1,703</w:t>
            </w:r>
          </w:p>
        </w:tc>
        <w:tc>
          <w:tcPr>
            <w:tcW w:w="2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43"/>
        </w:trPr>
        <w:tc>
          <w:tcPr>
            <w:tcW w:w="6820" w:type="dxa"/>
            <w:vAlign w:val="bottom"/>
          </w:tcPr>
          <w:p>
            <w:pPr>
              <w:ind w:left="360"/>
              <w:spacing w:after="0"/>
              <w:rPr>
                <w:sz w:val="20"/>
                <w:szCs w:val="20"/>
                <w:color w:val="auto"/>
              </w:rPr>
            </w:pPr>
            <w:r>
              <w:rPr>
                <w:rFonts w:ascii="Arial" w:cs="Arial" w:eastAsia="Arial" w:hAnsi="Arial"/>
                <w:sz w:val="18"/>
                <w:szCs w:val="18"/>
                <w:color w:val="auto"/>
              </w:rPr>
              <w:t>Long-term marketing obligations and other payables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82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2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(12,057)</w:t>
            </w:r>
          </w:p>
        </w:tc>
        <w:tc>
          <w:tcPr>
            <w:tcW w:w="2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(26,487)</w:t>
            </w:r>
          </w:p>
        </w:tc>
        <w:tc>
          <w:tcPr>
            <w:tcW w:w="0" w:type="dxa"/>
            <w:vAlign w:val="bottom"/>
          </w:tcPr>
          <w:p>
            <w:pPr>
              <w:spacing w:after="0"/>
              <w:rPr>
                <w:sz w:val="1"/>
                <w:szCs w:val="1"/>
                <w:color w:val="auto"/>
              </w:rPr>
            </w:pPr>
          </w:p>
        </w:tc>
      </w:tr>
      <w:tr>
        <w:trPr>
          <w:trHeight w:val="20"/>
        </w:trPr>
        <w:tc>
          <w:tcPr>
            <w:tcW w:w="682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markets.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provided by investing activities totaled $1.6 million in the first six months of fiscal 2017 compared to cash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activities of $12.0 million in the first six months of fiscal 2016. The net change of cash from investing activities was the result of a lower level of purchases of property and equipment and a decrease in investments of cash in marketable securities in the first six months of fiscal 2017 as compared to the first six months of fiscal 2016. Purchases of property and equipment totaled $4.6 million in the first six months of fiscal 2017 compared to $10.5 million in the first six months of fiscal 2016. A decrease in net cash invested in marketable securities, net of sales and maturities of $6.4 million was due to using funds for operating needs.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used in financing activities was $10.3 million for the six months ended October 29, 2016 compared to $8.4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one year ago. Dividends of $7.5 million, or $0.17 per share, were paid to Daktronics shareholders during the first six months of fiscal 2017, as compared to dividends of $8.8 million, or $0.20 per share, paid to Daktronics shareholders during the first six months of fiscal 2016. In the first quarter of fiscal 2017, we began purchasing common shares as part of the $40.0 million share repurchase plan authorized by the Board of Directors. In the six months ended October 29, 2016, we repurchased $1.8 million of shares.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We have $7.5 million of retainage on long-term contracts included in receivables and costs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billings as of October 29, 2016, which we expect to collect within one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Working capital was $137.5 million and $123.7 million at October 29, 2016 and April 30, 2016, respectively. The changes in working capital, particularly changes in accounts receivable, accounts payable, inventory, and costs in excess of billings and billings in excess of costs, and the seasonality of the sports market can have a significant impact on net cash provided by operating activities, largely due to the timing of payments and receipts. We have historically financed working capital needs through a combination of cash flow from operations and borrowings under bank credit agreements.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used and expect to continue to use cash balances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interest expense, income taxes, depreciation and amortization, all as determined in accordance with U.S. GAAP. The effective interest rate was 2.0 percent at October 29, 2016. We are assessed a loan fee equal to 0.125 percent per annum of any unused portion of the loan. As of October 29, 2016, there were no advances to us under the loan portion of the line of credit, and the balance of letters of credit outstanding was approximately $5.3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3" w:lineRule="exact"/>
        <w:rPr>
          <w:sz w:val="20"/>
          <w:szCs w:val="20"/>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an additional credit agreement with another U.S. bank which supports our credit needs outside of the United States. It was also amended on November 15, 2013 and becomes due on November 15, 2016.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Total credit allowed between the two credit agreements is limited to $40 million. The interest rate is equal to LIBOR plus 1.5 percent. We are assessed a loan fee equal to 0.15 percent per annum of any unused portion of the loan. As of October 29, 2016, there were no advances outstanding and approximately $6.9 million in bank guarantees under this line of credit.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15, 2016, we entered into a new credit agreement and a related revolving note with U.S. Bank National Association. The agreement and note have a maturity date of November 15, 2019. The revolving amount of the agreement and note is $35 million, including up to $15 million for commercial and standby letters of credit. The agreement and note are unsecured. The note provides for certain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covenants of the Company, including a fixed charge ratio and interest bearing debt to EBITDA ratio. The Company will use any borrowings under the note for general corporate purposes.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on November 15, 2016, we entered into an amended and restated loan agreement and a continuing and unlimited guaranty agreement with Bank of America, N.A. The loan and guaranty have a maturity date of November 15, 2019. The revolving amount of the loan is $20 million. The loan is unsecured. The loan provides for certain covenants of the Company including a fixed charge ratio and interest bearing debt to EBITDA ratio. The Company will use the borrowings under the note to support credit needs for general corporate purposes outside the United States.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29, 2016, we were in compliance with all applicable covenants. The minimum fixed charge coverage ratio as of April 30, 2016 was (15)-to-1, and the ratio of interest-bearing debt to EBITDA as of October 29, 2016 was .08-to-1.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cash on hand to pay dividends to our investors. The following table summarizes the quarterly dividends declared and paid since the prior fiscal year end of April 30,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960" w:type="dxa"/>
            <w:vAlign w:val="bottom"/>
          </w:tcPr>
          <w:p>
            <w:pPr>
              <w:ind w:left="280"/>
              <w:spacing w:after="0"/>
              <w:rPr>
                <w:sz w:val="20"/>
                <w:szCs w:val="20"/>
                <w:color w:val="auto"/>
              </w:rPr>
            </w:pPr>
            <w:r>
              <w:rPr>
                <w:rFonts w:ascii="Arial" w:cs="Arial" w:eastAsia="Arial" w:hAnsi="Arial"/>
                <w:sz w:val="18"/>
                <w:szCs w:val="18"/>
                <w:b w:val="1"/>
                <w:bCs w:val="1"/>
                <w:color w:val="auto"/>
              </w:rPr>
              <w:t>Record Date</w:t>
            </w:r>
          </w:p>
        </w:tc>
        <w:tc>
          <w:tcPr>
            <w:tcW w:w="2000" w:type="dxa"/>
            <w:vAlign w:val="bottom"/>
          </w:tcPr>
          <w:p>
            <w:pPr>
              <w:ind w:left="220"/>
              <w:spacing w:after="0"/>
              <w:rPr>
                <w:sz w:val="20"/>
                <w:szCs w:val="20"/>
                <w:color w:val="auto"/>
              </w:rPr>
            </w:pPr>
            <w:r>
              <w:rPr>
                <w:rFonts w:ascii="Arial" w:cs="Arial" w:eastAsia="Arial" w:hAnsi="Arial"/>
                <w:sz w:val="18"/>
                <w:szCs w:val="18"/>
                <w:b w:val="1"/>
                <w:bCs w:val="1"/>
                <w:color w:val="auto"/>
              </w:rPr>
              <w:t>Payment Date</w:t>
            </w:r>
          </w:p>
        </w:tc>
        <w:tc>
          <w:tcPr>
            <w:tcW w:w="200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6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16, 2016</w:t>
            </w:r>
          </w:p>
        </w:tc>
        <w:tc>
          <w:tcPr>
            <w:tcW w:w="1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June 27, 2016</w:t>
            </w:r>
          </w:p>
        </w:tc>
        <w:tc>
          <w:tcPr>
            <w:tcW w:w="2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July 8, 2016</w:t>
            </w:r>
          </w:p>
        </w:tc>
        <w:tc>
          <w:tcPr>
            <w:tcW w:w="2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$0.06</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September 1, 2016</w:t>
            </w:r>
          </w:p>
        </w:tc>
        <w:tc>
          <w:tcPr>
            <w:tcW w:w="1960" w:type="dxa"/>
            <w:vAlign w:val="bottom"/>
          </w:tcPr>
          <w:p>
            <w:pPr>
              <w:ind w:left="280"/>
              <w:spacing w:after="0"/>
              <w:rPr>
                <w:sz w:val="20"/>
                <w:szCs w:val="20"/>
                <w:color w:val="auto"/>
              </w:rPr>
            </w:pPr>
            <w:r>
              <w:rPr>
                <w:rFonts w:ascii="Arial" w:cs="Arial" w:eastAsia="Arial" w:hAnsi="Arial"/>
                <w:sz w:val="18"/>
                <w:szCs w:val="18"/>
                <w:color w:val="auto"/>
              </w:rPr>
              <w:t>September 12, 2016</w:t>
            </w:r>
          </w:p>
        </w:tc>
        <w:tc>
          <w:tcPr>
            <w:tcW w:w="2000" w:type="dxa"/>
            <w:vAlign w:val="bottom"/>
          </w:tcPr>
          <w:p>
            <w:pPr>
              <w:ind w:left="220"/>
              <w:spacing w:after="0"/>
              <w:rPr>
                <w:sz w:val="20"/>
                <w:szCs w:val="20"/>
                <w:color w:val="auto"/>
              </w:rPr>
            </w:pPr>
            <w:r>
              <w:rPr>
                <w:rFonts w:ascii="Arial" w:cs="Arial" w:eastAsia="Arial" w:hAnsi="Arial"/>
                <w:sz w:val="18"/>
                <w:szCs w:val="18"/>
                <w:color w:val="auto"/>
              </w:rPr>
              <w:t>September 23, 2016</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$0.07</w:t>
            </w:r>
          </w:p>
        </w:tc>
      </w:tr>
      <w:tr>
        <w:trPr>
          <w:trHeight w:val="27"/>
        </w:trPr>
        <w:tc>
          <w:tcPr>
            <w:tcW w:w="1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1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1, 2016</w:t>
            </w:r>
          </w:p>
        </w:tc>
        <w:tc>
          <w:tcPr>
            <w:tcW w:w="1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12, 2016</w:t>
            </w:r>
          </w:p>
        </w:tc>
        <w:tc>
          <w:tcPr>
            <w:tcW w:w="2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23, 2016</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$0.07</w:t>
            </w:r>
          </w:p>
        </w:tc>
      </w:tr>
      <w:tr>
        <w:trPr>
          <w:trHeight w:val="27"/>
        </w:trPr>
        <w:tc>
          <w:tcPr>
            <w:tcW w:w="16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special dividends declared and paid since the fiscal year end of April 30,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1860" w:type="dxa"/>
            <w:vAlign w:val="bottom"/>
          </w:tcPr>
          <w:p>
            <w:pPr>
              <w:ind w:left="400"/>
              <w:spacing w:after="0"/>
              <w:rPr>
                <w:sz w:val="20"/>
                <w:szCs w:val="20"/>
                <w:color w:val="auto"/>
              </w:rPr>
            </w:pPr>
            <w:r>
              <w:rPr>
                <w:rFonts w:ascii="Arial" w:cs="Arial" w:eastAsia="Arial" w:hAnsi="Arial"/>
                <w:sz w:val="18"/>
                <w:szCs w:val="18"/>
                <w:b w:val="1"/>
                <w:bCs w:val="1"/>
                <w:color w:val="auto"/>
              </w:rPr>
              <w:t>Record Date</w:t>
            </w:r>
          </w:p>
        </w:tc>
        <w:tc>
          <w:tcPr>
            <w:tcW w:w="2040" w:type="dxa"/>
            <w:vAlign w:val="bottom"/>
          </w:tcPr>
          <w:p>
            <w:pPr>
              <w:ind w:left="440"/>
              <w:spacing w:after="0"/>
              <w:rPr>
                <w:sz w:val="20"/>
                <w:szCs w:val="20"/>
                <w:color w:val="auto"/>
              </w:rPr>
            </w:pPr>
            <w:r>
              <w:rPr>
                <w:rFonts w:ascii="Arial" w:cs="Arial" w:eastAsia="Arial" w:hAnsi="Arial"/>
                <w:sz w:val="18"/>
                <w:szCs w:val="18"/>
                <w:b w:val="1"/>
                <w:bCs w:val="1"/>
                <w:color w:val="auto"/>
              </w:rPr>
              <w:t>Payment Date</w:t>
            </w:r>
          </w:p>
        </w:tc>
        <w:tc>
          <w:tcPr>
            <w:tcW w:w="218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Amount per Share</w:t>
            </w:r>
          </w:p>
        </w:tc>
      </w:tr>
      <w:tr>
        <w:trPr>
          <w:trHeight w:val="27"/>
        </w:trPr>
        <w:tc>
          <w:tcPr>
            <w:tcW w:w="15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37"/>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June 16, 2016</w:t>
            </w:r>
          </w:p>
        </w:tc>
        <w:tc>
          <w:tcPr>
            <w:tcW w:w="1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June 27, 2016</w:t>
            </w:r>
          </w:p>
        </w:tc>
        <w:tc>
          <w:tcPr>
            <w:tcW w:w="2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July 8, 2016</w:t>
            </w:r>
          </w:p>
        </w:tc>
        <w:tc>
          <w:tcPr>
            <w:tcW w:w="21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$0.04</w:t>
            </w:r>
          </w:p>
        </w:tc>
      </w:tr>
      <w:tr>
        <w:trPr>
          <w:trHeight w:val="27"/>
        </w:trPr>
        <w:tc>
          <w:tcPr>
            <w:tcW w:w="15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the nature and amounts of dividends will be reviewed regularly and declared by the Board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its loss to Daktronics. At October 29, 2016, we had $31.4 million of bonded work outstanding against this line.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less than $19 million for fiscal 2017 for manufacturing equipment for new or enhanced product production, demonstration equipment for new products, and continued information infrastructure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our working capital available from all sources will be adequate to meet the cash requirements of our operations in the foreseeable future. If our growth extends beyond current expectations, profitability does not improve, or if we make any strategic investments, we may need to increase our credit facilities or seek other means of financing. We anticipate we will be able to obtain any needed funds under commercially reasonable terms from our current lenders or other sources, although there can be no guarantee of such.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October 29, 2016, most of our net sales were denominated in U.S. dollars, and our exposure to foreign currency exchange rate changes on net sales had not been significant. For the six months ended October 29, 2016, net sales originating outside the United States were 17.6 percent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U.S. dollar. To the extent we engage in international sales denominated in U.S. dollars, an increase in the value of the U.S. dollar relative to foreign currencies could make our products less competitive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international markets. This effect is also impacted by the sources of raw materials from international sources. We estimate that a 10 percent change in all foreign exchange rates would impact our reported income before taxes by approximately $2.1 million annually. 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$18.3 million, and all contracts mature within 13 months. These contracts are marked to market each balance sheet date and are not designated as hedges. See Note 13. Derivative Financial Instruments of the Notes to the Consolidated Financial Statements included elsewhere in this Report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October 29, 2016, our outstanding marketing obligations were $0.6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October 29, 2016, our outstanding long-term receivables were $6.3 million. Each 25 basis point increase in interest rates would have an associated immaterial annual opportunity cost.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3764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$34.0 million in cash and cash equivalents at October 29, 2016, $25.4 million was denominated in U.S. dollars. Cash balances in foreign currencies are operating balances maintained in accounts of our foreign subsidiaries. A portion of the cash held in foreign accounts is used to collateralize outstanding bank guarantees issued by our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Risk</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dependent on basic raw materials, sub-assemblies, components, and other supplies used in our operations. Our financial results could be affected by the availability and changes in prices of these materials. Some of these materials are sourced from a limited number of suppliers or only a single supplier. These materials are also key source materials for our competitors. Therefore, if demand for these materials rises, we may experience increased costs and/or limited or unavailable supplies. As a result, we may not be able to acquire key production materials on a timely basis, which could impact our ability to produce products and satisfy incoming sales orders on a timely basis. In addition, the costs of these materials can rise suddenly and result in significantly higher costs of production.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 We believe that we have adequate sources of supply for many of our key materials.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29, 2016, which is the end of the period covered by this Report. Based upon that evaluation, the Chief Executive Officer and Chief Financial Officer concluded that as of October 29, 2016,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October 29, 2016,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30, 2016.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of common stock during the six months ended October 29, 2016:</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2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20" w:type="dxa"/>
            <w:vAlign w:val="bottom"/>
          </w:tcPr>
          <w:p>
            <w:pPr>
              <w:spacing w:after="0"/>
              <w:rPr>
                <w:sz w:val="18"/>
                <w:szCs w:val="18"/>
                <w:color w:val="auto"/>
              </w:rPr>
            </w:pPr>
          </w:p>
        </w:tc>
        <w:tc>
          <w:tcPr>
            <w:tcW w:w="20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of shares that may yet be</w:t>
            </w:r>
          </w:p>
        </w:tc>
      </w:tr>
      <w:tr>
        <w:trPr>
          <w:trHeight w:val="216"/>
        </w:trPr>
        <w:tc>
          <w:tcPr>
            <w:tcW w:w="2520" w:type="dxa"/>
            <w:vAlign w:val="bottom"/>
          </w:tcPr>
          <w:p>
            <w:pPr>
              <w:spacing w:after="0"/>
              <w:rPr>
                <w:sz w:val="18"/>
                <w:szCs w:val="18"/>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b w:val="1"/>
                <w:bCs w:val="1"/>
                <w:color w:val="auto"/>
                <w:w w:val="96"/>
              </w:rPr>
              <w:t>Total number of shares</w:t>
            </w:r>
          </w:p>
        </w:tc>
        <w:tc>
          <w:tcPr>
            <w:tcW w:w="140" w:type="dxa"/>
            <w:vAlign w:val="bottom"/>
          </w:tcPr>
          <w:p>
            <w:pPr>
              <w:spacing w:after="0"/>
              <w:rPr>
                <w:sz w:val="18"/>
                <w:szCs w:val="18"/>
                <w:color w:val="auto"/>
              </w:rPr>
            </w:pPr>
          </w:p>
        </w:tc>
        <w:tc>
          <w:tcPr>
            <w:tcW w:w="19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Average price paid per</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 plans</w:t>
            </w: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purchased under the share</w:t>
            </w:r>
          </w:p>
        </w:tc>
      </w:tr>
      <w:tr>
        <w:trPr>
          <w:trHeight w:val="261"/>
        </w:trPr>
        <w:tc>
          <w:tcPr>
            <w:tcW w:w="252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Period</w:t>
            </w:r>
          </w:p>
        </w:tc>
        <w:tc>
          <w:tcPr>
            <w:tcW w:w="2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purchased</w:t>
            </w:r>
          </w:p>
        </w:tc>
        <w:tc>
          <w:tcPr>
            <w:tcW w:w="1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share (including fees)</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repurchase program</w:t>
            </w:r>
            <w:r>
              <w:rPr>
                <w:rFonts w:ascii="Arial" w:cs="Arial" w:eastAsia="Arial" w:hAnsi="Arial"/>
                <w:sz w:val="25"/>
                <w:szCs w:val="25"/>
                <w:b w:val="1"/>
                <w:bCs w:val="1"/>
                <w:color w:val="auto"/>
                <w:w w:val="87"/>
                <w:vertAlign w:val="superscript"/>
              </w:rPr>
              <w:t>(1)</w:t>
            </w:r>
          </w:p>
        </w:tc>
      </w:tr>
      <w:tr>
        <w:trPr>
          <w:trHeight w:val="264"/>
        </w:trPr>
        <w:tc>
          <w:tcPr>
            <w:tcW w:w="2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July 26 - October 29, 2016</w:t>
            </w:r>
          </w:p>
        </w:tc>
        <w:tc>
          <w:tcPr>
            <w:tcW w:w="210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284,277</w:t>
            </w: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6.42</w:t>
            </w:r>
          </w:p>
        </w:tc>
        <w:tc>
          <w:tcPr>
            <w:tcW w:w="20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284,277</w:t>
            </w: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rPr>
              <w:t>38,174,836</w:t>
            </w:r>
          </w:p>
        </w:tc>
      </w:tr>
      <w:tr>
        <w:trPr>
          <w:trHeight w:val="250"/>
        </w:trPr>
        <w:tc>
          <w:tcPr>
            <w:tcW w:w="2520" w:type="dxa"/>
            <w:vAlign w:val="bottom"/>
          </w:tcPr>
          <w:p>
            <w:pPr>
              <w:ind w:left="20"/>
              <w:spacing w:after="0"/>
              <w:rPr>
                <w:sz w:val="20"/>
                <w:szCs w:val="20"/>
                <w:color w:val="auto"/>
              </w:rPr>
            </w:pPr>
            <w:r>
              <w:rPr>
                <w:rFonts w:ascii="Arial" w:cs="Arial" w:eastAsia="Arial" w:hAnsi="Arial"/>
                <w:sz w:val="18"/>
                <w:szCs w:val="18"/>
                <w:color w:val="auto"/>
              </w:rPr>
              <w:t>Total</w:t>
            </w:r>
          </w:p>
        </w:tc>
        <w:tc>
          <w:tcPr>
            <w:tcW w:w="2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284,277</w:t>
            </w:r>
          </w:p>
        </w:tc>
        <w:tc>
          <w:tcPr>
            <w:tcW w:w="1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284,277</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8890</wp:posOffset>
            </wp:positionV>
            <wp:extent cx="1320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8890</wp:posOffset>
            </wp:positionV>
            <wp:extent cx="1329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0"/>
          <w:szCs w:val="20"/>
          <w:color w:val="auto"/>
        </w:rPr>
      </w:pPr>
    </w:p>
    <w:p>
      <w:pPr>
        <w:jc w:val="both"/>
        <w:ind w:firstLine="8"/>
        <w:spacing w:after="0" w:line="264"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 repurchases described in the above table were made pursuant to the $40.0 million share repurchase program authorized by the Board of Directors on June 17, 2016. The first purchase under the program was made on July 26, 2016, and there were no other purchases in any other month during the six months ended October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-432435</wp:posOffset>
            </wp:positionV>
            <wp:extent cx="1320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1746250</wp:posOffset>
            </wp:positionH>
            <wp:positionV relativeFrom="paragraph">
              <wp:posOffset>-432435</wp:posOffset>
            </wp:positionV>
            <wp:extent cx="13290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5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4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 December 2,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(Incorporated by reference to Exhibit 3.1 filed with our Quarterly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10-Q on August 30, 2013).</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Credit Agreement dated November 15, 2016 by and between the Company and U.S. Bank National Association (Incorporated by reference to Exhibit 10.1 filed with our Current Report on Form 8-K filed on November 16, 2016).</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Revolving Note dated November 15, 2016 issued by the Company to U.S. Bank National Association (Incorporated by reference to Exhibit 10.2 filed with our Current Report on Form 8-K filed on November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and Restated Loan Agreement dated November 15, 2016 by and between the Company and Bank of America, N.A. (Incorporated by reference to Exhibit 10.3 filed with our Current Report on Form 8-K filed on November 16, 2016).</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Continuing and Unconditional Guaranty dated November 15, 2016 by and between the Company and Bank of America, N.A. (Incorporated by reference to Exhibit 10.4 filed with our Current Report on Form 8-K filed on November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Daktronics, Inc. 2015 Stock Incentive Plan ("2015 Plan"). (Incorporated by reference to Exhibit A to the Company's Definitive Proxy Statement on Schedule 14A filed on July 14, 2015).</w:t>
      </w:r>
    </w:p>
    <w:p>
      <w:pPr>
        <w:spacing w:after="0" w:line="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Form of Restricted Stock Award Agreement under the 2015 Plan (Incorporated by reference to Exhibit 10.2 filed with our Current Report on Form</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8-K on September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720" w:right="220" w:hanging="688"/>
        <w:spacing w:after="0" w:line="277" w:lineRule="auto"/>
        <w:tabs>
          <w:tab w:leader="none" w:pos="7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Form of Non-Qualified Stock Option Agreement Terms and Conditions under the 2015 Plan (Incorporated by reference to Exhibit 10.3 filed with our Current Report on Form 8-K on September 3, 2015).</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Form of Incentive Stock Option Terms and Conditions under the 2015 Plan (Incorporated by reference to Exhibit 10.4 filed with our Current Report on Form 8-K on September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160" w:hanging="688"/>
        <w:spacing w:after="0" w:line="277" w:lineRule="auto"/>
        <w:tabs>
          <w:tab w:leader="none" w:pos="700" w:val="left"/>
        </w:tabs>
        <w:rPr>
          <w:sz w:val="20"/>
          <w:szCs w:val="20"/>
          <w:color w:val="auto"/>
        </w:rPr>
      </w:pPr>
      <w:r>
        <w:rPr>
          <w:rFonts w:ascii="Arial" w:cs="Arial" w:eastAsia="Arial" w:hAnsi="Arial"/>
          <w:sz w:val="18"/>
          <w:szCs w:val="18"/>
          <w:color w:val="auto"/>
        </w:rPr>
        <w:t>10.10</w:t>
        <w:tab/>
        <w:t>Form of Restricted Stock Unit Terms and Conditions under the 2015 Plan (Incorporated by reference to Exhibit 10.5 filed with our Current Report on Form 8-K on September 3, 2015).</w:t>
      </w:r>
    </w:p>
    <w:p>
      <w:pPr>
        <w:spacing w:after="0" w:line="8" w:lineRule="exact"/>
        <w:rPr>
          <w:sz w:val="20"/>
          <w:szCs w:val="20"/>
          <w:color w:val="auto"/>
        </w:rPr>
      </w:pP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720" w:right="40" w:hanging="688"/>
        <w:spacing w:after="0" w:line="277"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720" w:right="40" w:hanging="685"/>
        <w:spacing w:after="0" w:line="259"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October 29, 2016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1180" w:hanging="358"/>
        <w:spacing w:after="0"/>
        <w:tabs>
          <w:tab w:leader="none" w:pos="1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29, 2016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0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12/2/2016</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29, 2016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20"/>
        <w:spacing w:after="0"/>
        <w:tabs>
          <w:tab w:leader="none" w:pos="6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12/2/2016</w:t>
      </w:r>
    </w:p>
    <w:p>
      <w:pPr>
        <w:sectPr>
          <w:pgSz w:w="11900" w:h="16838" w:orient="portrait"/>
          <w:cols w:equalWidth="0" w:num="1">
            <w:col w:w="11420"/>
          </w:cols>
          <w:pgMar w:left="240" w:top="58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29, 2016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tabs>
          <w:tab w:leader="none" w:pos="72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12/2/2016</w:t>
      </w:r>
    </w:p>
    <w:p>
      <w:pPr>
        <w:sectPr>
          <w:pgSz w:w="11900" w:h="16838" w:orient="portrait"/>
          <w:cols w:equalWidth="0" w:num="1">
            <w:col w:w="11420"/>
          </w:cols>
          <w:pgMar w:left="240" w:top="58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29, 2016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tabs>
          <w:tab w:leader="none" w:pos="7180" w:val="left"/>
        </w:tabs>
        <w:rPr>
          <w:sz w:val="20"/>
          <w:szCs w:val="20"/>
          <w:color w:val="auto"/>
        </w:rPr>
      </w:pPr>
      <w:r>
        <w:rPr>
          <w:rFonts w:ascii="Arial" w:cs="Arial" w:eastAsia="Arial" w:hAnsi="Arial"/>
          <w:sz w:val="18"/>
          <w:szCs w:val="18"/>
          <w:color w:val="auto"/>
        </w:rPr>
        <w:t>Date:</w:t>
        <w:tab/>
        <w:t>12/2/2016</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01"/>
    </w:lvl>
    <w:lvl w:ilvl="1">
      <w:lvlJc w:val="left"/>
      <w:lvlText w:val="(%2)"/>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2019-12-29T09:48:49Z</dcterms:created>
  <dcterms:modified xsi:type="dcterms:W3CDTF">2019-12-29T09:48:49Z</dcterms:modified>
</cp:coreProperties>
</file>