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8"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UNITED STATES</w:t>
      </w:r>
    </w:p>
    <w:p>
      <w:pPr>
        <w:ind w:left="3680"/>
        <w:spacing w:after="0" w:line="205"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12b-25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NOTIFICATION OF LATE FILING</w:t>
      </w:r>
    </w:p>
    <w:p>
      <w:pPr>
        <w:spacing w:after="0" w:line="222"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Commission File No. 0-23246</w:t>
      </w:r>
    </w:p>
    <w:p>
      <w:pPr>
        <w:sectPr>
          <w:pgSz w:w="11900" w:h="16838" w:orient="portrait"/>
          <w:cols w:equalWidth="0" w:num="1">
            <w:col w:w="10840"/>
          </w:cols>
          <w:pgMar w:left="320" w:top="1440" w:right="739" w:bottom="1440" w:gutter="0" w:footer="0" w:header="0"/>
        </w:sectPr>
      </w:pPr>
    </w:p>
    <w:p>
      <w:pPr>
        <w:spacing w:after="0" w:line="200"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line="241"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Form 10-K </w:t>
      </w:r>
      <w:r>
        <w:rPr>
          <w:rFonts w:ascii="MS PGothic" w:cs="MS PGothic" w:eastAsia="MS PGothic" w:hAnsi="MS PGothic"/>
          <w:sz w:val="17"/>
          <w:szCs w:val="17"/>
          <w:color w:val="auto"/>
        </w:rPr>
        <w:t>☐</w:t>
      </w:r>
      <w:r>
        <w:rPr>
          <w:rFonts w:ascii="Arial" w:cs="Arial" w:eastAsia="Arial" w:hAnsi="Arial"/>
          <w:sz w:val="17"/>
          <w:szCs w:val="17"/>
          <w:color w:val="auto"/>
        </w:rPr>
        <w:t xml:space="preserve"> Form N-CEN For Period Ended: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480"/>
        <w:spacing w:after="0" w:line="207" w:lineRule="exact"/>
        <w:tabs>
          <w:tab w:leader="none" w:pos="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20-F</w:t>
      </w:r>
    </w:p>
    <w:p>
      <w:pPr>
        <w:spacing w:after="0" w:line="71" w:lineRule="exact"/>
        <w:rPr>
          <w:sz w:val="24"/>
          <w:szCs w:val="24"/>
          <w:color w:val="auto"/>
        </w:rPr>
      </w:pPr>
    </w:p>
    <w:p>
      <w:pPr>
        <w:ind w:left="480"/>
        <w:spacing w:after="0" w:line="207" w:lineRule="exact"/>
        <w:tabs>
          <w:tab w:leader="none" w:pos="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N-CSR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October 29, 2022</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Form 11-K</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Form 10-D</w:t>
      </w:r>
    </w:p>
    <w:p>
      <w:pPr>
        <w:spacing w:after="0" w:line="704" w:lineRule="exact"/>
        <w:rPr>
          <w:sz w:val="24"/>
          <w:szCs w:val="24"/>
          <w:color w:val="auto"/>
        </w:rPr>
      </w:pPr>
    </w:p>
    <w:p>
      <w:pPr>
        <w:sectPr>
          <w:pgSz w:w="11900" w:h="16838" w:orient="portrait"/>
          <w:cols w:equalWidth="0" w:num="9">
            <w:col w:w="1020" w:space="720"/>
            <w:col w:w="1320" w:space="140"/>
            <w:col w:w="1740" w:space="680"/>
            <w:col w:w="160" w:space="100"/>
            <w:col w:w="900" w:space="720"/>
            <w:col w:w="160" w:space="60"/>
            <w:col w:w="940" w:space="720"/>
            <w:col w:w="160" w:space="100"/>
            <w:col w:w="1200"/>
          </w:cols>
          <w:pgMar w:left="320" w:top="1440" w:right="739" w:bottom="1440" w:gutter="0" w:footer="0" w:header="0"/>
          <w:type w:val="continuous"/>
        </w:sectPr>
      </w:pPr>
    </w:p>
    <w:p>
      <w:pPr>
        <w:spacing w:after="0" w:line="30"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38" w:lineRule="exact"/>
        <w:rPr>
          <w:rFonts w:ascii="MS PGothic" w:cs="MS PGothic" w:eastAsia="MS PGothic" w:hAnsi="MS PGothic"/>
          <w:sz w:val="18"/>
          <w:szCs w:val="18"/>
          <w:color w:val="auto"/>
        </w:rPr>
      </w:pPr>
    </w:p>
    <w:p>
      <w:pPr>
        <w:ind w:left="2040" w:hanging="300"/>
        <w:spacing w:after="0"/>
        <w:tabs>
          <w:tab w:leader="none" w:pos="2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22" w:lineRule="exact"/>
        <w:rPr>
          <w:rFonts w:ascii="MS PGothic" w:cs="MS PGothic" w:eastAsia="MS PGothic" w:hAnsi="MS PGothic"/>
          <w:sz w:val="18"/>
          <w:szCs w:val="18"/>
          <w:color w:val="auto"/>
        </w:rPr>
      </w:pPr>
    </w:p>
    <w:p>
      <w:pPr>
        <w:ind w:left="2040" w:hanging="300"/>
        <w:spacing w:after="0"/>
        <w:tabs>
          <w:tab w:leader="none" w:pos="2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2040" w:hanging="300"/>
        <w:spacing w:after="0"/>
        <w:tabs>
          <w:tab w:leader="none" w:pos="2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23"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For the Transition Period Ended: ____________________</w:t>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r>
        <w:rPr>
          <w:rFonts w:ascii="Arial" w:cs="Arial" w:eastAsia="Arial" w:hAnsi="Arial"/>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PART I</w:t>
      </w:r>
    </w:p>
    <w:p>
      <w:pPr>
        <w:spacing w:after="0" w:line="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REGISTRANT INFORMATION</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Daktronics,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817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176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Full Name of Registrant</w:t>
      </w: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134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color w:val="auto"/>
        </w:rPr>
        <w:t>201 Daktronics Drive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103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033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Brookings, SD 57006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107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071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City, State and Zip Code</w:t>
      </w:r>
    </w:p>
    <w:p>
      <w:pPr>
        <w:spacing w:after="0" w:line="12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PART II</w:t>
      </w:r>
    </w:p>
    <w:p>
      <w:pPr>
        <w:spacing w:after="0" w:line="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RULE 12b-25(b) AND (c)</w:t>
      </w:r>
    </w:p>
    <w:p>
      <w:pPr>
        <w:spacing w:after="0" w:line="142"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 (b), the following should be completed. (Check box if appropriate)</w:t>
      </w:r>
    </w:p>
    <w:p>
      <w:pPr>
        <w:sectPr>
          <w:pgSz w:w="11900" w:h="16838" w:orient="portrait"/>
          <w:cols w:equalWidth="0" w:num="1">
            <w:col w:w="10840"/>
          </w:cols>
          <w:pgMar w:left="320" w:top="1440" w:right="739" w:bottom="1440" w:gutter="0" w:footer="0" w:header="0"/>
          <w:type w:val="continuous"/>
        </w:sectPr>
      </w:pPr>
    </w:p>
    <w:bookmarkStart w:id="1" w:name="page2"/>
    <w:bookmarkEnd w:id="1"/>
    <w:p>
      <w:pPr>
        <w:spacing w:after="0" w:line="22" w:lineRule="exact"/>
        <w:rPr>
          <w:sz w:val="20"/>
          <w:szCs w:val="20"/>
          <w:color w:val="auto"/>
        </w:rPr>
      </w:pPr>
    </w:p>
    <w:p>
      <w:pPr>
        <w:ind w:left="20"/>
        <w:spacing w:after="0"/>
        <w:tabs>
          <w:tab w:leader="none" w:pos="500" w:val="left"/>
          <w:tab w:leader="none" w:pos="128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reasons described in reasonable detail in Part III of this form could not be eliminated without unreasonable effort or expense;</w:t>
      </w:r>
    </w:p>
    <w:p>
      <w:pPr>
        <w:spacing w:after="0" w:line="250" w:lineRule="exact"/>
        <w:rPr>
          <w:sz w:val="20"/>
          <w:szCs w:val="20"/>
          <w:color w:val="auto"/>
        </w:rPr>
      </w:pPr>
    </w:p>
    <w:p>
      <w:pPr>
        <w:ind w:left="1300" w:hanging="77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N-CEN or Form</w:t>
      </w:r>
    </w:p>
    <w:p>
      <w:pPr>
        <w:jc w:val="both"/>
        <w:ind w:left="1300" w:right="880" w:hanging="1274"/>
        <w:spacing w:after="0" w:line="184" w:lineRule="auto"/>
        <w:tabs>
          <w:tab w:leader="none" w:pos="1300" w:val="left"/>
        </w:tabs>
        <w:numPr>
          <w:ilvl w:val="0"/>
          <w:numId w:val="3"/>
        </w:numPr>
        <w:rPr>
          <w:rFonts w:ascii="Arial" w:cs="Arial" w:eastAsia="Arial" w:hAnsi="Arial"/>
          <w:sz w:val="32"/>
          <w:szCs w:val="32"/>
          <w:color w:val="auto"/>
          <w:vertAlign w:val="subscript"/>
        </w:rPr>
      </w:pPr>
      <w:r>
        <w:rPr>
          <w:rFonts w:ascii="Arial" w:cs="Arial" w:eastAsia="Arial" w:hAnsi="Arial"/>
          <w:sz w:val="16"/>
          <w:szCs w:val="16"/>
          <w:color w:val="auto"/>
        </w:rPr>
        <w:t>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Arial" w:cs="Arial" w:eastAsia="Arial" w:hAnsi="Arial"/>
          <w:sz w:val="32"/>
          <w:szCs w:val="32"/>
          <w:color w:val="auto"/>
          <w:vertAlign w:val="subscript"/>
        </w:rPr>
      </w:pPr>
    </w:p>
    <w:p>
      <w:pPr>
        <w:ind w:left="1300" w:hanging="77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jc w:val="center"/>
        <w:spacing w:after="0"/>
        <w:rPr>
          <w:sz w:val="20"/>
          <w:szCs w:val="20"/>
          <w:color w:val="auto"/>
        </w:rPr>
      </w:pPr>
      <w:r>
        <w:rPr>
          <w:rFonts w:ascii="Arial" w:cs="Arial" w:eastAsia="Arial" w:hAnsi="Arial"/>
          <w:sz w:val="18"/>
          <w:szCs w:val="18"/>
          <w:b w:val="1"/>
          <w:bCs w:val="1"/>
          <w:color w:val="auto"/>
        </w:rPr>
        <w:t>NARRATIVE</w:t>
      </w:r>
    </w:p>
    <w:p>
      <w:pPr>
        <w:spacing w:after="0" w:line="14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Daktronics, Inc. (the "Company," "we," "us" or "our") is unable to timely file its Quarterly Report on Form 10-Q for the period ended October 29, 2022</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"Form 10-Q") on or before the prescribed due date of December 8, 2022 without unreasonable effort or expense to the Company. Ongoing supply chain disruptions and inflationary challenges in materials, freight and personnel related costs have and will continue to cause volatility in our cash flow, pricing, order volumes, lead-times, competitiveness, revenue cycles, and production costs. Our ability to fund inventory levels, operations and capital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expenditures in the future will be dependent on our ability to generate cash flow from operations in these conditions, to maintain or improve margins, to use funds from our credit facility, and to find other sources of liquidity.</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Although supply chain disruptions have started to ease, and we expect our inventory levels to decline, we cannot be certain we will not experience future disruptions or need additional liquidity to fund inventory levels, operations, and capital expenditures. We will need additional liquidity to meet our obligations as they come due in the 12 months following the date of this Form 12b-25, and we cannot be assured that such liquidity will be available or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form of such liquidity, such as equity raises or debt financing. These conditions raise substantial doubt about our ability to continue as a going concern.</w:t>
      </w:r>
    </w:p>
    <w:p>
      <w:pPr>
        <w:spacing w:after="0" w:line="2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response to these conditions, we are pursuing additional liquidity through various means, including but not limited to obtaining financing secured by a mortgage on our facilities, a sales-leaseback transaction, leasing property and equipment, and continued focus on reducing working capital. Since these plans are not finalized and are subject to market conditions that are not within our control, they cannot be deemed probable. As a result, we have concluded that our plans do not alleviate substantial doubt about our ability to continue as a going concern. In addition, we recorded a valuation allowance of approximately $13.0 million for deferred tax assets under these conditions. The recording of the deferred tax valuation allowance created a covenant</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violation under our line of credit agreement. We are in the process of obtaining a waiver for such violation, however, no assurances can be given it is forthcoming.</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light of the substantial doubt in our ability to continue as a going concern and our related evaluation of the income tax implications of reaching this conclusion, the Company also expects to conclude that its disclosure controls and procedures and internal control over financial reporting were not effective as a result of material weaknesses. Our going concern policy did not contemplate evaluating the income tax implications of reaching a substantial doubt going concern conclusion. In addition, the material weaknesses relate to the untimely internal communication to support the functioning of internal controls and the resulting accounting for income taxes. The Company continues to evaluate its disclosure controls and procedures and internal controls over financial reporting, and its ultimate conclusions on these topics may differ from what the Company currently anticipates.</w:t>
      </w:r>
    </w:p>
    <w:p>
      <w:pPr>
        <w:spacing w:after="0" w:line="193"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For these reasons, the Company needs additional time to complete its financial statements and other disclosures in the Form 10-Q. In accordance with Rule 12b-25 promulgated under the Securities Exchange Act of 1934, as amended, the Company intends to file its Form 10-Q on or before December 13, 2022.</w:t>
      </w:r>
    </w:p>
    <w:p>
      <w:pPr>
        <w:sectPr>
          <w:pgSz w:w="11900" w:h="16838" w:orient="portrait"/>
          <w:cols w:equalWidth="0" w:num="1">
            <w:col w:w="11240"/>
          </w:cols>
          <w:pgMar w:left="320" w:top="1440" w:right="339" w:bottom="1440" w:gutter="0" w:footer="0" w:header="0"/>
        </w:sectPr>
      </w:pPr>
    </w:p>
    <w:bookmarkStart w:id="2" w:name="page3"/>
    <w:bookmarkEnd w:id="2"/>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This Form 12b-25 contains "forward-looking statements" within the meaning of the Private Securities Litigation Reform Act of 1995. These statements reflect our current views with respect to future events and financial performance. The words "may," "would," "could," "should," "will," "expect," "estimate," "anticipate," "believe," "intend," "plan" and similar expressions are intended to identify forward-looking statements within the meaning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Private Securities Litigation Reform Act of 1995. Any and all forecasts and projections in this document are “forward 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The Company’s business is subject to a number of risks which are described more fully in the Company’s Annual Report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Form 10-K for the fiscal year ended April 30, 2022 (including the information presented therein under Risk Factors) filed with the Securities and Exchange Commission, as well as other publicly available information about our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6" w:lineRule="exact"/>
        <w:rPr>
          <w:sz w:val="20"/>
          <w:szCs w:val="20"/>
          <w:color w:val="auto"/>
        </w:rPr>
      </w:pPr>
    </w:p>
    <w:p>
      <w:pPr>
        <w:ind w:left="460" w:hanging="43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Sheila M. Anderson</w:t>
            </w: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605</w:t>
            </w:r>
          </w:p>
        </w:tc>
        <w:tc>
          <w:tcPr>
            <w:tcW w:w="11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692-0200 EXT 56214</w:t>
            </w:r>
          </w:p>
        </w:tc>
      </w:tr>
      <w:tr>
        <w:trPr>
          <w:trHeight w:val="20"/>
        </w:trPr>
        <w:tc>
          <w:tcPr>
            <w:tcW w:w="17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250"/>
        </w:trPr>
        <w:tc>
          <w:tcPr>
            <w:tcW w:w="1760" w:type="dxa"/>
            <w:vAlign w:val="bottom"/>
          </w:tcPr>
          <w:p>
            <w:pPr>
              <w:ind w:left="580"/>
              <w:spacing w:after="0"/>
              <w:rPr>
                <w:sz w:val="20"/>
                <w:szCs w:val="20"/>
                <w:color w:val="auto"/>
              </w:rPr>
            </w:pPr>
            <w:r>
              <w:rPr>
                <w:rFonts w:ascii="Arial" w:cs="Arial" w:eastAsia="Arial" w:hAnsi="Arial"/>
                <w:sz w:val="18"/>
                <w:szCs w:val="18"/>
                <w:color w:val="auto"/>
              </w:rPr>
              <w:t>(Name)</w:t>
            </w:r>
          </w:p>
        </w:tc>
        <w:tc>
          <w:tcPr>
            <w:tcW w:w="3040" w:type="dxa"/>
            <w:vAlign w:val="bottom"/>
            <w:gridSpan w:val="3"/>
          </w:tcPr>
          <w:p>
            <w:pPr>
              <w:ind w:left="1080"/>
              <w:spacing w:after="0"/>
              <w:rPr>
                <w:sz w:val="20"/>
                <w:szCs w:val="20"/>
                <w:color w:val="auto"/>
              </w:rPr>
            </w:pPr>
            <w:r>
              <w:rPr>
                <w:rFonts w:ascii="Arial" w:cs="Arial" w:eastAsia="Arial" w:hAnsi="Arial"/>
                <w:sz w:val="18"/>
                <w:szCs w:val="18"/>
                <w:color w:val="auto"/>
              </w:rPr>
              <w:t>(Area Code)</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350" w:lineRule="exact"/>
        <w:rPr>
          <w:sz w:val="20"/>
          <w:szCs w:val="20"/>
          <w:color w:val="auto"/>
        </w:rPr>
      </w:pPr>
    </w:p>
    <w:p>
      <w:pPr>
        <w:ind w:left="620" w:right="180" w:hanging="594"/>
        <w:spacing w:after="0" w:line="229"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 w:lineRule="exact"/>
        <w:rPr>
          <w:rFonts w:ascii="Arial" w:cs="Arial" w:eastAsia="Arial" w:hAnsi="Arial"/>
          <w:sz w:val="18"/>
          <w:szCs w:val="18"/>
          <w:color w:val="auto"/>
        </w:rPr>
      </w:pPr>
    </w:p>
    <w:p>
      <w:pPr>
        <w:ind w:left="620"/>
        <w:spacing w:after="0" w:line="242"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257" w:lineRule="exact"/>
        <w:rPr>
          <w:rFonts w:ascii="Arial" w:cs="Arial" w:eastAsia="Arial" w:hAnsi="Arial"/>
          <w:sz w:val="18"/>
          <w:szCs w:val="18"/>
          <w:color w:val="auto"/>
        </w:rPr>
      </w:pPr>
    </w:p>
    <w:p>
      <w:pPr>
        <w:ind w:left="620" w:right="20" w:hanging="594"/>
        <w:spacing w:after="0" w:line="235"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620"/>
        <w:spacing w:after="0" w:line="242" w:lineRule="exact"/>
        <w:rPr>
          <w:rFonts w:ascii="Arial" w:cs="Arial" w:eastAsia="Arial" w:hAnsi="Arial"/>
          <w:sz w:val="18"/>
          <w:szCs w:val="18"/>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4" w:lineRule="exact"/>
        <w:rPr>
          <w:sz w:val="20"/>
          <w:szCs w:val="20"/>
          <w:color w:val="auto"/>
        </w:rPr>
      </w:pPr>
    </w:p>
    <w:p>
      <w:pPr>
        <w:ind w:left="340" w:right="20"/>
        <w:spacing w:after="0" w:line="235"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8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20"/>
        <w:spacing w:after="0"/>
        <w:rPr>
          <w:sz w:val="20"/>
          <w:szCs w:val="20"/>
          <w:color w:val="auto"/>
        </w:rPr>
      </w:pPr>
      <w:r>
        <w:rPr>
          <w:rFonts w:ascii="Arial" w:cs="Arial" w:eastAsia="Arial" w:hAnsi="Arial"/>
          <w:sz w:val="18"/>
          <w:szCs w:val="18"/>
          <w:u w:val="single" w:color="auto"/>
          <w:color w:val="auto"/>
        </w:rPr>
        <w:t>________Daktronics, Inc.______</w:t>
      </w:r>
    </w:p>
    <w:p>
      <w:pPr>
        <w:ind w:left="4020"/>
        <w:spacing w:after="0"/>
        <w:rPr>
          <w:sz w:val="20"/>
          <w:szCs w:val="20"/>
          <w:color w:val="auto"/>
        </w:rPr>
      </w:pPr>
      <w:r>
        <w:rPr>
          <w:rFonts w:ascii="Arial" w:cs="Arial" w:eastAsia="Arial" w:hAnsi="Arial"/>
          <w:sz w:val="18"/>
          <w:szCs w:val="18"/>
          <w:color w:val="auto"/>
        </w:rPr>
        <w:t>(Name of Registrant as Specified in Charter)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12"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 December 6, 2022</w:t>
      </w:r>
      <w:r>
        <w:rPr>
          <w:sz w:val="20"/>
          <w:szCs w:val="20"/>
          <w:color w:val="auto"/>
        </w:rPr>
        <w:tab/>
      </w:r>
      <w:r>
        <w:rPr>
          <w:rFonts w:ascii="Arial" w:cs="Arial" w:eastAsia="Arial" w:hAnsi="Arial"/>
          <w:sz w:val="17"/>
          <w:szCs w:val="17"/>
          <w:color w:val="auto"/>
        </w:rPr>
        <w:t>By: /s/ Sheila 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Sheila M. Anderson</w:t>
      </w:r>
    </w:p>
    <w:p>
      <w:pPr>
        <w:spacing w:after="0" w:line="36"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Chief Financial Officer</w:t>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 and Principal Accounting</w:t>
      </w:r>
    </w:p>
    <w:p>
      <w:pPr>
        <w:ind w:left="5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1440"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X"/>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2022-12-07T05:18:36Z</dcterms:created>
  <dcterms:modified xsi:type="dcterms:W3CDTF">2022-12-07T05:18:36Z</dcterms:modified>
</cp:coreProperties>
</file>