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8" w:lineRule="exact"/>
        <w:rPr>
          <w:sz w:val="24"/>
          <w:szCs w:val="24"/>
          <w:color w:val="auto"/>
        </w:rPr>
      </w:pPr>
    </w:p>
    <w:p>
      <w:pPr>
        <w:ind w:left="4220" w:right="3060" w:hanging="4202"/>
        <w:spacing w:after="0" w:line="281" w:lineRule="auto"/>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r>
        <w:rPr>
          <w:rFonts w:ascii="Arial" w:cs="Arial" w:eastAsia="Arial" w:hAnsi="Arial"/>
          <w:sz w:val="16"/>
          <w:szCs w:val="16"/>
          <w:color w:val="auto"/>
        </w:rPr>
        <w:t xml:space="preserve"> For the quarterly period ended August 3, 2019</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19" w:lineRule="exact"/>
        <w:rPr>
          <w:sz w:val="24"/>
          <w:szCs w:val="24"/>
          <w:color w:val="auto"/>
        </w:rPr>
      </w:pPr>
    </w:p>
    <w:p>
      <w:pPr>
        <w:jc w:val="center"/>
        <w:ind w:right="30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transition period from ___ to 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120650</wp:posOffset>
            </wp:positionV>
            <wp:extent cx="109791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10" w:type="dxa"/>
        <w:tblCellMar>
          <w:top w:w="0" w:type="dxa"/>
          <w:left w:w="0" w:type="dxa"/>
          <w:bottom w:w="0" w:type="dxa"/>
          <w:right w:w="0" w:type="dxa"/>
        </w:tblCellMar>
      </w:tblPr>
      <w:tr>
        <w:trPr>
          <w:trHeight w:val="193"/>
        </w:trPr>
        <w:tc>
          <w:tcPr>
            <w:tcW w:w="3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160" w:type="dxa"/>
            <w:vAlign w:val="bottom"/>
            <w:gridSpan w:val="3"/>
          </w:tcPr>
          <w:p>
            <w:pPr>
              <w:jc w:val="center"/>
              <w:ind w:left="59"/>
              <w:spacing w:after="0"/>
              <w:rPr>
                <w:sz w:val="20"/>
                <w:szCs w:val="20"/>
                <w:color w:val="auto"/>
              </w:rPr>
            </w:pPr>
            <w:r>
              <w:rPr>
                <w:rFonts w:ascii="Arial" w:cs="Arial" w:eastAsia="Arial" w:hAnsi="Arial"/>
                <w:sz w:val="16"/>
                <w:szCs w:val="16"/>
                <w:b w:val="1"/>
                <w:bCs w:val="1"/>
                <w:color w:val="auto"/>
                <w:w w:val="92"/>
              </w:rPr>
              <w:t>Daktronics, Inc.</w:t>
            </w:r>
          </w:p>
        </w:tc>
        <w:tc>
          <w:tcPr>
            <w:tcW w:w="43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6"/>
        </w:trPr>
        <w:tc>
          <w:tcPr>
            <w:tcW w:w="340" w:type="dxa"/>
            <w:vAlign w:val="bottom"/>
          </w:tcPr>
          <w:p>
            <w:pPr>
              <w:spacing w:after="0"/>
              <w:rPr>
                <w:sz w:val="17"/>
                <w:szCs w:val="17"/>
                <w:color w:val="auto"/>
              </w:rPr>
            </w:pPr>
          </w:p>
        </w:tc>
        <w:tc>
          <w:tcPr>
            <w:tcW w:w="10760" w:type="dxa"/>
            <w:vAlign w:val="bottom"/>
            <w:gridSpan w:val="5"/>
          </w:tcPr>
          <w:p>
            <w:pPr>
              <w:jc w:val="center"/>
              <w:spacing w:after="0"/>
              <w:rPr>
                <w:sz w:val="20"/>
                <w:szCs w:val="20"/>
                <w:color w:val="auto"/>
              </w:rPr>
            </w:pPr>
            <w:r>
              <w:rPr>
                <w:rFonts w:ascii="Arial" w:cs="Arial" w:eastAsia="Arial" w:hAnsi="Arial"/>
                <w:sz w:val="16"/>
                <w:szCs w:val="16"/>
                <w:color w:val="auto"/>
                <w:w w:val="92"/>
              </w:rPr>
              <w:t>(Exact Name of Registrant as Specified in its Charter)</w:t>
            </w:r>
          </w:p>
        </w:tc>
        <w:tc>
          <w:tcPr>
            <w:tcW w:w="240" w:type="dxa"/>
            <w:vAlign w:val="bottom"/>
          </w:tcPr>
          <w:p>
            <w:pPr>
              <w:spacing w:after="0"/>
              <w:rPr>
                <w:sz w:val="17"/>
                <w:szCs w:val="17"/>
                <w:color w:val="auto"/>
              </w:rPr>
            </w:pPr>
          </w:p>
        </w:tc>
      </w:tr>
      <w:tr>
        <w:trPr>
          <w:trHeight w:val="540"/>
        </w:trPr>
        <w:tc>
          <w:tcPr>
            <w:tcW w:w="340" w:type="dxa"/>
            <w:vAlign w:val="bottom"/>
          </w:tcPr>
          <w:p>
            <w:pPr>
              <w:spacing w:after="0"/>
              <w:rPr>
                <w:sz w:val="24"/>
                <w:szCs w:val="24"/>
                <w:color w:val="auto"/>
              </w:rPr>
            </w:pPr>
          </w:p>
        </w:tc>
        <w:tc>
          <w:tcPr>
            <w:tcW w:w="4220" w:type="dxa"/>
            <w:vAlign w:val="bottom"/>
          </w:tcPr>
          <w:p>
            <w:pPr>
              <w:jc w:val="center"/>
              <w:ind w:left="959"/>
              <w:spacing w:after="0"/>
              <w:rPr>
                <w:sz w:val="20"/>
                <w:szCs w:val="20"/>
                <w:color w:val="auto"/>
              </w:rPr>
            </w:pPr>
            <w:r>
              <w:rPr>
                <w:rFonts w:ascii="Arial" w:cs="Arial" w:eastAsia="Arial" w:hAnsi="Arial"/>
                <w:sz w:val="16"/>
                <w:szCs w:val="16"/>
                <w:b w:val="1"/>
                <w:bCs w:val="1"/>
                <w:color w:val="auto"/>
                <w:w w:val="91"/>
              </w:rPr>
              <w:t>South Dakota</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80" w:type="dxa"/>
            <w:vAlign w:val="bottom"/>
          </w:tcPr>
          <w:p>
            <w:pPr>
              <w:jc w:val="right"/>
              <w:ind w:right="2159"/>
              <w:spacing w:after="0"/>
              <w:rPr>
                <w:sz w:val="20"/>
                <w:szCs w:val="20"/>
                <w:color w:val="auto"/>
              </w:rPr>
            </w:pPr>
            <w:r>
              <w:rPr>
                <w:rFonts w:ascii="Arial" w:cs="Arial" w:eastAsia="Arial" w:hAnsi="Arial"/>
                <w:sz w:val="16"/>
                <w:szCs w:val="16"/>
                <w:b w:val="1"/>
                <w:bCs w:val="1"/>
                <w:color w:val="auto"/>
              </w:rPr>
              <w:t>46-0306862</w:t>
            </w:r>
          </w:p>
        </w:tc>
        <w:tc>
          <w:tcPr>
            <w:tcW w:w="240" w:type="dxa"/>
            <w:vAlign w:val="bottom"/>
          </w:tcPr>
          <w:p>
            <w:pPr>
              <w:spacing w:after="0"/>
              <w:rPr>
                <w:sz w:val="24"/>
                <w:szCs w:val="24"/>
                <w:color w:val="auto"/>
              </w:rPr>
            </w:pPr>
          </w:p>
        </w:tc>
      </w:tr>
      <w:tr>
        <w:trPr>
          <w:trHeight w:val="33"/>
        </w:trPr>
        <w:tc>
          <w:tcPr>
            <w:tcW w:w="34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13"/>
        </w:trPr>
        <w:tc>
          <w:tcPr>
            <w:tcW w:w="340" w:type="dxa"/>
            <w:vAlign w:val="bottom"/>
          </w:tcPr>
          <w:p>
            <w:pPr>
              <w:spacing w:after="0"/>
              <w:rPr>
                <w:sz w:val="18"/>
                <w:szCs w:val="18"/>
                <w:color w:val="auto"/>
              </w:rPr>
            </w:pPr>
          </w:p>
        </w:tc>
        <w:tc>
          <w:tcPr>
            <w:tcW w:w="4220" w:type="dxa"/>
            <w:vAlign w:val="bottom"/>
          </w:tcPr>
          <w:p>
            <w:pPr>
              <w:jc w:val="center"/>
              <w:ind w:left="959"/>
              <w:spacing w:after="0"/>
              <w:rPr>
                <w:sz w:val="20"/>
                <w:szCs w:val="20"/>
                <w:color w:val="auto"/>
              </w:rPr>
            </w:pPr>
            <w:r>
              <w:rPr>
                <w:rFonts w:ascii="Arial" w:cs="Arial" w:eastAsia="Arial" w:hAnsi="Arial"/>
                <w:sz w:val="16"/>
                <w:szCs w:val="16"/>
                <w:color w:val="auto"/>
                <w:w w:val="93"/>
              </w:rPr>
              <w:t>(State or Other Jurisdiction of</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80" w:type="dxa"/>
            <w:vAlign w:val="bottom"/>
          </w:tcPr>
          <w:p>
            <w:pPr>
              <w:jc w:val="center"/>
              <w:ind w:right="819"/>
              <w:spacing w:after="0"/>
              <w:rPr>
                <w:sz w:val="20"/>
                <w:szCs w:val="20"/>
                <w:color w:val="auto"/>
              </w:rPr>
            </w:pPr>
            <w:r>
              <w:rPr>
                <w:rFonts w:ascii="Arial" w:cs="Arial" w:eastAsia="Arial" w:hAnsi="Arial"/>
                <w:sz w:val="16"/>
                <w:szCs w:val="16"/>
                <w:color w:val="auto"/>
                <w:w w:val="95"/>
              </w:rPr>
              <w:t>(I.R.S. Employer Identification No.)</w:t>
            </w:r>
          </w:p>
        </w:tc>
        <w:tc>
          <w:tcPr>
            <w:tcW w:w="240" w:type="dxa"/>
            <w:vAlign w:val="bottom"/>
          </w:tcPr>
          <w:p>
            <w:pPr>
              <w:spacing w:after="0"/>
              <w:rPr>
                <w:sz w:val="18"/>
                <w:szCs w:val="18"/>
                <w:color w:val="auto"/>
              </w:rPr>
            </w:pPr>
          </w:p>
        </w:tc>
      </w:tr>
      <w:tr>
        <w:trPr>
          <w:trHeight w:val="206"/>
        </w:trPr>
        <w:tc>
          <w:tcPr>
            <w:tcW w:w="340" w:type="dxa"/>
            <w:vAlign w:val="bottom"/>
          </w:tcPr>
          <w:p>
            <w:pPr>
              <w:spacing w:after="0"/>
              <w:rPr>
                <w:sz w:val="17"/>
                <w:szCs w:val="17"/>
                <w:color w:val="auto"/>
              </w:rPr>
            </w:pPr>
          </w:p>
        </w:tc>
        <w:tc>
          <w:tcPr>
            <w:tcW w:w="4220" w:type="dxa"/>
            <w:vAlign w:val="bottom"/>
          </w:tcPr>
          <w:p>
            <w:pPr>
              <w:jc w:val="center"/>
              <w:ind w:left="979"/>
              <w:spacing w:after="0"/>
              <w:rPr>
                <w:sz w:val="20"/>
                <w:szCs w:val="20"/>
                <w:color w:val="auto"/>
              </w:rPr>
            </w:pPr>
            <w:r>
              <w:rPr>
                <w:rFonts w:ascii="Arial" w:cs="Arial" w:eastAsia="Arial" w:hAnsi="Arial"/>
                <w:sz w:val="16"/>
                <w:szCs w:val="16"/>
                <w:color w:val="auto"/>
                <w:w w:val="94"/>
              </w:rPr>
              <w:t>Incorporation or Organization)</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505"/>
        </w:trPr>
        <w:tc>
          <w:tcPr>
            <w:tcW w:w="340" w:type="dxa"/>
            <w:vAlign w:val="bottom"/>
          </w:tcPr>
          <w:p>
            <w:pPr>
              <w:spacing w:after="0"/>
              <w:rPr>
                <w:sz w:val="24"/>
                <w:szCs w:val="24"/>
                <w:color w:val="auto"/>
              </w:rPr>
            </w:pPr>
          </w:p>
        </w:tc>
        <w:tc>
          <w:tcPr>
            <w:tcW w:w="4220" w:type="dxa"/>
            <w:vAlign w:val="bottom"/>
          </w:tcPr>
          <w:p>
            <w:pPr>
              <w:jc w:val="center"/>
              <w:ind w:left="959"/>
              <w:spacing w:after="0"/>
              <w:rPr>
                <w:sz w:val="20"/>
                <w:szCs w:val="20"/>
                <w:color w:val="auto"/>
              </w:rPr>
            </w:pPr>
            <w:r>
              <w:rPr>
                <w:rFonts w:ascii="Arial" w:cs="Arial" w:eastAsia="Arial" w:hAnsi="Arial"/>
                <w:sz w:val="16"/>
                <w:szCs w:val="16"/>
                <w:b w:val="1"/>
                <w:bCs w:val="1"/>
                <w:color w:val="auto"/>
                <w:w w:val="92"/>
              </w:rPr>
              <w:t>201 Daktronics Drive</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4220" w:type="dxa"/>
            <w:vAlign w:val="bottom"/>
          </w:tcPr>
          <w:p>
            <w:pPr>
              <w:jc w:val="center"/>
              <w:ind w:left="979"/>
              <w:spacing w:after="0"/>
              <w:rPr>
                <w:sz w:val="20"/>
                <w:szCs w:val="20"/>
                <w:color w:val="auto"/>
              </w:rPr>
            </w:pPr>
            <w:r>
              <w:rPr>
                <w:rFonts w:ascii="Arial" w:cs="Arial" w:eastAsia="Arial" w:hAnsi="Arial"/>
                <w:sz w:val="16"/>
                <w:szCs w:val="16"/>
                <w:b w:val="1"/>
                <w:bCs w:val="1"/>
                <w:color w:val="auto"/>
                <w:w w:val="90"/>
              </w:rPr>
              <w:t>Brookings, SD</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80" w:type="dxa"/>
            <w:vAlign w:val="bottom"/>
          </w:tcPr>
          <w:p>
            <w:pPr>
              <w:jc w:val="right"/>
              <w:ind w:right="2359"/>
              <w:spacing w:after="0"/>
              <w:rPr>
                <w:sz w:val="20"/>
                <w:szCs w:val="20"/>
                <w:color w:val="auto"/>
              </w:rPr>
            </w:pPr>
            <w:r>
              <w:rPr>
                <w:rFonts w:ascii="Arial" w:cs="Arial" w:eastAsia="Arial" w:hAnsi="Arial"/>
                <w:sz w:val="16"/>
                <w:szCs w:val="16"/>
                <w:b w:val="1"/>
                <w:bCs w:val="1"/>
                <w:color w:val="auto"/>
              </w:rPr>
              <w:t>57006</w:t>
            </w:r>
          </w:p>
        </w:tc>
        <w:tc>
          <w:tcPr>
            <w:tcW w:w="240" w:type="dxa"/>
            <w:vAlign w:val="bottom"/>
          </w:tcPr>
          <w:p>
            <w:pPr>
              <w:spacing w:after="0"/>
              <w:rPr>
                <w:sz w:val="18"/>
                <w:szCs w:val="18"/>
                <w:color w:val="auto"/>
              </w:rPr>
            </w:pPr>
          </w:p>
        </w:tc>
      </w:tr>
      <w:tr>
        <w:trPr>
          <w:trHeight w:val="33"/>
        </w:trPr>
        <w:tc>
          <w:tcPr>
            <w:tcW w:w="34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4220" w:type="dxa"/>
            <w:vAlign w:val="bottom"/>
          </w:tcPr>
          <w:p>
            <w:pPr>
              <w:jc w:val="center"/>
              <w:ind w:left="979"/>
              <w:spacing w:after="0"/>
              <w:rPr>
                <w:sz w:val="20"/>
                <w:szCs w:val="20"/>
                <w:color w:val="auto"/>
              </w:rPr>
            </w:pPr>
            <w:r>
              <w:rPr>
                <w:rFonts w:ascii="Arial" w:cs="Arial" w:eastAsia="Arial" w:hAnsi="Arial"/>
                <w:sz w:val="16"/>
                <w:szCs w:val="16"/>
                <w:color w:val="auto"/>
                <w:w w:val="93"/>
              </w:rPr>
              <w:t>(Address of Principal Executive Offices)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80" w:type="dxa"/>
            <w:vAlign w:val="bottom"/>
          </w:tcPr>
          <w:p>
            <w:pPr>
              <w:jc w:val="center"/>
              <w:ind w:right="819"/>
              <w:spacing w:after="0"/>
              <w:rPr>
                <w:sz w:val="20"/>
                <w:szCs w:val="20"/>
                <w:color w:val="auto"/>
              </w:rPr>
            </w:pPr>
            <w:r>
              <w:rPr>
                <w:rFonts w:ascii="Arial" w:cs="Arial" w:eastAsia="Arial" w:hAnsi="Arial"/>
                <w:sz w:val="16"/>
                <w:szCs w:val="16"/>
                <w:color w:val="auto"/>
                <w:w w:val="95"/>
              </w:rPr>
              <w:t>(Zip Code)</w:t>
            </w:r>
          </w:p>
        </w:tc>
        <w:tc>
          <w:tcPr>
            <w:tcW w:w="240" w:type="dxa"/>
            <w:vAlign w:val="bottom"/>
          </w:tcPr>
          <w:p>
            <w:pPr>
              <w:spacing w:after="0"/>
              <w:rPr>
                <w:sz w:val="18"/>
                <w:szCs w:val="18"/>
                <w:color w:val="auto"/>
              </w:rPr>
            </w:pPr>
          </w:p>
        </w:tc>
      </w:tr>
      <w:tr>
        <w:trPr>
          <w:trHeight w:val="428"/>
        </w:trPr>
        <w:tc>
          <w:tcPr>
            <w:tcW w:w="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160" w:type="dxa"/>
            <w:vAlign w:val="bottom"/>
            <w:gridSpan w:val="3"/>
          </w:tcPr>
          <w:p>
            <w:pPr>
              <w:jc w:val="center"/>
              <w:ind w:left="59"/>
              <w:spacing w:after="0"/>
              <w:rPr>
                <w:sz w:val="20"/>
                <w:szCs w:val="20"/>
                <w:color w:val="auto"/>
              </w:rPr>
            </w:pPr>
            <w:r>
              <w:rPr>
                <w:rFonts w:ascii="Arial" w:cs="Arial" w:eastAsia="Arial" w:hAnsi="Arial"/>
                <w:sz w:val="16"/>
                <w:szCs w:val="16"/>
                <w:b w:val="1"/>
                <w:bCs w:val="1"/>
                <w:color w:val="auto"/>
                <w:w w:val="93"/>
              </w:rPr>
              <w:t>(605) 692-0200</w:t>
            </w: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6"/>
        </w:trPr>
        <w:tc>
          <w:tcPr>
            <w:tcW w:w="340" w:type="dxa"/>
            <w:vAlign w:val="bottom"/>
          </w:tcPr>
          <w:p>
            <w:pPr>
              <w:spacing w:after="0"/>
              <w:rPr>
                <w:sz w:val="17"/>
                <w:szCs w:val="17"/>
                <w:color w:val="auto"/>
              </w:rPr>
            </w:pPr>
          </w:p>
        </w:tc>
        <w:tc>
          <w:tcPr>
            <w:tcW w:w="10760" w:type="dxa"/>
            <w:vAlign w:val="bottom"/>
            <w:gridSpan w:val="5"/>
          </w:tcPr>
          <w:p>
            <w:pPr>
              <w:jc w:val="center"/>
              <w:spacing w:after="0"/>
              <w:rPr>
                <w:sz w:val="20"/>
                <w:szCs w:val="20"/>
                <w:color w:val="auto"/>
              </w:rPr>
            </w:pPr>
            <w:r>
              <w:rPr>
                <w:rFonts w:ascii="Arial" w:cs="Arial" w:eastAsia="Arial" w:hAnsi="Arial"/>
                <w:sz w:val="16"/>
                <w:szCs w:val="16"/>
                <w:color w:val="auto"/>
                <w:w w:val="92"/>
              </w:rPr>
              <w:t>(Registrant’s Telephone Number, Including Area Code)</w:t>
            </w:r>
          </w:p>
        </w:tc>
        <w:tc>
          <w:tcPr>
            <w:tcW w:w="240" w:type="dxa"/>
            <w:vAlign w:val="bottom"/>
          </w:tcPr>
          <w:p>
            <w:pPr>
              <w:spacing w:after="0"/>
              <w:rPr>
                <w:sz w:val="17"/>
                <w:szCs w:val="17"/>
                <w:color w:val="auto"/>
              </w:rPr>
            </w:pPr>
          </w:p>
        </w:tc>
      </w:tr>
      <w:tr>
        <w:trPr>
          <w:trHeight w:val="378"/>
        </w:trPr>
        <w:tc>
          <w:tcPr>
            <w:tcW w:w="340" w:type="dxa"/>
            <w:vAlign w:val="bottom"/>
          </w:tcPr>
          <w:p>
            <w:pPr>
              <w:spacing w:after="0"/>
              <w:rPr>
                <w:sz w:val="24"/>
                <w:szCs w:val="24"/>
                <w:color w:val="auto"/>
              </w:rPr>
            </w:pPr>
          </w:p>
        </w:tc>
        <w:tc>
          <w:tcPr>
            <w:tcW w:w="1076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240" w:type="dxa"/>
            <w:vAlign w:val="bottom"/>
          </w:tcPr>
          <w:p>
            <w:pPr>
              <w:spacing w:after="0"/>
              <w:rPr>
                <w:sz w:val="24"/>
                <w:szCs w:val="24"/>
                <w:color w:val="auto"/>
              </w:rPr>
            </w:pPr>
          </w:p>
        </w:tc>
      </w:tr>
      <w:tr>
        <w:trPr>
          <w:trHeight w:val="128"/>
        </w:trPr>
        <w:tc>
          <w:tcPr>
            <w:tcW w:w="340" w:type="dxa"/>
            <w:vAlign w:val="bottom"/>
            <w:tcBorders>
              <w:bottom w:val="single" w:sz="8" w:color="auto"/>
            </w:tcBorders>
          </w:tcPr>
          <w:p>
            <w:pPr>
              <w:spacing w:after="0"/>
              <w:rPr>
                <w:sz w:val="11"/>
                <w:szCs w:val="11"/>
                <w:color w:val="auto"/>
              </w:rPr>
            </w:pPr>
          </w:p>
        </w:tc>
        <w:tc>
          <w:tcPr>
            <w:tcW w:w="422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3"/>
          </w:tcPr>
          <w:p>
            <w:pPr>
              <w:spacing w:after="0"/>
              <w:rPr>
                <w:sz w:val="11"/>
                <w:szCs w:val="11"/>
                <w:color w:val="auto"/>
              </w:rPr>
            </w:pPr>
          </w:p>
        </w:tc>
        <w:tc>
          <w:tcPr>
            <w:tcW w:w="43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4220" w:type="dxa"/>
            <w:vAlign w:val="bottom"/>
            <w:tcBorders>
              <w:right w:val="single" w:sz="8" w:color="auto"/>
            </w:tcBorders>
          </w:tcPr>
          <w:p>
            <w:pPr>
              <w:ind w:left="1340"/>
              <w:spacing w:after="0"/>
              <w:rPr>
                <w:sz w:val="20"/>
                <w:szCs w:val="20"/>
                <w:color w:val="auto"/>
              </w:rPr>
            </w:pPr>
            <w:r>
              <w:rPr>
                <w:rFonts w:ascii="Arial" w:cs="Arial" w:eastAsia="Arial" w:hAnsi="Arial"/>
                <w:sz w:val="16"/>
                <w:szCs w:val="16"/>
                <w:b w:val="1"/>
                <w:bCs w:val="1"/>
                <w:color w:val="auto"/>
              </w:rPr>
              <w:t>Title of each class</w:t>
            </w:r>
          </w:p>
        </w:tc>
        <w:tc>
          <w:tcPr>
            <w:tcW w:w="2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2"/>
              </w:rPr>
              <w:t>Trading Symbol(s)</w:t>
            </w:r>
          </w:p>
        </w:tc>
        <w:tc>
          <w:tcPr>
            <w:tcW w:w="4380" w:type="dxa"/>
            <w:vAlign w:val="bottom"/>
          </w:tcPr>
          <w:p>
            <w:pPr>
              <w:jc w:val="center"/>
              <w:ind w:left="139"/>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240" w:type="dxa"/>
            <w:vAlign w:val="bottom"/>
            <w:tcBorders>
              <w:right w:val="single" w:sz="8" w:color="auto"/>
            </w:tcBorders>
          </w:tcPr>
          <w:p>
            <w:pPr>
              <w:spacing w:after="0"/>
              <w:rPr>
                <w:sz w:val="18"/>
                <w:szCs w:val="18"/>
                <w:color w:val="auto"/>
              </w:rPr>
            </w:pPr>
          </w:p>
        </w:tc>
      </w:tr>
      <w:tr>
        <w:trPr>
          <w:trHeight w:val="33"/>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2160" w:type="dxa"/>
            <w:vAlign w:val="bottom"/>
            <w:tcBorders>
              <w:bottom w:val="single" w:sz="8" w:color="auto"/>
              <w:right w:val="single" w:sz="8" w:color="auto"/>
            </w:tcBorders>
            <w:gridSpan w:val="3"/>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17"/>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Common Stock, No Par Value</w:t>
            </w:r>
          </w:p>
        </w:tc>
        <w:tc>
          <w:tcPr>
            <w:tcW w:w="2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rPr>
              <w:t>DAKT</w:t>
            </w:r>
          </w:p>
        </w:tc>
        <w:tc>
          <w:tcPr>
            <w:tcW w:w="4380" w:type="dxa"/>
            <w:vAlign w:val="bottom"/>
          </w:tcPr>
          <w:p>
            <w:pPr>
              <w:jc w:val="center"/>
              <w:ind w:left="119"/>
              <w:spacing w:after="0"/>
              <w:rPr>
                <w:sz w:val="20"/>
                <w:szCs w:val="20"/>
                <w:color w:val="auto"/>
              </w:rPr>
            </w:pPr>
            <w:r>
              <w:rPr>
                <w:rFonts w:ascii="Arial" w:cs="Arial" w:eastAsia="Arial" w:hAnsi="Arial"/>
                <w:sz w:val="16"/>
                <w:szCs w:val="16"/>
                <w:color w:val="auto"/>
                <w:w w:val="95"/>
              </w:rPr>
              <w:t>NASDAQ Global Select Market</w:t>
            </w:r>
          </w:p>
        </w:tc>
        <w:tc>
          <w:tcPr>
            <w:tcW w:w="240" w:type="dxa"/>
            <w:vAlign w:val="bottom"/>
            <w:tcBorders>
              <w:right w:val="single" w:sz="8" w:color="auto"/>
            </w:tcBorders>
          </w:tcPr>
          <w:p>
            <w:pPr>
              <w:spacing w:after="0"/>
              <w:rPr>
                <w:sz w:val="18"/>
                <w:szCs w:val="18"/>
                <w:color w:val="auto"/>
              </w:rPr>
            </w:pPr>
          </w:p>
        </w:tc>
      </w:tr>
      <w:tr>
        <w:trPr>
          <w:trHeight w:val="33"/>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2160" w:type="dxa"/>
            <w:vAlign w:val="bottom"/>
            <w:tcBorders>
              <w:bottom w:val="single" w:sz="8" w:color="auto"/>
              <w:right w:val="single" w:sz="8" w:color="auto"/>
            </w:tcBorders>
            <w:gridSpan w:val="3"/>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17"/>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Preferred Stock Purchase Rights</w:t>
            </w:r>
          </w:p>
        </w:tc>
        <w:tc>
          <w:tcPr>
            <w:tcW w:w="2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rPr>
              <w:t>DAKT</w:t>
            </w:r>
          </w:p>
        </w:tc>
        <w:tc>
          <w:tcPr>
            <w:tcW w:w="4380" w:type="dxa"/>
            <w:vAlign w:val="bottom"/>
          </w:tcPr>
          <w:p>
            <w:pPr>
              <w:jc w:val="center"/>
              <w:ind w:left="119"/>
              <w:spacing w:after="0"/>
              <w:rPr>
                <w:sz w:val="20"/>
                <w:szCs w:val="20"/>
                <w:color w:val="auto"/>
              </w:rPr>
            </w:pPr>
            <w:r>
              <w:rPr>
                <w:rFonts w:ascii="Arial" w:cs="Arial" w:eastAsia="Arial" w:hAnsi="Arial"/>
                <w:sz w:val="16"/>
                <w:szCs w:val="16"/>
                <w:color w:val="auto"/>
                <w:w w:val="95"/>
              </w:rPr>
              <w:t>NASDAQ Global Select Market</w:t>
            </w:r>
          </w:p>
        </w:tc>
        <w:tc>
          <w:tcPr>
            <w:tcW w:w="240" w:type="dxa"/>
            <w:vAlign w:val="bottom"/>
            <w:tcBorders>
              <w:right w:val="single" w:sz="8" w:color="auto"/>
            </w:tcBorders>
          </w:tcPr>
          <w:p>
            <w:pPr>
              <w:spacing w:after="0"/>
              <w:rPr>
                <w:sz w:val="18"/>
                <w:szCs w:val="18"/>
                <w:color w:val="auto"/>
              </w:rPr>
            </w:pPr>
          </w:p>
        </w:tc>
      </w:tr>
      <w:tr>
        <w:trPr>
          <w:trHeight w:val="33"/>
        </w:trPr>
        <w:tc>
          <w:tcPr>
            <w:tcW w:w="340" w:type="dxa"/>
            <w:vAlign w:val="bottom"/>
            <w:tcBorders>
              <w:left w:val="single" w:sz="8" w:color="auto"/>
              <w:bottom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bl>
    <w:p>
      <w:pPr>
        <w:spacing w:after="0" w:line="206" w:lineRule="exact"/>
        <w:rPr>
          <w:sz w:val="24"/>
          <w:szCs w:val="24"/>
          <w:color w:val="auto"/>
        </w:rPr>
      </w:pPr>
    </w:p>
    <w:p>
      <w:pPr>
        <w:jc w:val="both"/>
        <w:ind w:right="20"/>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155"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8" w:right="239" w:bottom="1440"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4340"/>
        <w:spacing w:after="0"/>
        <w:rPr>
          <w:sz w:val="20"/>
          <w:szCs w:val="20"/>
          <w:color w:val="auto"/>
        </w:rPr>
      </w:pPr>
      <w:r>
        <w:rPr>
          <w:rFonts w:ascii="Arial" w:cs="Arial" w:eastAsia="Arial" w:hAnsi="Arial"/>
          <w:sz w:val="15"/>
          <w:szCs w:val="15"/>
          <w:color w:val="auto"/>
        </w:rPr>
        <w:t>Accelerated filer x</w:t>
      </w:r>
    </w:p>
    <w:p>
      <w:pPr>
        <w:spacing w:after="0" w:line="84" w:lineRule="exact"/>
        <w:rPr>
          <w:sz w:val="24"/>
          <w:szCs w:val="24"/>
          <w:color w:val="auto"/>
        </w:rPr>
      </w:pPr>
    </w:p>
    <w:p>
      <w:pPr>
        <w:sectPr>
          <w:pgSz w:w="11900" w:h="16838" w:orient="portrait"/>
          <w:cols w:equalWidth="0" w:num="2">
            <w:col w:w="5160" w:space="720"/>
            <w:col w:w="5540"/>
          </w:cols>
          <w:pgMar w:left="240" w:top="468"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sectPr>
          <w:pgSz w:w="11900" w:h="16838" w:orient="portrait"/>
          <w:cols w:equalWidth="0" w:num="2">
            <w:col w:w="5160" w:space="720"/>
            <w:col w:w="5540"/>
          </w:cols>
          <w:pgMar w:left="240" w:top="468" w:right="239" w:bottom="1440" w:gutter="0" w:footer="0" w:header="0"/>
          <w:type w:val="continuous"/>
        </w:sectPr>
      </w:pPr>
    </w:p>
    <w:p>
      <w:pPr>
        <w:ind w:left="588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468" w:right="239" w:bottom="1440" w:gutter="0" w:footer="0" w:header="0"/>
          <w:type w:val="continuous"/>
        </w:sectPr>
      </w:pPr>
    </w:p>
    <w:p>
      <w:pPr>
        <w:spacing w:after="0" w:line="25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August 26, 2019 was 44,951,204.</w:t>
      </w:r>
    </w:p>
    <w:p>
      <w:pPr>
        <w:sectPr>
          <w:pgSz w:w="11900" w:h="16838" w:orient="portrait"/>
          <w:cols w:equalWidth="0" w:num="1">
            <w:col w:w="11420"/>
          </w:cols>
          <w:pgMar w:left="240" w:top="468"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 the Quarter Ended August 3, 2019</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gridSpan w:val="4"/>
          </w:tcPr>
          <w:p>
            <w:pPr>
              <w:ind w:left="88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3">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8"/>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Financial Information</w:t>
              </w:r>
            </w:hyperlink>
          </w:p>
        </w:tc>
        <w:tc>
          <w:tcPr>
            <w:tcW w:w="6960" w:type="dxa"/>
            <w:vAlign w:val="bottom"/>
            <w:gridSpan w:val="15"/>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6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080" w:type="dxa"/>
            <w:vAlign w:val="bottom"/>
            <w:gridSpan w:val="3"/>
          </w:tcPr>
          <w:p>
            <w:pPr>
              <w:ind w:left="90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as of August 3, 2019 and April 27, 2019</w:t>
              </w:r>
            </w:hyperlink>
          </w:p>
        </w:tc>
        <w:tc>
          <w:tcPr>
            <w:tcW w:w="2220" w:type="dxa"/>
            <w:vAlign w:val="bottom"/>
            <w:gridSpan w:val="5"/>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Months Ended August 3, 2019 and</w:t>
              </w:r>
            </w:hyperlink>
          </w:p>
        </w:tc>
        <w:tc>
          <w:tcPr>
            <w:tcW w:w="90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8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July 28, 2018</w:t>
              </w:r>
            </w:hyperlink>
          </w:p>
        </w:tc>
        <w:tc>
          <w:tcPr>
            <w:tcW w:w="1080" w:type="dxa"/>
            <w:vAlign w:val="bottom"/>
            <w:gridSpan w:val="3"/>
          </w:tcPr>
          <w:p>
            <w:pPr>
              <w:ind w:left="90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8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 for the Three Months Ended August</w:t>
              </w:r>
            </w:hyperlink>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3, 2019 and July 28, 2018</w:t>
              </w:r>
            </w:hyperlink>
          </w:p>
        </w:tc>
        <w:tc>
          <w:tcPr>
            <w:tcW w:w="5360" w:type="dxa"/>
            <w:vAlign w:val="bottom"/>
            <w:tcBorders>
              <w:top w:val="single" w:sz="8" w:color="0000EE"/>
            </w:tcBorders>
            <w:gridSpan w:val="8"/>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8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Shareholders' Equity for the Three Months Ended August 3,</w:t>
              </w:r>
            </w:hyperlink>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2019 and July 28, 2018</w:t>
              </w:r>
            </w:hyperlink>
          </w:p>
        </w:tc>
        <w:tc>
          <w:tcPr>
            <w:tcW w:w="5500" w:type="dxa"/>
            <w:vAlign w:val="bottom"/>
            <w:tcBorders>
              <w:top w:val="single" w:sz="8" w:color="0000EE"/>
            </w:tcBorders>
            <w:gridSpan w:val="9"/>
          </w:tcPr>
          <w:p>
            <w:pPr>
              <w:spacing w:after="0"/>
              <w:rPr>
                <w:sz w:val="17"/>
                <w:szCs w:val="17"/>
                <w:color w:val="auto"/>
              </w:rPr>
            </w:pPr>
          </w:p>
        </w:tc>
        <w:tc>
          <w:tcPr>
            <w:tcW w:w="9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8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for the Three Months Ended August 3, 2019</w:t>
              </w:r>
            </w:hyperlink>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and July 28, 2018</w:t>
              </w:r>
            </w:hyperlink>
          </w:p>
        </w:tc>
        <w:tc>
          <w:tcPr>
            <w:tcW w:w="5660" w:type="dxa"/>
            <w:vAlign w:val="bottom"/>
            <w:tcBorders>
              <w:top w:val="single" w:sz="8" w:color="0000EE"/>
            </w:tcBorders>
            <w:gridSpan w:val="9"/>
          </w:tcPr>
          <w:p>
            <w:pPr>
              <w:spacing w:after="0"/>
              <w:rPr>
                <w:sz w:val="17"/>
                <w:szCs w:val="17"/>
                <w:color w:val="auto"/>
              </w:rPr>
            </w:pPr>
          </w:p>
        </w:tc>
        <w:tc>
          <w:tcPr>
            <w:tcW w:w="11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7</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the Condensed Consolidated Financial Statements</w:t>
              </w:r>
            </w:hyperlink>
          </w:p>
        </w:tc>
        <w:tc>
          <w:tcPr>
            <w:tcW w:w="3840" w:type="dxa"/>
            <w:vAlign w:val="bottom"/>
            <w:gridSpan w:val="6"/>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8</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2.</w:t>
              </w:r>
            </w:hyperlink>
          </w:p>
        </w:tc>
        <w:tc>
          <w:tcPr>
            <w:tcW w:w="8660" w:type="dxa"/>
            <w:vAlign w:val="bottom"/>
            <w:gridSpan w:val="2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1240" w:type="dxa"/>
            <w:vAlign w:val="bottom"/>
            <w:gridSpan w:val="4"/>
          </w:tcPr>
          <w:p>
            <w:pPr>
              <w:ind w:left="900"/>
              <w:spacing w:after="0"/>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tcBorders>
              <w:bottom w:val="single" w:sz="8" w:color="0000FF"/>
            </w:tcBorders>
            <w:gridSpan w:val="2"/>
          </w:tcPr>
          <w:p>
            <w:pPr>
              <w:spacing w:after="0"/>
              <w:rPr>
                <w:rFonts w:ascii="Arial" w:cs="Arial" w:eastAsia="Arial" w:hAnsi="Arial"/>
                <w:sz w:val="18"/>
                <w:szCs w:val="18"/>
                <w:color w:val="0000FF"/>
                <w:w w:val="98"/>
              </w:rPr>
            </w:pPr>
            <w:hyperlink w:anchor="page30">
              <w:r>
                <w:rPr>
                  <w:rFonts w:ascii="Arial" w:cs="Arial" w:eastAsia="Arial" w:hAnsi="Arial"/>
                  <w:sz w:val="18"/>
                  <w:szCs w:val="18"/>
                  <w:color w:val="0000FF"/>
                  <w:w w:val="98"/>
                </w:rPr>
                <w:t>Item 3.</w:t>
              </w:r>
            </w:hyperlink>
          </w:p>
        </w:tc>
        <w:tc>
          <w:tcPr>
            <w:tcW w:w="260" w:type="dxa"/>
            <w:vAlign w:val="bottom"/>
            <w:gridSpan w:val="2"/>
          </w:tcPr>
          <w:p>
            <w:pPr>
              <w:spacing w:after="0"/>
              <w:rPr>
                <w:sz w:val="21"/>
                <w:szCs w:val="21"/>
                <w:color w:val="auto"/>
              </w:rPr>
            </w:pPr>
          </w:p>
        </w:tc>
        <w:tc>
          <w:tcPr>
            <w:tcW w:w="4360" w:type="dxa"/>
            <w:vAlign w:val="bottom"/>
            <w:tcBorders>
              <w:bottom w:val="single" w:sz="8" w:color="0000FF"/>
            </w:tcBorders>
            <w:gridSpan w:val="16"/>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Quantitative and Qualitative Disclosures About Market Risk</w:t>
              </w:r>
            </w:hyperlink>
          </w:p>
        </w:tc>
        <w:tc>
          <w:tcPr>
            <w:tcW w:w="4300" w:type="dxa"/>
            <w:vAlign w:val="bottom"/>
            <w:gridSpan w:val="7"/>
          </w:tcPr>
          <w:p>
            <w:pPr>
              <w:spacing w:after="0"/>
              <w:rPr>
                <w:sz w:val="21"/>
                <w:szCs w:val="21"/>
                <w:color w:val="auto"/>
              </w:rPr>
            </w:pPr>
          </w:p>
        </w:tc>
        <w:tc>
          <w:tcPr>
            <w:tcW w:w="1240" w:type="dxa"/>
            <w:vAlign w:val="bottom"/>
            <w:gridSpan w:val="4"/>
          </w:tcPr>
          <w:p>
            <w:pPr>
              <w:ind w:left="90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4.</w:t>
              </w:r>
            </w:hyperlink>
          </w:p>
        </w:tc>
        <w:tc>
          <w:tcPr>
            <w:tcW w:w="8660" w:type="dxa"/>
            <w:vAlign w:val="bottom"/>
            <w:gridSpan w:val="2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1240" w:type="dxa"/>
            <w:vAlign w:val="bottom"/>
            <w:gridSpan w:val="4"/>
          </w:tcPr>
          <w:p>
            <w:pPr>
              <w:ind w:left="90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w:t>
              </w:r>
            </w:hyperlink>
          </w:p>
        </w:tc>
        <w:tc>
          <w:tcPr>
            <w:tcW w:w="8660" w:type="dxa"/>
            <w:vAlign w:val="bottom"/>
            <w:gridSpan w:val="23"/>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Other Information</w:t>
              </w:r>
            </w:hyperlink>
          </w:p>
        </w:tc>
        <w:tc>
          <w:tcPr>
            <w:tcW w:w="1240" w:type="dxa"/>
            <w:vAlign w:val="bottom"/>
            <w:gridSpan w:val="4"/>
          </w:tcPr>
          <w:p>
            <w:pPr>
              <w:ind w:left="90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tcBorders>
              <w:bottom w:val="single" w:sz="8" w:color="0000FF"/>
            </w:tcBorders>
            <w:gridSpan w:val="2"/>
          </w:tcPr>
          <w:p>
            <w:pPr>
              <w:spacing w:after="0"/>
              <w:rPr>
                <w:rFonts w:ascii="Arial" w:cs="Arial" w:eastAsia="Arial" w:hAnsi="Arial"/>
                <w:sz w:val="18"/>
                <w:szCs w:val="18"/>
                <w:color w:val="0000FF"/>
                <w:w w:val="98"/>
              </w:rPr>
            </w:pPr>
            <w:hyperlink w:anchor="page30">
              <w:r>
                <w:rPr>
                  <w:rFonts w:ascii="Arial" w:cs="Arial" w:eastAsia="Arial" w:hAnsi="Arial"/>
                  <w:sz w:val="18"/>
                  <w:szCs w:val="18"/>
                  <w:color w:val="0000FF"/>
                  <w:w w:val="98"/>
                </w:rPr>
                <w:t>Item 1.</w:t>
              </w:r>
            </w:hyperlink>
          </w:p>
        </w:tc>
        <w:tc>
          <w:tcPr>
            <w:tcW w:w="80" w:type="dxa"/>
            <w:vAlign w:val="bottom"/>
            <w:tcBorders>
              <w:bottom w:val="single" w:sz="8" w:color="0000FF"/>
            </w:tcBorders>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Borders>
              <w:bottom w:val="single" w:sz="8" w:color="0000FF"/>
            </w:tcBorders>
            <w:gridSpan w:val="5"/>
          </w:tcPr>
          <w:p>
            <w:pPr>
              <w:spacing w:after="0"/>
              <w:rPr>
                <w:rFonts w:ascii="Arial" w:cs="Arial" w:eastAsia="Arial" w:hAnsi="Arial"/>
                <w:sz w:val="18"/>
                <w:szCs w:val="18"/>
                <w:color w:val="0000FF"/>
                <w:w w:val="87"/>
              </w:rPr>
            </w:pPr>
            <w:hyperlink w:anchor="page30">
              <w:r>
                <w:rPr>
                  <w:rFonts w:ascii="Arial" w:cs="Arial" w:eastAsia="Arial" w:hAnsi="Arial"/>
                  <w:sz w:val="18"/>
                  <w:szCs w:val="18"/>
                  <w:color w:val="0000FF"/>
                  <w:w w:val="87"/>
                </w:rPr>
                <w:t>Legal Proceedings</w:t>
              </w:r>
            </w:hyperlink>
          </w:p>
        </w:tc>
        <w:tc>
          <w:tcPr>
            <w:tcW w:w="120" w:type="dxa"/>
            <w:vAlign w:val="bottom"/>
          </w:tcPr>
          <w:p>
            <w:pPr>
              <w:spacing w:after="0"/>
              <w:rPr>
                <w:sz w:val="21"/>
                <w:szCs w:val="21"/>
                <w:color w:val="auto"/>
              </w:rPr>
            </w:pPr>
          </w:p>
        </w:tc>
        <w:tc>
          <w:tcPr>
            <w:tcW w:w="7220" w:type="dxa"/>
            <w:vAlign w:val="bottom"/>
            <w:gridSpan w:val="17"/>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87"/>
              </w:rPr>
            </w:pPr>
            <w:hyperlink w:anchor="page30">
              <w:r>
                <w:rPr>
                  <w:rFonts w:ascii="Arial" w:cs="Arial" w:eastAsia="Arial" w:hAnsi="Arial"/>
                  <w:sz w:val="18"/>
                  <w:szCs w:val="18"/>
                  <w:color w:val="0000FF"/>
                  <w:w w:val="87"/>
                </w:rPr>
                <w:t>Risk Factors</w:t>
              </w:r>
            </w:hyperlink>
          </w:p>
        </w:tc>
        <w:tc>
          <w:tcPr>
            <w:tcW w:w="7760" w:type="dxa"/>
            <w:vAlign w:val="bottom"/>
            <w:gridSpan w:val="20"/>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2.</w:t>
              </w:r>
            </w:hyperlink>
          </w:p>
        </w:tc>
        <w:tc>
          <w:tcPr>
            <w:tcW w:w="180" w:type="dxa"/>
            <w:vAlign w:val="bottom"/>
          </w:tcPr>
          <w:p>
            <w:pPr>
              <w:spacing w:after="0"/>
              <w:rPr>
                <w:sz w:val="21"/>
                <w:szCs w:val="21"/>
                <w:color w:val="auto"/>
              </w:rPr>
            </w:pPr>
          </w:p>
        </w:tc>
        <w:tc>
          <w:tcPr>
            <w:tcW w:w="8660" w:type="dxa"/>
            <w:vAlign w:val="bottom"/>
            <w:gridSpan w:val="2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Unregistered Sales of Equity Securities and Use of Proceeds</w:t>
              </w:r>
            </w:hyperlink>
          </w:p>
        </w:tc>
        <w:tc>
          <w:tcPr>
            <w:tcW w:w="1240" w:type="dxa"/>
            <w:vAlign w:val="bottom"/>
            <w:gridSpan w:val="4"/>
          </w:tcPr>
          <w:p>
            <w:pPr>
              <w:ind w:left="90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3.</w:t>
              </w:r>
            </w:hyperlink>
          </w:p>
        </w:tc>
        <w:tc>
          <w:tcPr>
            <w:tcW w:w="8660" w:type="dxa"/>
            <w:vAlign w:val="bottom"/>
            <w:gridSpan w:val="2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Defaults Upon Senior Securities</w:t>
              </w:r>
            </w:hyperlink>
          </w:p>
        </w:tc>
        <w:tc>
          <w:tcPr>
            <w:tcW w:w="1240" w:type="dxa"/>
            <w:vAlign w:val="bottom"/>
            <w:gridSpan w:val="4"/>
          </w:tcPr>
          <w:p>
            <w:pPr>
              <w:ind w:left="90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50"/>
        </w:trPr>
        <w:tc>
          <w:tcPr>
            <w:tcW w:w="820" w:type="dxa"/>
            <w:vAlign w:val="bottom"/>
            <w:tcBorders>
              <w:top w:val="single" w:sz="8" w:color="0000FF"/>
            </w:tcBorders>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4.</w:t>
              </w:r>
            </w:hyperlink>
          </w:p>
        </w:tc>
        <w:tc>
          <w:tcPr>
            <w:tcW w:w="2300" w:type="dxa"/>
            <w:vAlign w:val="bottom"/>
            <w:tcBorders>
              <w:top w:val="single" w:sz="8" w:color="0000FF"/>
            </w:tcBorders>
            <w:gridSpan w:val="1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Mine Safety Disclosures</w:t>
              </w:r>
            </w:hyperlink>
          </w:p>
        </w:tc>
        <w:tc>
          <w:tcPr>
            <w:tcW w:w="6360" w:type="dxa"/>
            <w:vAlign w:val="bottom"/>
            <w:gridSpan w:val="11"/>
          </w:tcPr>
          <w:p>
            <w:pPr>
              <w:spacing w:after="0"/>
              <w:rPr>
                <w:sz w:val="21"/>
                <w:szCs w:val="21"/>
                <w:color w:val="auto"/>
              </w:rPr>
            </w:pPr>
          </w:p>
        </w:tc>
        <w:tc>
          <w:tcPr>
            <w:tcW w:w="1240" w:type="dxa"/>
            <w:vAlign w:val="bottom"/>
            <w:gridSpan w:val="4"/>
          </w:tcPr>
          <w:p>
            <w:pPr>
              <w:ind w:left="90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690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5.</w:t>
              </w:r>
            </w:hyperlink>
          </w:p>
        </w:tc>
        <w:tc>
          <w:tcPr>
            <w:tcW w:w="8660" w:type="dxa"/>
            <w:vAlign w:val="bottom"/>
            <w:gridSpan w:val="2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Other Information</w:t>
              </w:r>
            </w:hyperlink>
          </w:p>
        </w:tc>
        <w:tc>
          <w:tcPr>
            <w:tcW w:w="1240" w:type="dxa"/>
            <w:vAlign w:val="bottom"/>
            <w:gridSpan w:val="4"/>
          </w:tcPr>
          <w:p>
            <w:pPr>
              <w:ind w:left="90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60" w:type="dxa"/>
            <w:vAlign w:val="bottom"/>
            <w:gridSpan w:val="1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6.</w:t>
              </w:r>
            </w:hyperlink>
          </w:p>
        </w:tc>
        <w:tc>
          <w:tcPr>
            <w:tcW w:w="8660" w:type="dxa"/>
            <w:vAlign w:val="bottom"/>
            <w:gridSpan w:val="2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1240" w:type="dxa"/>
            <w:vAlign w:val="bottom"/>
            <w:gridSpan w:val="4"/>
          </w:tcPr>
          <w:p>
            <w:pPr>
              <w:ind w:left="90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80" w:type="dxa"/>
            <w:vAlign w:val="bottom"/>
            <w:gridSpan w:val="2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3"/>
              </w:rPr>
            </w:pPr>
            <w:hyperlink w:anchor="page32">
              <w:r>
                <w:rPr>
                  <w:rFonts w:ascii="Arial" w:cs="Arial" w:eastAsia="Arial" w:hAnsi="Arial"/>
                  <w:sz w:val="18"/>
                  <w:szCs w:val="18"/>
                  <w:b w:val="1"/>
                  <w:bCs w:val="1"/>
                  <w:color w:val="0000FF"/>
                  <w:w w:val="83"/>
                </w:rPr>
                <w:t>Signatures</w:t>
              </w:r>
            </w:hyperlink>
          </w:p>
        </w:tc>
        <w:tc>
          <w:tcPr>
            <w:tcW w:w="8660" w:type="dxa"/>
            <w:vAlign w:val="bottom"/>
            <w:gridSpan w:val="23"/>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Arial" w:cs="Arial" w:eastAsia="Arial" w:hAnsi="Arial"/>
                <w:sz w:val="18"/>
                <w:szCs w:val="18"/>
                <w:b w:val="1"/>
                <w:bCs w:val="1"/>
                <w:color w:val="0000FF"/>
                <w:w w:val="90"/>
              </w:rPr>
            </w:pPr>
            <w:hyperlink w:anchor="page33">
              <w:r>
                <w:rPr>
                  <w:rFonts w:ascii="Arial" w:cs="Arial" w:eastAsia="Arial" w:hAnsi="Arial"/>
                  <w:sz w:val="18"/>
                  <w:szCs w:val="18"/>
                  <w:b w:val="1"/>
                  <w:bCs w:val="1"/>
                  <w:color w:val="0000FF"/>
                  <w:w w:val="90"/>
                </w:rPr>
                <w:t>Index to Exhibits</w:t>
              </w:r>
            </w:hyperlink>
          </w:p>
        </w:tc>
        <w:tc>
          <w:tcPr>
            <w:tcW w:w="8160" w:type="dxa"/>
            <w:vAlign w:val="bottom"/>
            <w:gridSpan w:val="22"/>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80" w:right="8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35,383</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26,344</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96,218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65,487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78,832</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Contract assets</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42,809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33,704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Property and equipment and other assets available for sale</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273,901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253,673</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65,314</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Intangibles, net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11,168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381,829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349,216</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44,873</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53,421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47,178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32,061</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153,693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134,072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warranty obligations</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15,800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14,978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Other long-term obligations</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27,481</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21" w:right="419" w:bottom="1440" w:gutter="0" w:footer="0" w:header="0"/>
        </w:sect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240" w:top="121" w:right="41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8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rPr>
              <w:t>Common Stock, no par value, authorized 115,000,000 shares; 45,442,607 and 45,317,267</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40" w:type="dxa"/>
            <w:vAlign w:val="bottom"/>
          </w:tcPr>
          <w:p>
            <w:pPr>
              <w:ind w:left="440"/>
              <w:spacing w:after="0"/>
              <w:rPr>
                <w:sz w:val="20"/>
                <w:szCs w:val="20"/>
                <w:color w:val="auto"/>
              </w:rPr>
            </w:pPr>
            <w:r>
              <w:rPr>
                <w:rFonts w:ascii="Arial" w:cs="Arial" w:eastAsia="Arial" w:hAnsi="Arial"/>
                <w:sz w:val="18"/>
                <w:szCs w:val="18"/>
                <w:color w:val="auto"/>
              </w:rPr>
              <w:t>shares issued at August 3, 2019 and April 27, 2019, respectively</w:t>
            </w: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58,478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57,699</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42,561</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98,373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93,593</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Treasury Stock, at cost, 490,617 and 303,957 shares at August 3, 2019 and April 27, 2019,</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(4,356)</w:t>
            </w: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187,663</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381,829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349,216</w:t>
            </w:r>
          </w:p>
        </w:tc>
      </w:tr>
      <w:tr>
        <w:trPr>
          <w:trHeight w:val="163"/>
        </w:trPr>
        <w:tc>
          <w:tcPr>
            <w:tcW w:w="8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122" w:right="41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69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6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6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69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5"/>
          </w:tcPr>
          <w:p>
            <w:pPr>
              <w:ind w:left="58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8"/>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August 3,</w:t>
            </w:r>
          </w:p>
        </w:tc>
        <w:tc>
          <w:tcPr>
            <w:tcW w:w="30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July 28,</w:t>
            </w:r>
          </w:p>
        </w:tc>
      </w:tr>
      <w:tr>
        <w:trPr>
          <w:trHeight w:val="234"/>
        </w:trPr>
        <w:tc>
          <w:tcPr>
            <w:tcW w:w="5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180,256</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154,188</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134,751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115,941</w:t>
            </w:r>
          </w:p>
        </w:tc>
        <w:tc>
          <w:tcPr>
            <w:tcW w:w="160" w:type="dxa"/>
            <w:vAlign w:val="bottom"/>
          </w:tcPr>
          <w:p>
            <w:pPr>
              <w:spacing w:after="0"/>
              <w:rPr>
                <w:sz w:val="21"/>
                <w:szCs w:val="2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45,505</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38,247</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84"/>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Selling</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18,297</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16,378</w:t>
            </w:r>
          </w:p>
        </w:tc>
        <w:tc>
          <w:tcPr>
            <w:tcW w:w="16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8,537</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10,500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9,292</w:t>
            </w:r>
          </w:p>
        </w:tc>
        <w:tc>
          <w:tcPr>
            <w:tcW w:w="160" w:type="dxa"/>
            <w:vAlign w:val="bottom"/>
          </w:tcPr>
          <w:p>
            <w:pPr>
              <w:spacing w:after="0"/>
              <w:rPr>
                <w:sz w:val="21"/>
                <w:szCs w:val="2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37,890</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34,207</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7"/>
        </w:trPr>
        <w:tc>
          <w:tcPr>
            <w:tcW w:w="506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7,615</w:t>
            </w:r>
          </w:p>
        </w:tc>
        <w:tc>
          <w:tcPr>
            <w:tcW w:w="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4,040</w:t>
            </w:r>
          </w:p>
        </w:tc>
        <w:tc>
          <w:tcPr>
            <w:tcW w:w="160" w:type="dxa"/>
            <w:vAlign w:val="bottom"/>
          </w:tcPr>
          <w:p>
            <w:pPr>
              <w:spacing w:after="0"/>
              <w:rPr>
                <w:sz w:val="20"/>
                <w:szCs w:val="20"/>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5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shd w:val="clear" w:color="auto" w:fill="CCEEFF"/>
          </w:tcPr>
          <w:p>
            <w:pPr>
              <w:spacing w:after="0"/>
              <w:rPr>
                <w:sz w:val="23"/>
                <w:szCs w:val="23"/>
                <w:color w:val="auto"/>
              </w:rPr>
            </w:pPr>
          </w:p>
        </w:tc>
      </w:tr>
      <w:tr>
        <w:trPr>
          <w:trHeight w:val="277"/>
        </w:trPr>
        <w:tc>
          <w:tcPr>
            <w:tcW w:w="50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4,044</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21"/>
                <w:szCs w:val="2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4,574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1"/>
        </w:trPr>
        <w:tc>
          <w:tcPr>
            <w:tcW w:w="5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45,089</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44,638</w:t>
            </w:r>
          </w:p>
        </w:tc>
        <w:tc>
          <w:tcPr>
            <w:tcW w:w="16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45,261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44,831</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84"/>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21"/>
                <w:szCs w:val="2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540258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0258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22" w:right="1440"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87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87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87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87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5"/>
          </w:tcPr>
          <w:p>
            <w:pPr>
              <w:ind w:left="58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5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28,</w:t>
            </w:r>
          </w:p>
        </w:tc>
      </w:t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August 3, 2019</w:t>
            </w: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77"/>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7,030</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4,574</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84"/>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(1,139)</w:t>
            </w:r>
          </w:p>
        </w:tc>
        <w:tc>
          <w:tcPr>
            <w:tcW w:w="24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29"/>
        </w:trPr>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gain (loss) on available-for-sale securities, net of</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57"/>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other comprehensive loss, net of tax</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240" w:type="dxa"/>
            <w:vAlign w:val="bottom"/>
          </w:tcPr>
          <w:p>
            <w:pPr>
              <w:spacing w:after="0"/>
              <w:rPr>
                <w:sz w:val="20"/>
                <w:szCs w:val="20"/>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6,545</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3,422</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528256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8256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9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1" w:right="1440"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98"/>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Treasury</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Loss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187,663</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7,030</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rPr>
              <w:t>Unrealized gain (loss)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779</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declared ($0.05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Treasury stock purchase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(1,187)</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August 3,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58,478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43,204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98,373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192,193</w:t>
            </w: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98"/>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Treasury</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Loss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28,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197,616</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4,574</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rPr>
              <w:t>Unrealized gain (loss)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Dividends declared ($0.07 per share)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(3,121)</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July 28,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55,608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40,979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108,558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199,445</w:t>
            </w: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w:t>
            </w:r>
          </w:p>
        </w:tc>
        <w:tc>
          <w:tcPr>
            <w:tcW w:w="240" w:type="dxa"/>
            <w:vAlign w:val="bottom"/>
          </w:tcPr>
          <w:p>
            <w:pPr>
              <w:spacing w:after="0"/>
              <w:rPr>
                <w:sz w:val="18"/>
                <w:szCs w:val="18"/>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28,</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Loss on sale of property, equipment and other assets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Equity in loss of affiliate</w:t>
            </w: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(30,331)</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(19,944)</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(18,218)</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Proceeds from sales of property, equipment and other assets</w:t>
            </w: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14,510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9,181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and loans to equity investment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Acquisitions, net of cash acquired</w:t>
            </w:r>
          </w:p>
        </w:tc>
        <w:tc>
          <w:tcPr>
            <w:tcW w:w="20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8,272</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for common shares repurchased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(4,658)</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35,742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29,755</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21,101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15,941</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Cash payments for:</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Income taxes, net of refunds</w:t>
            </w: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Purchases of property and equipment included in accounts payable</w:t>
            </w: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of common stock under the ESPP</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Contingent consideration related to acquisition</w:t>
            </w:r>
          </w:p>
        </w:tc>
        <w:tc>
          <w:tcPr>
            <w:tcW w:w="20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1" w:right="259" w:bottom="8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1" w:right="259" w:bottom="8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260" w:right="2540"/>
        <w:spacing w:after="0" w:line="275" w:lineRule="auto"/>
        <w:rPr>
          <w:sz w:val="20"/>
          <w:szCs w:val="20"/>
          <w:color w:val="auto"/>
        </w:rPr>
      </w:pPr>
      <w:r>
        <w:rPr>
          <w:rFonts w:ascii="Arial" w:cs="Arial" w:eastAsia="Arial" w:hAnsi="Arial"/>
          <w:sz w:val="18"/>
          <w:szCs w:val="18"/>
          <w:b w:val="1"/>
          <w:bCs w:val="1"/>
          <w:color w:val="auto"/>
        </w:rPr>
        <w:t xml:space="preserve">NOTES TO THE CONDENSED CONSOLIDATED FINANCIAL STATEMENTS </w:t>
      </w:r>
      <w:r>
        <w:rPr>
          <w:rFonts w:ascii="Arial" w:cs="Arial" w:eastAsia="Arial" w:hAnsi="Arial"/>
          <w:sz w:val="18"/>
          <w:szCs w:val="18"/>
          <w:color w:val="auto"/>
        </w:rPr>
        <w:t>(dollar amounts in thousands, except per share data)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Daktronics, Inc. and its subsidiaries (the “Company”, “Daktronics”, “we”, “our”, or “us”) are the world's industry leader in designing and manufacturing electronic scoreboards, programmable display systems and large screen video displays for sporting, commercial and transportation applications.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generally accepted accounting principles in the United States ("GAAP") requires management to make estimates and assumptions affecting the reported amounts therein. Due to the inherent uncertainty involved in making estimates, actual results in future periods may differ from those estimates.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The balance sheet at April 27, 2019, has been derived from the audited financial statements at that date, but it does not include all the information and footnotes required by GAAP for complete financial statements. These financial statements should be read in conjunction with our financial statements and notes thereto for the year ended April 27, 2019,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 ended April 27, 2019 consisted of 52 weeks. Fiscal 2020 will be a 53-week year; therefore, the quarter ended August 3, 2019 contains operating results for 14 weeks while the quarter ended July 28, 2018 contains operating results for 13 weeks.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 of cash flows:</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w:t>
            </w:r>
          </w:p>
        </w:tc>
        <w:tc>
          <w:tcPr>
            <w:tcW w:w="24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28,</w:t>
            </w: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15,915</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Total cash, cash equivalents, and restricted cash shown in the condensed consolidated statement of cash</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21,101</w:t>
            </w:r>
          </w:p>
        </w:tc>
        <w:tc>
          <w:tcPr>
            <w:tcW w:w="2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15,941</w:t>
            </w:r>
          </w:p>
        </w:tc>
        <w:tc>
          <w:tcPr>
            <w:tcW w:w="0" w:type="dxa"/>
            <w:vAlign w:val="bottom"/>
          </w:tcPr>
          <w:p>
            <w:pPr>
              <w:spacing w:after="0"/>
              <w:rPr>
                <w:sz w:val="1"/>
                <w:szCs w:val="1"/>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flows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significant accounting policies and estimates as described in our Annual Report on Form 10-K for the fiscal year ended April 27, 2019, other than described in the Accounting Standards Adopted section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sets out the principles for the recognition, measurement, presentation and disclosure of leases for both parties to a contract (that is, lessees and lessors). ASU 2016-02 requires lessees to apply a dual approach, classifying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greater than 12 months regardless of their classification. ASU 2016-02 requires lessors to account for leases using an approach that is substantially equivalent to existing guidance for sales-type leases, direct financing leases and operating leases. In July 2018, the FASB issued ASU 2018-10, </w:t>
      </w:r>
      <w:r>
        <w:rPr>
          <w:rFonts w:ascii="Arial" w:cs="Arial" w:eastAsia="Arial" w:hAnsi="Arial"/>
          <w:sz w:val="17"/>
          <w:szCs w:val="17"/>
          <w:i w:val="1"/>
          <w:iCs w:val="1"/>
          <w:color w:val="auto"/>
        </w:rPr>
        <w:t xml:space="preserve">Codification Improvements to Topic 842 (Leases) </w:t>
      </w:r>
      <w:r>
        <w:rPr>
          <w:rFonts w:ascii="Arial" w:cs="Arial" w:eastAsia="Arial" w:hAnsi="Arial"/>
          <w:sz w:val="17"/>
          <w:szCs w:val="17"/>
          <w:color w:val="auto"/>
        </w:rPr>
        <w:t>and ASU 2018-11,</w:t>
      </w:r>
      <w:r>
        <w:rPr>
          <w:rFonts w:ascii="Arial" w:cs="Arial" w:eastAsia="Arial" w:hAnsi="Arial"/>
          <w:sz w:val="17"/>
          <w:szCs w:val="17"/>
          <w:i w:val="1"/>
          <w:iCs w:val="1"/>
          <w:color w:val="auto"/>
        </w:rPr>
        <w:t xml:space="preserve"> Leases (Topic 842), Targeted Improvements</w:t>
      </w:r>
      <w:r>
        <w:rPr>
          <w:rFonts w:ascii="Arial" w:cs="Arial" w:eastAsia="Arial" w:hAnsi="Arial"/>
          <w:sz w:val="17"/>
          <w:szCs w:val="17"/>
          <w:color w:val="auto"/>
        </w:rPr>
        <w:t>, which provide (i) narrow amendments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clarify how to apply certain aspects of the new lease standard, (ii) entities with an additional transition method to adopt the new standard, and (iii) lessors with a practical expedient for separating components of a contract.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adopted ASU 2016-02 and its related guidance during the first quarter of fiscal 2020 for all agreements existing as of April 28, 2019. We elected the "comparatives under Accounting Standards Codification ("ASC") 840 option" as a transitional method, which allows us to initially apply the new lease requirements at the effective date. Comparative periods were not adjusted and will continue to be reported in accordance with prior lease guidance under ASC</w:t>
      </w:r>
    </w:p>
    <w:p>
      <w:pPr>
        <w:jc w:val="both"/>
        <w:ind w:firstLine="8"/>
        <w:spacing w:after="0" w:line="287" w:lineRule="auto"/>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elected the package of practical expedients, which permits us not to reassess our prior conclusions about lease identification, lease classification and initial direct costs. In addition, we have elected the short-term lease recognition whereby we will not recognize operating leases related assets or liabilities for leases with a lease term of less than one year. We have also elected the practical expedient to not separate lease and non-lease components in the lease payments for all asset classes. This adoption did not have an impact on our condensed consolidated statements of operations, shareholders' equity and cash flows, and there was no adjustment to retained earnings. As of April 28, 2019, we recognized a right of use asset for operating leases of $11,101 and a current and non-current lease liability for operating leases of $2,745 and $8,356, respectively. The right of use operating assets are included in the "Investment in affiliates and other assets" line item, the current lease liabilities are included in the "Accrued expenses" line item, and the non-current lease liabilities are included in the "Other long-term obligations" line item in our condensed consolidated balance sheet. See "Note 12. Leases"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ASU 2017-04 is effective for interim and annual periods beginning after December 15, 2019 and will require adoption on a prospective basis. We are currently evaluating the effect that adopting ASU 2017-04 will have on our condensed consolidated financial statements and related disclosures.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provides guidance regarding the measurement and recognition of credit impairment for certain financial assets. ASU 2016-13 is effective for interim and annual periods beginning after December 15, 2019, with early adoption permitted, and will require adoption on a modified retrospective basis. We are currently evaluating the effect that adopting ASU 2016-13 will have on our condensed consolidated financial statements and related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 in Affiliates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Investments in affiliates over which we have significant influence are accounted for under the equity method of accounting in accordance with the provisions of ASC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Investments in affiliates over which we do not have the ability to exert significant influence over the affiliate's operating and financing activities are accounted for under the cost method of accounting in accordance with the provisions of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We have evaluated our relationships with our affiliates and have determined that these entities are not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aggregate amount of investments accounted for under the equity method was $3,538 and $3,657 at August 3, 2019 and April 27, 2019, respectively. The equity method requires us to report our share of losses up to our equity investment amount. Cash paid for investments in affiliates and loans to affiliates are included in the "Purchases of and loans to equity investment" line item in our condensed consolidated statements of cash flows. Our proportional share of the respective affiliates' earnings or losses is included in the "Other income (expense), net" line item in our condensed consolidated statements of operations. For the three months ended August 3, 2019 and July 28, 2018, our share of the losses of our affiliates was $118 and $134, respectively.</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amount of investments without readily determinable fair values was $42 at August 3, 2019 and April 27, 2019, respectively. There have not been any identified events or changes in circumstances that may have a significant adverse effect on their fair value, and it is not practical to estimate their fair value. We record equity investments without readily determinable fair values at cost, less any impairment, adjusted for observable price changes. During the three months ended August 3, 2019, we did not record any changes in the measurement of such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("EPS")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follow the provisions of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where 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net income and common share amounts used in the calculation of basic and diluted EPS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3, 2019 and July 28,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August 3, 2019</w:t>
            </w: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45,089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7,030</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45,261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July 28, 2018</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4,574</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44,638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4,574</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44,831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2,197 shares of common stock with a weighted average exercise price of $10.03 for the three months ended August 3, 2019 and 1,798 shares of common stock with a weighted average exercise price of $10.46 for the three months ended July 28, 2018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disaggregation of revenue by segments: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6"/>
          </w:tcPr>
          <w:p>
            <w:pPr>
              <w:ind w:left="20"/>
              <w:spacing w:after="0"/>
              <w:rPr>
                <w:sz w:val="20"/>
                <w:szCs w:val="20"/>
                <w:color w:val="auto"/>
              </w:rPr>
            </w:pPr>
            <w:r>
              <w:rPr>
                <w:rFonts w:ascii="Arial" w:cs="Arial" w:eastAsia="Arial" w:hAnsi="Arial"/>
                <w:sz w:val="18"/>
                <w:szCs w:val="18"/>
                <w:b w:val="1"/>
                <w:bCs w:val="1"/>
                <w:color w:val="auto"/>
                <w:w w:val="96"/>
              </w:rPr>
              <w:t>Three Months Ended August 3, 2019</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Live Events</w:t>
            </w: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w w:val="91"/>
              </w:rPr>
              <w:t>Type of performance obligation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92,157</w:t>
            </w:r>
          </w:p>
        </w:tc>
      </w:tr>
      <w:tr>
        <w:trPr>
          <w:trHeight w:val="243"/>
        </w:trPr>
        <w:tc>
          <w:tcPr>
            <w:tcW w:w="2500" w:type="dxa"/>
            <w:vAlign w:val="bottom"/>
          </w:tcPr>
          <w:p>
            <w:pPr>
              <w:ind w:left="16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27,235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7,713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23,800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6,587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9,930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75,265</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12,834</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44,035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59,306</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30,465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19,018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27,432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180,256</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9"/>
        </w:trPr>
        <w:tc>
          <w:tcPr>
            <w:tcW w:w="2500" w:type="dxa"/>
            <w:vAlign w:val="bottom"/>
          </w:tcPr>
          <w:p>
            <w:pPr>
              <w:ind w:left="160"/>
              <w:spacing w:after="0"/>
              <w:rPr>
                <w:sz w:val="20"/>
                <w:szCs w:val="20"/>
                <w:color w:val="auto"/>
              </w:rPr>
            </w:pPr>
            <w:r>
              <w:rPr>
                <w:rFonts w:ascii="Arial" w:cs="Arial" w:eastAsia="Arial" w:hAnsi="Arial"/>
                <w:sz w:val="18"/>
                <w:szCs w:val="18"/>
                <w:color w:val="auto"/>
                <w:w w:val="92"/>
              </w:rPr>
              <w:t>Goods/services transferred at a</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500" w:type="dxa"/>
            <w:vAlign w:val="bottom"/>
          </w:tcPr>
          <w:p>
            <w:pPr>
              <w:ind w:left="160"/>
              <w:spacing w:after="0"/>
              <w:rPr>
                <w:sz w:val="20"/>
                <w:szCs w:val="20"/>
                <w:color w:val="auto"/>
              </w:rPr>
            </w:pPr>
            <w:r>
              <w:rPr>
                <w:rFonts w:ascii="Arial" w:cs="Arial" w:eastAsia="Arial" w:hAnsi="Arial"/>
                <w:sz w:val="18"/>
                <w:szCs w:val="18"/>
                <w:color w:val="auto"/>
              </w:rPr>
              <w:t>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27,703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9,120</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22,599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6,697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10,188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76,307</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Goods/services transferred over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16,332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103,949</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44,035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59,306</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30,465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19,018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27,432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180,256</w:t>
            </w: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56"/>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9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6"/>
          </w:tcPr>
          <w:p>
            <w:pPr>
              <w:ind w:left="100"/>
              <w:spacing w:after="0"/>
              <w:rPr>
                <w:sz w:val="20"/>
                <w:szCs w:val="20"/>
                <w:color w:val="auto"/>
              </w:rPr>
            </w:pPr>
            <w:r>
              <w:rPr>
                <w:rFonts w:ascii="Arial" w:cs="Arial" w:eastAsia="Arial" w:hAnsi="Arial"/>
                <w:sz w:val="18"/>
                <w:szCs w:val="18"/>
                <w:b w:val="1"/>
                <w:bCs w:val="1"/>
                <w:color w:val="auto"/>
                <w:w w:val="99"/>
              </w:rPr>
              <w:t>Three Months Ended July 28, 2018</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Live Events</w:t>
            </w: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w w:val="91"/>
              </w:rPr>
              <w:t>Type of performance obligation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76,747</w:t>
            </w:r>
          </w:p>
        </w:tc>
      </w:tr>
      <w:tr>
        <w:trPr>
          <w:trHeight w:val="243"/>
        </w:trPr>
        <w:tc>
          <w:tcPr>
            <w:tcW w:w="2500" w:type="dxa"/>
            <w:vAlign w:val="bottom"/>
          </w:tcPr>
          <w:p>
            <w:pPr>
              <w:ind w:left="16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23,867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5,818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18,547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7,083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10,778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66,093</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11,348</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30,569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49,472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28,120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17,157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28,870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154,188</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9"/>
        </w:trPr>
        <w:tc>
          <w:tcPr>
            <w:tcW w:w="2500" w:type="dxa"/>
            <w:vAlign w:val="bottom"/>
          </w:tcPr>
          <w:p>
            <w:pPr>
              <w:ind w:left="160"/>
              <w:spacing w:after="0"/>
              <w:rPr>
                <w:sz w:val="20"/>
                <w:szCs w:val="20"/>
                <w:color w:val="auto"/>
              </w:rPr>
            </w:pPr>
            <w:r>
              <w:rPr>
                <w:rFonts w:ascii="Arial" w:cs="Arial" w:eastAsia="Arial" w:hAnsi="Arial"/>
                <w:sz w:val="18"/>
                <w:szCs w:val="18"/>
                <w:color w:val="auto"/>
                <w:w w:val="92"/>
              </w:rPr>
              <w:t>Goods/services transferred at a</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500" w:type="dxa"/>
            <w:vAlign w:val="bottom"/>
          </w:tcPr>
          <w:p>
            <w:pPr>
              <w:ind w:left="160"/>
              <w:spacing w:after="0"/>
              <w:rPr>
                <w:sz w:val="20"/>
                <w:szCs w:val="20"/>
                <w:color w:val="auto"/>
              </w:rPr>
            </w:pPr>
            <w:r>
              <w:rPr>
                <w:rFonts w:ascii="Arial" w:cs="Arial" w:eastAsia="Arial" w:hAnsi="Arial"/>
                <w:sz w:val="18"/>
                <w:szCs w:val="18"/>
                <w:color w:val="auto"/>
              </w:rPr>
              <w:t>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24,583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6,802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16,998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7,232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11,536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67,151</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Goods/services transferred over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87,037</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30,569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49,472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28,120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17,157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28,870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154,188</w:t>
            </w: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5. Segment Reporting" for a disaggregation of revenue by geography.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under the contract terms. Contract liabilities represent amounts billed to the clients in excess of revenue recognized to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changes in our contract assets and liabilities: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440" w:type="dxa"/>
            <w:vAlign w:val="bottom"/>
            <w:gridSpan w:val="3"/>
          </w:tcPr>
          <w:p>
            <w:pPr>
              <w:ind w:left="100"/>
              <w:spacing w:after="0"/>
              <w:rPr>
                <w:sz w:val="20"/>
                <w:szCs w:val="20"/>
                <w:color w:val="auto"/>
              </w:rPr>
            </w:pPr>
            <w:r>
              <w:rPr>
                <w:rFonts w:ascii="Arial" w:cs="Arial" w:eastAsia="Arial" w:hAnsi="Arial"/>
                <w:sz w:val="18"/>
                <w:szCs w:val="18"/>
                <w:b w:val="1"/>
                <w:bCs w:val="1"/>
                <w:color w:val="auto"/>
              </w:rPr>
              <w:t>August 3, 2019</w:t>
            </w:r>
          </w:p>
        </w:tc>
        <w:tc>
          <w:tcPr>
            <w:tcW w:w="14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April 27, 2019</w:t>
            </w: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Dollar Change</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Percent Change</w:t>
            </w:r>
          </w:p>
        </w:tc>
      </w:tr>
      <w:tr>
        <w:trPr>
          <w:trHeight w:val="27"/>
        </w:trPr>
        <w:tc>
          <w:tcPr>
            <w:tcW w:w="3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Contract liabilities - current</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53,421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47,178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6,243</w:t>
            </w:r>
          </w:p>
        </w:tc>
        <w:tc>
          <w:tcPr>
            <w:tcW w:w="1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13.2</w:t>
            </w:r>
          </w:p>
        </w:tc>
      </w:tr>
      <w:tr>
        <w:trPr>
          <w:trHeight w:val="27"/>
        </w:trPr>
        <w:tc>
          <w:tcPr>
            <w:tcW w:w="3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 - noncurrent</w:t>
            </w: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10,053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r>
      <w:tr>
        <w:trPr>
          <w:trHeight w:val="27"/>
        </w:trPr>
        <w:tc>
          <w:tcPr>
            <w:tcW w:w="38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changes in our contract assets and contract liabilities from April 27, 2019 to August 3, 2019 were due to the timing of billing schedules and revenue recognition, which can vary significantly depending on the contractual payment terms and the seasonality of the sports markets. We had no material impairments of contract assets for the three months ended August 3, 2019.</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April 27, 2019, we had six contracts in progress that were identified as loss contracts, for which we recorded a provision for losses of $2,353 and had four remaining contracts with loss estimates of $531 as of August 3, 2019. These were included in the "Accrued expenses" line item in our condensed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August 3, 2019, we recognized revenue of $31,259 related to our contract liabilities as of April 27,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Remaining performance obligations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August 3, 2019, the aggregate amount of the transaction price allocated to the remaining performance obligations was $263,406. We expect approximately $226,999 of our remaining performance obligations to be recognized over the next 12 months with the remainder recognized thereafter. Remaining performance obligations related to product and service agreements are $206,990 and $56,416, respectively.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organize and manage our business by the following five segments which meet the definition of reportable segments under ASC 280-10,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Commercial, Live Events, High School Park and Recreation, Transportation, and International. These segments are based on the customer type or</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geography and are the same as our business units. We evaluate segment performance based on operating results through contribution margin, which is comprised of gross profit less selling expense. We exclude general and</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administration expense, product design and development expense, non-operating income and expense, and income tax expense in the segment analysis. Separate financial information is available and regularly evaluated by our chief operating decision-maker (CODM), who is our president and chief executive officer, in making resource allocation decisions for our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reporting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w:t>
            </w:r>
          </w:p>
        </w:tc>
        <w:tc>
          <w:tcPr>
            <w:tcW w:w="24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28,</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44,035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30,569</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59,306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49,472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28,120</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19,018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17,157</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27,432</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28,870</w:t>
            </w:r>
          </w:p>
        </w:tc>
        <w:tc>
          <w:tcPr>
            <w:tcW w:w="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180,256</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154,188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12,737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10,233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6,754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5,451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6,609</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45,505</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38,247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Contribution margin: (1)</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8,872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6,985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5,452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4,295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2,208</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27,208</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21,869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10,500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9,292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50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50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8,042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8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7,030</w:t>
            </w:r>
          </w:p>
        </w:tc>
        <w:tc>
          <w:tcPr>
            <w:tcW w:w="2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2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1,398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Unallocated corporate depreciation</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4,383</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spacing w:after="0"/>
        <w:rPr>
          <w:sz w:val="20"/>
          <w:szCs w:val="20"/>
          <w:color w:val="auto"/>
        </w:rPr>
      </w:pPr>
      <w:r>
        <w:rPr>
          <w:rFonts w:ascii="Arial" w:cs="Arial" w:eastAsia="Arial" w:hAnsi="Arial"/>
          <w:sz w:val="18"/>
          <w:szCs w:val="18"/>
          <w:color w:val="auto"/>
        </w:rPr>
        <w:t>(1) Contribution margin consists of gross profit less selling expense.</w:t>
      </w:r>
    </w:p>
    <w:p>
      <w:pPr>
        <w:sectPr>
          <w:pgSz w:w="11900" w:h="16838" w:orient="portrait"/>
          <w:cols w:equalWidth="0" w:num="1">
            <w:col w:w="11420"/>
          </w:cols>
          <w:pgMar w:left="240" w:top="122" w:right="239" w:bottom="879"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879"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w:t>
            </w: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28,</w:t>
            </w: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121,325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76" w:lineRule="exact"/>
        <w:rPr>
          <w:sz w:val="20"/>
          <w:szCs w:val="20"/>
          <w:color w:val="auto"/>
        </w:rPr>
      </w:pPr>
    </w:p>
    <w:p>
      <w:pPr>
        <w:ind w:left="5900"/>
        <w:spacing w:after="0"/>
        <w:rPr>
          <w:sz w:val="20"/>
          <w:szCs w:val="20"/>
          <w:color w:val="auto"/>
        </w:rPr>
      </w:pPr>
      <w:r>
        <w:rPr>
          <w:rFonts w:ascii="Arial" w:cs="Arial" w:eastAsia="Arial" w:hAnsi="Arial"/>
          <w:sz w:val="15"/>
          <w:szCs w:val="15"/>
          <w:b w:val="1"/>
          <w:bCs w:val="1"/>
          <w:color w:val="auto"/>
        </w:rPr>
        <w:t>August 3,</w:t>
      </w:r>
    </w:p>
    <w:p>
      <w:pPr>
        <w:spacing w:after="0" w:line="62"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22860</wp:posOffset>
            </wp:positionV>
            <wp:extent cx="883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27,</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22860</wp:posOffset>
            </wp:positionV>
            <wp:extent cx="883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700" w:space="720"/>
            <w:col w:w="400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59,192</w:t>
            </w: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6,122</w:t>
            </w:r>
          </w:p>
        </w:tc>
      </w:tr>
      <w:tr>
        <w:trPr>
          <w:trHeight w:val="27"/>
        </w:trPr>
        <w:tc>
          <w:tcPr>
            <w:tcW w:w="5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66,707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65,314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numerous customers worldwide for sales of our products and services, and no customer accounted for 10% or more of net sales; therefore, we are not economically dependent on a limited number of customers for the sale of our products and services.</w:t>
      </w:r>
    </w:p>
    <w:p>
      <w:pPr>
        <w:spacing w:after="0" w:line="17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have numerous raw material and component suppliers, and no supplier accounts for 10% or more of our cost of sales; however, we have a number of single-source suppliers that could limit our supply or cause delays in obtaining raw material and components needed in manufacturing.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Marketable Securities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Marketable securities classified as available-for-sale are reported at fair value with unrealized gains or losses, net of tax, reported in accumulated other comprehensive loss in the condensed consolidated balance sheets. As it relates to fixed income marketable securities, it is not likely we will be required to sell any of these investments before recovery of the entire amortized cost basis. In addition, as of August 3, 2019,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August 3, 2019 and April 27, 2019,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Amortized Cost</w:t>
            </w: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rPr>
              <w:t>Unrealized 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August 3, 2019</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1,503</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10,779</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10,774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10,510</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10,482</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1,626</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26,379</w:t>
            </w: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26,344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Realized gains or losses on investments are recorded in our condensed consolidated statements of operations as "Other income (expense), net." Upon the sale of a security classified as available-for-sale, the security’s specific unrealized gain (loss) is reclassified out of</w:t>
      </w:r>
    </w:p>
    <w:p>
      <w:pPr>
        <w:sectPr>
          <w:pgSz w:w="11900" w:h="16838" w:orient="portrait"/>
          <w:cols w:equalWidth="0" w:num="1">
            <w:col w:w="11420"/>
          </w:cols>
          <w:pgMar w:left="240" w:top="122"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accumulated other comprehensive loss into earnings based on the specific identification method. In the three months ended August 3, 2019 and July 28, 2018, the reclassifications from accumulated other comprehensive loss to net earnings were immaterial.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August 3, 2019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1,503</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3,480</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11,878</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AJT Systems, Inc.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the net assets of AJT Systems, Inc. ("AJT"), a Florida-based company, on June 21, 2018. The results of its operations have been included in our condensed consolidated financial statements since the date of acquisition. We have not made pro forma disclosures about our acquisition of AJT because the results of its operations are not material to our condensed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AJT is a developer of real-time live to air graphics rendering and video server systems for the broadcast TV industry. This acquisition will allow our organization to grow and strengthen our solution offerings to the market. This acquisition was primarily funded with cash on hand and with payments made over a three-year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three months ended August 3, 2019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7,889</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August 3,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7,940</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an analysis of goodwill on an annual basis, and it is tested for impairment more frequently if events or changes in circumstances indicate that an asset might be impaired. We perform our annual analysis during our third quarter of each fiscal year, based on the goodwill amount as of the first business day of our third fiscal quarter.</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conducting our impairment testing, we compare the fair value of each of our business units to the related carrying value of the allocated assets. We utilize the income approach based on discounted projected cash flows to estimate the fair value of each unit. The projected cash flows use many estimates including market conditions and expected market demand; our ability to grow or maintain market share and gross profit; and our expected expenditures for capital and operating expenses. Assets shared or not directly attributed to a reportable segment's activities are allocated to the reportable segment based on sales and other measures.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performed our annual impairment test on October 29, 2018 and concluded no goodwill impairment existed. We plan to complete our annual analysis as of the first business day of our third quarter of fiscal 2020, which will begin on November 4,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9. Selected Financial Statement Data</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36,239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9,291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8,239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39,928</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39,804</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85,458</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78,832</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66,731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66,403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99,055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96,486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6,145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and hardware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53,611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55,460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Equipment held for rental</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Demonstration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Transportation equipment</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7,943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242,698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241,706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175,991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176,392</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66,707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65,314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Receivables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invoice customers based on a billing schedule as established in our contracts. We sometimes have the ability to file a contractor’s lien against the product installed as collateral and to file claims against surety bonds to protect our interest in receivables. Foreign sales are at times secured by irrevocable letters of credit or bank guarantees. Accounts receivable are reported net of an allowance for doubtful accounts of $2,292 and $2,208 at August 3, 2019 and April 27, 2019, respectively. Included in accounts receivable as of August 3, 2019 and April 27, 2019 was $828 and $440, respectively, of retainage on construction-type contracts, all of which is expected to be collected within one year.</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some contracts with customers, we agreed to installment payments exceeding 12 months. The present value of these contracts and leases are recorded as a receivable as the revenue is recognized in accordance with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$6,160 and $3,514 as of August 3, 2019 and April 27, 2019, respectively. Contract and lease receivables bearing annual interest rates of 5.0 to 9.0 percent are due in varying annual installments through 2024. The face amount of long-term receivables was $5,501 as of August 3, 2019 and $3,271 as of April 27,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 Repurchase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17, 2016, our Board of Directors approved a stock repurchase program under which we may purchase up to $40,000 of the Company's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July 28, 2018, we had no repurchases of shares of our outstanding common stock. During the three months ended August 3, 2019, we repurchased 187 shares of common stock at a total cost of $1,187. As of August 3, 2019, we had $36,988 of remaining capacity under our current share repurchase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facilities and various equipment to manufacture products and provide employee collaboration space and tools. These are all classified as operating leases and have initial lease terms ranging from one to five years. These operating leases do not contain material</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residual value guarantees or material restrictive covenants. Our lease in Sioux Falls, SD has a purchase option. We do not have any financing leases.</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determine if an arrangement is a lease at inception. Leases with an initial term of 12 months or less are not recorded on the balance sheet. Right-of-use assets represent our right to use an underlying asset for the lease term, and lease liabilities represent our obligation to make lease payments arising from the lease. Operating lease right-of-use assets and liabilities are recognized at commencement date based on the present value of lease payments over the lease term. As our leases do not provide an implicit rate, we use the incremental borrowing rate based on the information available at commencement date in determining the present value of future lease payments. The operating lease right-of-use asset includes any prepaid lease payments and initial direct costs and excludes any lease incentives and impairments. Some of our leases include options to extend the term, which is only included in the right-of-use assets and lease liability calculation when it is reasonably certain that we will exercise that option. We have lease agreements with lease and non-lease components, and we have elected to account for all asset classes as a single lease component. Our operating leases also typically require payment of real estate taxes, insurance, and common area maintenance. These components comprise the majority of our variable lease cost and are excluded from the present value of our lease obligations. In instances where they are fixed, they are included due to our election to combine lease and non-lease components. Our total variable lease costs are immaterial.</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cost is recognized on a straight-line basis over the lease term, and short-term lease cost is recognized when paid. Both are recognized in cost of sales and operating expenses in the condensed consolidated statements of operations. The lease cost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August 3, 2019</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8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890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0"/>
              </w:rPr>
              <w:t>(1)</w:t>
            </w:r>
          </w:p>
        </w:tc>
        <w:tc>
          <w:tcPr>
            <w:tcW w:w="8900" w:type="dxa"/>
            <w:vAlign w:val="bottom"/>
            <w:gridSpan w:val="2"/>
          </w:tcPr>
          <w:p>
            <w:pPr>
              <w:ind w:left="40"/>
              <w:spacing w:after="0"/>
              <w:rPr>
                <w:sz w:val="20"/>
                <w:szCs w:val="20"/>
                <w:color w:val="auto"/>
              </w:rPr>
            </w:pPr>
            <w:r>
              <w:rPr>
                <w:rFonts w:ascii="Arial" w:cs="Arial" w:eastAsia="Arial" w:hAnsi="Arial"/>
                <w:sz w:val="18"/>
                <w:szCs w:val="18"/>
                <w:color w:val="auto"/>
              </w:rPr>
              <w:t>Includes short-term leases, which are immaterial.</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120" w:type="dxa"/>
            <w:vAlign w:val="bottom"/>
            <w:gridSpan w:val="3"/>
          </w:tcPr>
          <w:p>
            <w:pPr>
              <w:spacing w:after="0"/>
              <w:rPr>
                <w:sz w:val="20"/>
                <w:szCs w:val="20"/>
                <w:color w:val="auto"/>
              </w:rPr>
            </w:pPr>
            <w:r>
              <w:rPr>
                <w:rFonts w:ascii="Arial" w:cs="Arial" w:eastAsia="Arial" w:hAnsi="Arial"/>
                <w:sz w:val="18"/>
                <w:szCs w:val="18"/>
                <w:color w:val="auto"/>
              </w:rPr>
              <w:t>The weighted average remaining lease term and discount rate related to operating leases include:</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jc w:val="right"/>
              <w:ind w:right="410"/>
              <w:spacing w:after="0"/>
              <w:rPr>
                <w:sz w:val="20"/>
                <w:szCs w:val="20"/>
                <w:color w:val="auto"/>
              </w:rPr>
            </w:pPr>
            <w:r>
              <w:rPr>
                <w:rFonts w:ascii="Arial" w:cs="Arial" w:eastAsia="Arial" w:hAnsi="Arial"/>
                <w:sz w:val="18"/>
                <w:szCs w:val="18"/>
                <w:b w:val="1"/>
                <w:bCs w:val="1"/>
                <w:color w:val="auto"/>
              </w:rPr>
              <w:t>August 3, 2019</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88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 years</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8900" w:type="dxa"/>
            <w:vAlign w:val="bottom"/>
            <w:gridSpan w:val="2"/>
          </w:tcPr>
          <w:p>
            <w:pPr>
              <w:ind w:left="40"/>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59"/>
        </w:trPr>
        <w:tc>
          <w:tcPr>
            <w:tcW w:w="9120" w:type="dxa"/>
            <w:vAlign w:val="bottom"/>
            <w:gridSpan w:val="3"/>
          </w:tcPr>
          <w:p>
            <w:pPr>
              <w:spacing w:after="0"/>
              <w:rPr>
                <w:sz w:val="20"/>
                <w:szCs w:val="20"/>
                <w:color w:val="auto"/>
              </w:rPr>
            </w:pPr>
            <w:r>
              <w:rPr>
                <w:rFonts w:ascii="Arial" w:cs="Arial" w:eastAsia="Arial" w:hAnsi="Arial"/>
                <w:sz w:val="18"/>
                <w:szCs w:val="18"/>
                <w:color w:val="auto"/>
              </w:rPr>
              <w:t>Supplemental unaudited cash flow information related to operating leases include:</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August 3, 2019</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89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8900" w:type="dxa"/>
            <w:vAlign w:val="bottom"/>
            <w:gridSpan w:val="2"/>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459"/>
        </w:trPr>
        <w:tc>
          <w:tcPr>
            <w:tcW w:w="9120" w:type="dxa"/>
            <w:vAlign w:val="bottom"/>
            <w:gridSpan w:val="3"/>
          </w:tcPr>
          <w:p>
            <w:pPr>
              <w:spacing w:after="0"/>
              <w:rPr>
                <w:sz w:val="20"/>
                <w:szCs w:val="20"/>
                <w:color w:val="auto"/>
              </w:rPr>
            </w:pPr>
            <w:r>
              <w:rPr>
                <w:rFonts w:ascii="Arial" w:cs="Arial" w:eastAsia="Arial" w:hAnsi="Arial"/>
                <w:sz w:val="18"/>
                <w:szCs w:val="18"/>
                <w:color w:val="auto"/>
                <w:w w:val="98"/>
              </w:rPr>
              <w:t>Future minimum operating lease payments as of, and subsequent to, August 3, 2019 under ASC 842 are as follows:</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Operating Leases</w:t>
            </w:r>
            <w:r>
              <w:rPr>
                <w:rFonts w:ascii="Arial" w:cs="Arial" w:eastAsia="Arial" w:hAnsi="Arial"/>
                <w:sz w:val="25"/>
                <w:szCs w:val="25"/>
                <w:b w:val="1"/>
                <w:bCs w:val="1"/>
                <w:color w:val="auto"/>
                <w:w w:val="86"/>
                <w:vertAlign w:val="superscript"/>
              </w:rPr>
              <w:t>(1)</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8900" w:type="dxa"/>
            <w:vAlign w:val="bottom"/>
            <w:gridSpan w:val="2"/>
          </w:tcPr>
          <w:p>
            <w:pPr>
              <w:ind w:left="40"/>
              <w:spacing w:after="0"/>
              <w:rPr>
                <w:sz w:val="20"/>
                <w:szCs w:val="20"/>
                <w:color w:val="auto"/>
              </w:rPr>
            </w:pPr>
            <w:r>
              <w:rPr>
                <w:rFonts w:ascii="Arial" w:cs="Arial" w:eastAsia="Arial" w:hAnsi="Arial"/>
                <w:sz w:val="18"/>
                <w:szCs w:val="18"/>
                <w:color w:val="auto"/>
              </w:rPr>
              <w:t>Fiscal years ending</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43"/>
        </w:trPr>
        <w:tc>
          <w:tcPr>
            <w:tcW w:w="9040" w:type="dxa"/>
            <w:vAlign w:val="bottom"/>
            <w:gridSpan w:val="2"/>
          </w:tcPr>
          <w:p>
            <w:pPr>
              <w:ind w:left="26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7"/>
        </w:trPr>
        <w:tc>
          <w:tcPr>
            <w:tcW w:w="9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43"/>
        </w:trPr>
        <w:tc>
          <w:tcPr>
            <w:tcW w:w="9040" w:type="dxa"/>
            <w:vAlign w:val="bottom"/>
            <w:gridSpan w:val="2"/>
          </w:tcPr>
          <w:p>
            <w:pPr>
              <w:ind w:left="26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7"/>
        </w:trPr>
        <w:tc>
          <w:tcPr>
            <w:tcW w:w="9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89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89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11,382</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8900" w:type="dxa"/>
            <w:vAlign w:val="bottom"/>
            <w:gridSpan w:val="2"/>
          </w:tcPr>
          <w:p>
            <w:pPr>
              <w:ind w:left="4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89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10,374</w:t>
            </w:r>
          </w:p>
        </w:tc>
        <w:tc>
          <w:tcPr>
            <w:tcW w:w="0" w:type="dxa"/>
            <w:vAlign w:val="bottom"/>
          </w:tcPr>
          <w:p>
            <w:pPr>
              <w:spacing w:after="0"/>
              <w:rPr>
                <w:sz w:val="1"/>
                <w:szCs w:val="1"/>
                <w:color w:val="auto"/>
              </w:rPr>
            </w:pPr>
          </w:p>
        </w:tc>
      </w:tr>
      <w:tr>
        <w:trPr>
          <w:trHeight w:val="20"/>
        </w:trPr>
        <w:tc>
          <w:tcPr>
            <w:tcW w:w="9120" w:type="dxa"/>
            <w:vAlign w:val="bottom"/>
            <w:gridSpan w:val="3"/>
            <w:vMerge w:val="restart"/>
          </w:tcPr>
          <w:p>
            <w:pPr>
              <w:spacing w:after="0"/>
              <w:rPr>
                <w:sz w:val="20"/>
                <w:szCs w:val="20"/>
                <w:color w:val="auto"/>
              </w:rPr>
            </w:pPr>
            <w:r>
              <w:rPr>
                <w:rFonts w:ascii="Arial" w:cs="Arial" w:eastAsia="Arial" w:hAnsi="Arial"/>
                <w:sz w:val="18"/>
                <w:szCs w:val="18"/>
                <w:color w:val="auto"/>
              </w:rPr>
              <w:t>(1) Includes $3,879 to extend the term of our Sioux Falls, South Dakota manufacturing facility.</w:t>
            </w: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We are a party to legal proceedings and claims which arise during the ordinary course of business. For unresolved legal proceedings or claims, 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believe there is a reasonable probability that any material loss will be incurred. Accordingly, no material</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Changes in our warranty obligation for the three months ended August 3, 2019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August 3, 2019</w:t>
            </w:r>
          </w:p>
        </w:tc>
      </w:tr>
      <w:tr>
        <w:trPr>
          <w:trHeight w:val="27"/>
        </w:trPr>
        <w:tc>
          <w:tcPr>
            <w:tcW w:w="5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24,470</w:t>
            </w:r>
          </w:p>
        </w:tc>
      </w:tr>
      <w:tr>
        <w:trPr>
          <w:trHeight w:val="243"/>
        </w:trPr>
        <w:tc>
          <w:tcPr>
            <w:tcW w:w="5660" w:type="dxa"/>
            <w:vAlign w:val="bottom"/>
          </w:tcPr>
          <w:p>
            <w:pPr>
              <w:ind w:left="660"/>
              <w:spacing w:after="0"/>
              <w:rPr>
                <w:sz w:val="20"/>
                <w:szCs w:val="20"/>
                <w:color w:val="auto"/>
              </w:rPr>
            </w:pPr>
            <w:r>
              <w:rPr>
                <w:rFonts w:ascii="Arial" w:cs="Arial" w:eastAsia="Arial" w:hAnsi="Arial"/>
                <w:sz w:val="18"/>
                <w:szCs w:val="18"/>
                <w:color w:val="auto"/>
              </w:rPr>
              <w:t>Warranties issued during the period</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3,545</w:t>
            </w:r>
          </w:p>
        </w:tc>
      </w:tr>
      <w:tr>
        <w:trPr>
          <w:trHeight w:val="27"/>
        </w:trPr>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Settlements made during the period</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r>
      <w:tr>
        <w:trPr>
          <w:trHeight w:val="229"/>
        </w:trPr>
        <w:tc>
          <w:tcPr>
            <w:tcW w:w="5660" w:type="dxa"/>
            <w:vAlign w:val="bottom"/>
          </w:tcPr>
          <w:p>
            <w:pPr>
              <w:ind w:left="680"/>
              <w:spacing w:after="0"/>
              <w:rPr>
                <w:sz w:val="20"/>
                <w:szCs w:val="20"/>
                <w:color w:val="auto"/>
              </w:rPr>
            </w:pPr>
            <w:r>
              <w:rPr>
                <w:rFonts w:ascii="Arial" w:cs="Arial" w:eastAsia="Arial" w:hAnsi="Arial"/>
                <w:sz w:val="18"/>
                <w:szCs w:val="18"/>
                <w:color w:val="auto"/>
              </w:rPr>
              <w:t>Changes in accrued warranty obligations for pre-existing</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660" w:type="dxa"/>
            <w:vAlign w:val="bottom"/>
          </w:tcPr>
          <w:p>
            <w:pPr>
              <w:ind w:left="740"/>
              <w:spacing w:after="0"/>
              <w:rPr>
                <w:sz w:val="20"/>
                <w:szCs w:val="20"/>
                <w:color w:val="auto"/>
              </w:rPr>
            </w:pPr>
            <w:r>
              <w:rPr>
                <w:rFonts w:ascii="Arial" w:cs="Arial" w:eastAsia="Arial" w:hAnsi="Arial"/>
                <w:sz w:val="18"/>
                <w:szCs w:val="18"/>
                <w:color w:val="auto"/>
              </w:rPr>
              <w:t>warranties during the period, including expirations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5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25,450</w:t>
            </w: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construction-type contracts. As of August 3, 2019, we had outstanding letters of credit and surety bonds in the amount of $17,248 and $21,758,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August 3, 2019, we were not aware of any indemnification claim from a customer.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cloud-based information systems, information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and support services, and various other products and services over periods that extend beyond one year. As of August 3, 2019, we were obligated under the following unconditional purchase commitments: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4,485</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calculate the provision for income taxes during interim reporting periods by applying an estimate of the annual effective tax rate for the full fiscal year to “ordinary” income or loss (pre-tax income or loss excluding unusual or infrequently occurring discrete items) for the reporting period. Due to various factors and operating in multiple state and foreign jurisdictions, our effective tax rate is subject to fluctuation. We recorded an effective tax rate of 12.6 percent for the three months ended August 3, 2019 and an effective tax rate benefit of 13.1 percent for the three months ended July 28, 2018. The changes in the effective tax rates are primarily driven by the benefit of research and development tax credits and foreign tax credits proportionate to pre-tax book income for each period.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U.S. federal income tax as well as income taxes of multiple state and foreign jurisdictions. Fiscal years 2016, 2017, 2018 and 2019 remain open to federal tax examinations, and fiscal years 2015, 2016, 2017, 2018 and 2019 remain open for various state income tax examinations. Certain subsidiaries are also subject to income tax in several foreign jurisdictions which have open tax years varying by jurisdiction beginning in fiscal 2009. In the event of any future tax assessments, we have elected to record the income taxes and any related interest and penalties as income tax expense in our condensed consolidated statement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3, 2019, undistributed earnings of our foreign subsidiaries were considered to be reinvested indefinitely. Additionally, we had $727 of unrecognized tax benefits which would reduce our effective tax rate if recognized.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August 3, 2019 and April 27, 2019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Fair Value Measurements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August 3, 2019</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20,762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3,464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5,911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bonds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Acquisition-related contingency consideration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22,101</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11,202</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31,749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35,383</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35,383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3,464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10,774</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10,482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10,482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bonds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Acquisition-related contingency consideration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46,516</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15,657</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59,108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40" w:type="dxa"/>
            <w:vAlign w:val="bottom"/>
            <w:gridSpan w:val="9"/>
          </w:tcPr>
          <w:p>
            <w:pPr>
              <w:spacing w:after="0"/>
              <w:rPr>
                <w:sz w:val="20"/>
                <w:szCs w:val="20"/>
                <w:color w:val="auto"/>
              </w:rPr>
            </w:pPr>
            <w:r>
              <w:rPr>
                <w:rFonts w:ascii="Arial" w:cs="Arial" w:eastAsia="Arial" w:hAnsi="Arial"/>
                <w:sz w:val="18"/>
                <w:szCs w:val="18"/>
                <w:color w:val="auto"/>
                <w:w w:val="93"/>
              </w:rPr>
              <w:t>A roll forward of the Level 3 contingent liabilities, both short- and long-term, for the three months ended August 3, 2019 is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Acquisition-related contingency consideration as of April 27, 2019</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w w:val="97"/>
              </w:rPr>
              <w:t>Acquisition-related contingency consideration as of August 3, 2019</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changes in the valuation techniques used by us to value our financial instruments since the end of fiscal 2019. For additional information, see our Annual Report on Form 10-K for the fiscal year ended April 27, 2019 for the methods and assumptions used to estimate the fair value of each class of financial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in the condensed consolidated balance sheets within accounts receivable or accounts payable measured at fair value, and changes in fair values are recognized in earnings unless specific hedge accounting criteria are met for cash flow or net investment hedges. As of August 3, 2019 and April 27, 2019, we had not designated any of our derivative instruments as accounting hedges, and thus we recorded the changes in fair value in the "Other income (expense), net" line item in the condensed consolidated statements of operations.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U.S. dollars at August 3, 2019 and April 27, 2019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840"/>
              <w:spacing w:after="0"/>
              <w:rPr>
                <w:sz w:val="20"/>
                <w:szCs w:val="20"/>
                <w:color w:val="auto"/>
              </w:rPr>
            </w:pPr>
            <w:r>
              <w:rPr>
                <w:rFonts w:ascii="Arial" w:cs="Arial" w:eastAsia="Arial" w:hAnsi="Arial"/>
                <w:sz w:val="18"/>
                <w:szCs w:val="18"/>
                <w:b w:val="1"/>
                <w:bCs w:val="1"/>
                <w:color w:val="auto"/>
              </w:rPr>
              <w:t>August 3, 2019</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27, 2019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U.S. 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619</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Dollars/Swiss Franc</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927</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Dollars/Malaysian Ringgit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August 3, 2019, there was an asset and liability of $334 and $10, respectively, and as of April 27, 2019, there was an asset and liability of $91 and $4, respectively, representing the fair value of foreign currency exchange forward contracts, which were determined using Level 2 inputs from a third-party bank. As of August 3, 2019, all contracts mature within 20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and operating strategies; (v.) the declaration and payment of dividends; (vi.) the timing and magnitude of future contracts; (vii.) raw material shortages and lead times; (viii.) fluctuations in margins; (ix.) the seasonality of our business; (x.) the introduction of new products and technology; (xi.) the amount and frequency of warranty claims; (xii.) our ability to manage the impact that new or adjusted tariffs may have on the cost of raw materials and components and our ability to sell product internationally; (xiii.) the resolution of litigation contingencies; and (xiv.) the timing and magnitude of any acquisitions or dispositions.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27, 2019 in the section entitled “Part I, Item 1A. Risk Factors” and “Part II, Item 7. Management's Discussion and Analysis of Financial Condition and Results of Operations,” and those factors discussed in detail in our other filings with the Securities and Exchange Commission.</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condensed consolidated financial statements, which have been prepared in accordance with generally accepted accounting principles in the United States ("GAAP"). This discussion should be read in conjunction with the accompanying Condensed Consolidated Financial Statements and Notes to the Condensed Consolidated Financial Statements included in this Report. The preparation of these condensed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goodwill impairment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and Transportation, all of which include the geographic territories of the United States and Canada. Disclosures related to our business segments are provided in "Note 5. Segment Reporting" of the Notes to the Condensed Consolidated Financial Statements included elsewhere in this Report.</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Outdoor installation sales can be impacted by outdoor weather conditions and the construction season. Our third fiscal quarter tends to be a slower quarter because it includes two holidays, it is affected by sports seasonality, and generally less outdoor construction work occurs due to weather conditions.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tend to fluctuate more on uniquely configured orders than on limited configured orders. Uniquely configured orders involving competitive bidding and substantial subcontract work for product installation generally have lower gross margins. Although we follow the over time method of recognizing revenues for uniquely configured orders, we nevertheless have experienced fluctuations in operating results and expect our future results of operations will be subject to similar fluctuations.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remaining performance obligations ("backlog") consist of contractually binding sales agreements or purchase orders for integrated electronic display systems and related products and service. Orders are included in backlog when we are in receipt of an executed contract and any required deposits or security. As a result, certain orders for which we have received binding letters of intent or contracts will not be included in backlog until all required contractual documents and deposits are received. Backlog can fluctuate due to large order bookings and the timing and seasonality of net sales. Because order backlog fluctuates and may be subject to extended delivery schedules, orders may be canceled and have varied estimated profitability. Our backlog is not necessarily indicative of future net sales or net income. Backlog is not a measure defined by GAAP, and our methodology for determining backlog may vary from the methodology used by other companies in determining their backlog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mission is to be the world leader at informing and entertaining audiences through dynamic audio-visual communication systems. We organize into business units to focus on customer loyalty over time to earn new and replacement business because our products have a finite lifetime. See "Note 5. Segment Reporting" of the Notes to the Condensed Consolidated Financial Statements included elsewhere in this Report for further information. Our strategies include the creation of a comprehensive line of innovative solutions and systems and our ability to create and leverage platform designs and technologies. These strategies align us to effectively deliver value to our varied customers and their market needs, while serving our stakeholders over the long-term. We focus on creating local capabilities for sales, service, and manufacturing in geographies with expected digital market opportunities. We believe consistently generating profitable growth will provide value to our stakeholders (customers, employees, shareholders, suppliers, and communities).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measure our success using a variety of measures including:</w:t>
      </w:r>
    </w:p>
    <w:p>
      <w:pPr>
        <w:spacing w:after="0" w:line="2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percentage of market share by comparing our estimated revenue to the total estimated global digital display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order growth compared to the overall digital market order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metrics such as annual order volume and profit change as compared to our previous financial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retention and expansion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generate profits over the long-term to provide a shareholder return.</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factors impact our ability to succeed in these strategies and impact our business units to varying degrees. For example, the overall cost to manufacture and the selling prices of our products have decreased over the years and are expected to continue to decrease in the future. Our competitors outside the U.S. are impacted differently by the global trade environment allowing them to avoid tariff costs or reduce prices. As a result, additional competitors have entered the market, and each year we must sell more product to generate the same or greater level of net sales as in previous fiscal years. However, the decline of digital solution pricing over the years and increased user adoption and applications have increased the size of the global market.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Competitor offerings, actions and reactions also can vary and change over time or in certain customer situations. Projects with multimillion-dollar revenue potential attracts competition, and competitors can use marketing or other tactics to win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business unit's long-term performance can be impacted by economic conditions in different ways and to different degrees. The effects of an adverse economy are generally less severe on our sports related business as compared to our other businesses, although in severe economic downturns, the sports business can also be seriously impacted.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can be impacted by short-term events like the U.S. Administrative trade actions in 2018 or a number of other factors that are disclosed in "Item 1A. Risk Factors" included in our Annual Report on Form 10-K for the fiscal year ended April 27,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outlook and unique key growth drivers and challenges by our business units include: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National accounts standard display market opportunities due to customers' desire to communicate their message, advertising and content consistently across the country. Increased demand is possible from national retailers, quick serve restaurants, petroleum retailers, and other nationwide organizations.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standard display offerings using micro-light emitting diode ("LED") designs.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Increasing use of LED technologies replacing signage previously using liquid crystal display ("LCD") technology by existing and new customers.</w:t>
      </w:r>
    </w:p>
    <w:p>
      <w:pPr>
        <w:spacing w:after="0" w:line="32"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Dynamic messaging systems demand growth due to market adoption and expanded use of this technology.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continued deployment of digital billboards as Out-of-Home ("OOH") advertising companies continue developing new sites and replacing digital billboards reaching end of life. This is dependent on no adverse changes occurring in the digital billboard regulatory environment restricting future billboard deployments, as well as maintaining our current market share in a business that is concentrated in a few large OOH companies.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and service offerings, including additional micro-LED offerings which remain the most integrated and comprehensive offerings in the industry.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Dynamic messaging system needs throughout a sports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use of LED technologies replacing signage previously using LCD technology in and surrounding live events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170"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compared to traditional scoreboards and these systems' ability to provide or enhance academic curriculum offerings for students.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demand for different types of displays and dynamic messaging systems, such as message centers at schools to communicate to students, parents and the broader community.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 system costs driving the use of more sophisticated displays in school athletic facilities, such as large integrated video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control system options tailored for the markets' needs.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Over the long-term, we believe growth in the Transportation business unit will result from increasing applications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state and federal governments, along with the continuing acceptance of private/public partnerships as an alternative funding source. Growth is also expected in dynamic messaging systems for advertising and way-finding use in public transport and airport terminals due to expanded market usage and displays, with LED technology replacing prior LCD installations and additional display offerings using micro-LEDs.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and building products more suited to individual markets. We continue to broaden our product offerings into the transportation segment in Europe and the Middle East. We also focus on sports facility, spectacular-type, OOH advertising products, and architectural lighting market opportunities and the factors listed in each of the other business units to the extent they apply outside of the United States and Canada. Additional opportunities exist with expanded market usage of LED technology due to price considerations, usage of LED technology replacing prior LCD installations and additional display offerings using micro-LEDs.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 ended April 27, 2019 consisted of 52 weeks. Fiscal 2020 will be a 53-week year; therefore, the quarter ended August 3, 2019 contains operating results for 14 weeks while the quarter ended July 28, 2018 contains operating results for 13 weeks.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AUGUST 3, 2019 AND JULY 28,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16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Dollar Change</w:t>
            </w:r>
          </w:p>
        </w:tc>
        <w:tc>
          <w:tcPr>
            <w:tcW w:w="1460" w:type="dxa"/>
            <w:vAlign w:val="bottom"/>
          </w:tcPr>
          <w:p>
            <w:pPr>
              <w:jc w:val="right"/>
              <w:ind w:right="30"/>
              <w:spacing w:after="0" w:line="194" w:lineRule="exact"/>
              <w:rPr>
                <w:sz w:val="20"/>
                <w:szCs w:val="20"/>
                <w:color w:val="auto"/>
              </w:rPr>
            </w:pPr>
            <w:r>
              <w:rPr>
                <w:rFonts w:ascii="Arial" w:cs="Arial" w:eastAsia="Arial" w:hAnsi="Arial"/>
                <w:sz w:val="18"/>
                <w:szCs w:val="18"/>
                <w:b w:val="1"/>
                <w:bCs w:val="1"/>
                <w:color w:val="auto"/>
                <w:w w:val="96"/>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1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6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44,035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30,569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59,306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49,472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9,834</w:t>
            </w:r>
          </w:p>
        </w:tc>
        <w:tc>
          <w:tcPr>
            <w:tcW w:w="22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30,465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28,120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19,018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17,157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1,861</w:t>
            </w:r>
          </w:p>
        </w:tc>
        <w:tc>
          <w:tcPr>
            <w:tcW w:w="22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27,432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28,870</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180,256</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154,188</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26,068</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0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38,648</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35,792</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2,856</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66,969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39,395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30,552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38,449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(7,897)</w:t>
            </w:r>
          </w:p>
        </w:tc>
        <w:tc>
          <w:tcPr>
            <w:tcW w:w="22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22,215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21,916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29,079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24,058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5,021</w:t>
            </w:r>
          </w:p>
        </w:tc>
        <w:tc>
          <w:tcPr>
            <w:tcW w:w="22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187,463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159,610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27,853</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orders were impacted as a result of the first quarter of fiscal 2020 including 14 weeks compared to the more common 13 weeks. The first quarter of fiscal 2019 contained 13 weeks.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net sales, during the first quarter of fiscal 2020, we achieved a $12.9 million per week average run rate as compared to $11.9 million per week during the first quarter of fiscal 2019, or an approximate 8.6% increase. This change was driven by the order volume reasons described below and the timing of conversion related to the seasonality in our business.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orders, during the first quarter of fiscal 2020, we achieved a $13.4 million per week average run rate as compared to $12.3 million per week during the first quarter of fiscal 2019, or an approximate 9.1% increase. We had an increase in orders placed during the first quarter of fiscal 2020 related to new releases of our product offerings.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increase in net sales for the three months ended August 3, 2019 compared to the same period one year ago was primarily due to the timing</w:t>
      </w:r>
      <w:r>
        <w:rPr>
          <w:rFonts w:ascii="Arial" w:cs="Arial" w:eastAsia="Arial" w:hAnsi="Arial"/>
          <w:sz w:val="18"/>
          <w:szCs w:val="18"/>
          <w:i w:val="1"/>
          <w:iCs w:val="1"/>
          <w:color w:val="auto"/>
        </w:rPr>
        <w:t xml:space="preserve"> </w:t>
      </w:r>
      <w:r>
        <w:rPr>
          <w:rFonts w:ascii="Arial" w:cs="Arial" w:eastAsia="Arial" w:hAnsi="Arial"/>
          <w:sz w:val="18"/>
          <w:szCs w:val="18"/>
          <w:color w:val="auto"/>
        </w:rPr>
        <w:t>of large custom projects in the spectacular and OOH niches.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orders for the three months ended August 3, 2019 compared to the same period one year ago was primarily due to the timing of projects in the on-premise and OOH niches.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the three months ended August 3, 2019 compared to the same period one year ago was primarily due to the timing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demand for upgraded or new solutions for arenas and college and universities.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three months ended August 3, 2019 compared to the same period one year ago due to an increase in the number of projects for professional sports, arenas, and college and universities venues.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the three months ended August 3, 2019 compared to the same period one year ago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timing of converting orders and backlog into sales.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decreased for the three months ended August 3, 2019 compared to the same period one year ago due to variability in order timing and a decrease in large video projects compared to the same period last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the three months ended August 3, 2019 compared to the same period one year ago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variability of large order production timing caused by customer project schedules.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Orders for the three months ended August 3, 2019 compared to the same period one year ago remained relatively flat.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for the three months ended August 3, 2019 compared to the same period one year ago decreased primarily due to the variability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timing caused by large projects of professional sports stadiums.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three months ended August 3, 2019 compared to the same period one year ago primarily due to general variations in the timing of large contracts and account-based order placements.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Order Backlog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product order backlog as of August 3, 2019 was $207 million as compared to $177 million as of July 28, 2018 and $202 million at the end of the fourth quarter of fiscal 2019. Historically, our product order backlog varies due to the seasonality of our business, the timing of large projects, and customer delivery schedules for these orders. The product order backlog as of August 3, 2019 increased in our Live Events, Transportation, and International business units from July 28, 2018 and decreased in our High School Park and Recreation business unit.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80"/>
              <w:spacing w:after="0"/>
              <w:rPr>
                <w:sz w:val="20"/>
                <w:szCs w:val="20"/>
                <w:color w:val="auto"/>
              </w:rPr>
            </w:pPr>
            <w:r>
              <w:rPr>
                <w:rFonts w:ascii="Arial" w:cs="Arial" w:eastAsia="Arial" w:hAnsi="Arial"/>
                <w:sz w:val="18"/>
                <w:szCs w:val="18"/>
                <w:b w:val="1"/>
                <w:bCs w:val="1"/>
                <w:color w:val="auto"/>
              </w:rPr>
              <w:t>August 3, 2019</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720"/>
              <w:spacing w:after="0"/>
              <w:rPr>
                <w:sz w:val="20"/>
                <w:szCs w:val="20"/>
                <w:color w:val="auto"/>
              </w:rPr>
            </w:pPr>
            <w:r>
              <w:rPr>
                <w:rFonts w:ascii="Arial" w:cs="Arial" w:eastAsia="Arial" w:hAnsi="Arial"/>
                <w:sz w:val="18"/>
                <w:szCs w:val="18"/>
                <w:b w:val="1"/>
                <w:bCs w:val="1"/>
                <w:color w:val="auto"/>
              </w:rPr>
              <w:t>July 28,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9,218</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20.9%</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6,894</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22.6%</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12,737</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21.5</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10,233</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20.7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10,187</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33.4</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9,502</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33.8</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6,754</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35.5</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5,451</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6,609</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24.1</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21.4</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45,505</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25.2%</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38,247</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24.8%</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is net sales less cost of sales. Cost of sales consists primarily of inventory, consumables, salaries, other employee-related costs, facilities-related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for manufacturing locations, machinery and equipment maintenance and depreciation, site sub-contractors, warranty costs, and other service delivery expenses.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our gross profit percentage for the three months ended August 3, 2019 compared to the same period one year ago was primarily due to higher sales volumes over relatively fixed infrastructure costs, partly offset by $1.5 million in additional tariff expenses, or a 0.8% impact to gross profit. Total warranty as a percent of sales decreased to 2.1% for the three months ended August 3, 2019 as compared to 2.5% during the three months ended July 28, 2018. The following describes the overall impact by business unit: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decrease for the three months ended August 3, 2019 compared to the same period one year ago was due to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mix, which was partly offset by higher sales volumes over relatively fixed infrastructure costs.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Live Events: </w:t>
      </w:r>
      <w:r>
        <w:rPr>
          <w:rFonts w:ascii="Arial" w:cs="Arial" w:eastAsia="Arial" w:hAnsi="Arial"/>
          <w:sz w:val="17"/>
          <w:szCs w:val="17"/>
          <w:color w:val="auto"/>
        </w:rPr>
        <w:t>The gross profit percent increase for the three months ended August 3, 2019 compared to the same period one year ago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higher sales volumes over relatively fixed infrastructure costs, partly offset by an increase in warranty expenses and a change in sales mix.</w:t>
      </w:r>
    </w:p>
    <w:p>
      <w:pPr>
        <w:sectPr>
          <w:pgSz w:w="11900" w:h="16838" w:orient="portrait"/>
          <w:cols w:equalWidth="0" w:num="1">
            <w:col w:w="11420"/>
          </w:cols>
          <w:pgMar w:left="240" w:top="121"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for the three months ended August 3, 2019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remained relatively flat.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for the three months ended August 3, 2019 compared to the same period one year ago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mix and higher sales volumes over relatively fixed infrastructure costs.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increase for the three months ended August 3, 2019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lower warranty expenses, partly offset by lower sales volumes over relatively fixed infrastructure costs.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Contribution Margin</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August 3, 2019</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July 28,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8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8,872</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15.0</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6,985</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14.1</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6,592</w:t>
            </w:r>
          </w:p>
        </w:tc>
        <w:tc>
          <w:tcPr>
            <w:tcW w:w="1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21.6</w:t>
            </w:r>
          </w:p>
        </w:tc>
        <w:tc>
          <w:tcPr>
            <w:tcW w:w="15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6,552</w:t>
            </w:r>
          </w:p>
        </w:tc>
        <w:tc>
          <w:tcPr>
            <w:tcW w:w="15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23.3</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5,452</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28.7</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4,295</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25.0</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2,208</w:t>
            </w:r>
          </w:p>
        </w:tc>
        <w:tc>
          <w:tcPr>
            <w:tcW w:w="1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5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41.3</w:t>
            </w: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c>
          <w:tcPr>
            <w:tcW w:w="15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27,208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21,869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Contribution margin </w:t>
      </w:r>
      <w:r>
        <w:rPr>
          <w:rFonts w:ascii="Arial" w:cs="Arial" w:eastAsia="Arial" w:hAnsi="Arial"/>
          <w:sz w:val="16"/>
          <w:szCs w:val="16"/>
          <w:color w:val="auto"/>
        </w:rPr>
        <w:t>consists of gross profit less selling expenses. Selling expenses consist primarily of salaries, other employee-related costs, travel and</w:t>
      </w:r>
      <w:r>
        <w:rPr>
          <w:rFonts w:ascii="Arial" w:cs="Arial" w:eastAsia="Arial" w:hAnsi="Arial"/>
          <w:sz w:val="16"/>
          <w:szCs w:val="16"/>
          <w:i w:val="1"/>
          <w:iCs w:val="1"/>
          <w:color w:val="auto"/>
        </w:rPr>
        <w:t xml:space="preserve"> </w:t>
      </w:r>
      <w:r>
        <w:rPr>
          <w:rFonts w:ascii="Arial" w:cs="Arial" w:eastAsia="Arial" w:hAnsi="Arial"/>
          <w:sz w:val="16"/>
          <w:szCs w:val="16"/>
          <w:color w:val="auto"/>
        </w:rPr>
        <w:t>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Contribution margin is impacted by the previously discussed sales and gross margin for each business unit. The impact of changes in selling expenses on each business unit's contribution margin are as follows: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areas of selling expenses were impacted as a result of the first quarter of fiscal 2020 including 14 weeks compared to the more common 13 weeks. The first quarter of fiscal 2019 contained 13 weeks. Selling expense in our Commercial, Live Events, and High School Park and Recreation business units increased in the first quarter of fiscal 2020 compared to the same quarter a year ago due to personnel related expenses. Selling expense in our International business unit decreased in the first quarter of fiscal 2020 compared to the same quarter a year ago due to a decrease in third-party commissions. Selling expense in our Transportation business unit for the first quarter of fiscal 2020 remained relatively flat compared to the same quarter a year ago.</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August 3, 2019</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July 28,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8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8,537</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9,292</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areas of operating expenses were impacted as a result of the first quarter of fiscal 2020 including 14 weeks compared to the more common 13 weeks. The first quarter of fiscal 2019 contained 13 weeks.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 of supplies.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first quarter of fiscal 2020 increased as compared to the same period one year ago primarily due to the additional week of operating results added to the first quarter of fiscal 2020.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Product design and development expenses </w:t>
      </w:r>
      <w:r>
        <w:rPr>
          <w:rFonts w:ascii="Arial" w:cs="Arial" w:eastAsia="Arial" w:hAnsi="Arial"/>
          <w:sz w:val="18"/>
          <w:szCs w:val="18"/>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our design efforts, we focus on standardizing display components and control systems for both single site and network displays.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design and development expenses in the first quarter of fiscal 2020 increased as compared to the same period one year ago primarily due to the additional week of operating results added to the first quarter of fiscal 2020 and for increased labor costs and professional services assigned to product design and development projects. To deliver value to our customers and serve the markets' expectations, we expect an increase in expenditures for new or enhanced customer solutions.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560"/>
              <w:spacing w:after="0"/>
              <w:rPr>
                <w:sz w:val="20"/>
                <w:szCs w:val="20"/>
                <w:color w:val="auto"/>
              </w:rPr>
            </w:pPr>
            <w:r>
              <w:rPr>
                <w:rFonts w:ascii="Arial" w:cs="Arial" w:eastAsia="Arial" w:hAnsi="Arial"/>
                <w:sz w:val="18"/>
                <w:szCs w:val="18"/>
                <w:b w:val="1"/>
                <w:bCs w:val="1"/>
                <w:color w:val="auto"/>
              </w:rPr>
              <w:t>August 3, 2019</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July 28,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0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460" w:type="dxa"/>
            <w:vAlign w:val="bottom"/>
            <w:gridSpan w:val="2"/>
          </w:tcPr>
          <w:p>
            <w:pPr>
              <w:jc w:val="center"/>
              <w:ind w:right="8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ind w:left="300"/>
              <w:spacing w:after="0" w:line="194" w:lineRule="exact"/>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6"/>
                <w:szCs w:val="16"/>
                <w:color w:val="auto"/>
              </w:rPr>
            </w:pPr>
          </w:p>
        </w:tc>
        <w:tc>
          <w:tcPr>
            <w:tcW w:w="10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40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We generate interest income through short-term cash investments, marketable securities, and product sales on an installment basis or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rights to sell and retain advertising revenues from displays, which result in long-term receivables. Interest expense is comprised primarily of interest costs on long-term obligations.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interest income, net for the first quarter of fiscal 2020 compared to the same period one year ago was primarily due to the change in investment levels caused by the volatility of working capital needs.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The change in other income and expense, net for the first quarter of fiscal 2020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foreign currency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calculate the provision for income taxes during interim reporting periods by applying an estimate of the annual effective tax rate for the full fiscal year to “ordinary” income or loss (pretax income or loss excluding unusual or infrequently occurring discrete items) for the reporting period. Due to various factors, including having operations in multiple jurisdictions worldwide, our effective tax rate is subject to fluctuation.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recorded a tax rate of 12.6 percent for the first quarter of fiscal 2020 as compared to an effective tax rate benefit of 13.1 percent for the first quarter of fiscal 2019. The change in the effective tax rate is primarily driven by the benefit of research and development tax credits and foreign tax credits proportionate to pre-tax book income for each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Three Months Ended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28,</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7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16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6"/>
                <w:szCs w:val="16"/>
                <w:color w:val="auto"/>
              </w:rPr>
            </w:pPr>
          </w:p>
        </w:tc>
        <w:tc>
          <w:tcPr>
            <w:tcW w:w="148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w w:val="96"/>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7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(used in) provided by:</w:t>
            </w: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72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(18,218)</w:t>
            </w: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8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8,272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(8,209.8)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8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(14,641)</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Operating cash flows consist primarily of net income adjusted for non-cash items, including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stock-based compensation, deferred income taxes and the effect of changes in operating assets and liabilities.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$18.2 million for the first three months of fiscal 2020 compared to net cash used in operating activities of $10.3 million in the first three months of fiscal 2019. The $7.9 million increase in cash used in operating activities from the first three months of fiscal 2019 to the first three months of fiscal 2020 was the result of changes in net operating assets and liabilities of $10.4 million and $0.1 million in depreciation and amortization, adjusted by a $2.5 million increase in net income and $0.1 million in other non-cash items, net.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The changes in operating assets and liabilities consisted of the following:</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w:t>
            </w:r>
          </w:p>
        </w:tc>
        <w:tc>
          <w:tcPr>
            <w:tcW w:w="2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28,</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(Increase) decrease:</w:t>
            </w: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68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(30,973)</w:t>
            </w:r>
          </w:p>
        </w:tc>
        <w:tc>
          <w:tcPr>
            <w:tcW w:w="2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(23,504)</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receivables</w:t>
            </w:r>
          </w:p>
        </w:tc>
        <w:tc>
          <w:tcPr>
            <w:tcW w:w="2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(2,298)</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(6,763)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Contract assets</w:t>
            </w:r>
          </w:p>
        </w:tc>
        <w:tc>
          <w:tcPr>
            <w:tcW w:w="2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(9,180)</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(10,480)</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Income tax receivables</w:t>
            </w:r>
          </w:p>
        </w:tc>
        <w:tc>
          <w:tcPr>
            <w:tcW w:w="2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Investment in affiliates and other assets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Increase (decrease):</w:t>
            </w:r>
          </w:p>
        </w:tc>
        <w:tc>
          <w:tcPr>
            <w:tcW w:w="2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12,535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Contract liabilities</w:t>
            </w:r>
          </w:p>
        </w:tc>
        <w:tc>
          <w:tcPr>
            <w:tcW w:w="2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6,341</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12,126</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Warranty obligations</w:t>
            </w:r>
          </w:p>
        </w:tc>
        <w:tc>
          <w:tcPr>
            <w:tcW w:w="2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Long-term warranty obligations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461</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Long-term marketing obligations and other payables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0" w:type="dxa"/>
            <w:vAlign w:val="bottom"/>
          </w:tcPr>
          <w:p>
            <w:pPr>
              <w:spacing w:after="0"/>
              <w:rPr>
                <w:sz w:val="22"/>
                <w:szCs w:val="22"/>
                <w:color w:val="auto"/>
              </w:rPr>
            </w:pPr>
          </w:p>
        </w:tc>
        <w:tc>
          <w:tcPr>
            <w:tcW w:w="682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(30,331)</w:t>
            </w:r>
          </w:p>
        </w:tc>
        <w:tc>
          <w:tcPr>
            <w:tcW w:w="2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(19,944)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82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Overall, changes in net operating assets and liabilities can be impacted by the timing of cash flows on large orders, which can cause significant short-term and seasonal fluctuations in inventory, accounts receivables, accounts payable, contract assets and liabilities, and various other operating assets and liabilities. Variability in contract assets and liabilities relates to the timing of billings on construction-type contracts and revenue recognition, which can vary significantly depending on contractual payment terms and build and installation schedules. Balances are also impacted by the sports market seasonality.</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cash provided by (used in) investing activities: </w:t>
      </w:r>
      <w:r>
        <w:rPr>
          <w:rFonts w:ascii="Arial" w:cs="Arial" w:eastAsia="Arial" w:hAnsi="Arial"/>
          <w:sz w:val="18"/>
          <w:szCs w:val="18"/>
          <w:color w:val="auto"/>
        </w:rPr>
        <w:t>Net cash provided by investing activities totaled $8.3 million in the first three months of fiscal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cash used in investing activities of $0.1 million in the first three months of fiscal 2019. Marketable securities, net totaled $14.5 million in the first three months of fiscal 2020 as compared to $7.2 million in the first three months of fiscal 2019. Purchases of property and equipment totaled $5.9 million in the first three months of fiscal 2020 compared to $4.7 million in the first three months of fiscal 2019. During the first three months of fiscal 2019, we had a net cash outflow of $2.3 million for the acquisition of assets of AJT Systems, Inc.</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Net cash used in financing activities: </w:t>
      </w:r>
      <w:r>
        <w:rPr>
          <w:rFonts w:ascii="Arial" w:cs="Arial" w:eastAsia="Arial" w:hAnsi="Arial"/>
          <w:sz w:val="16"/>
          <w:szCs w:val="16"/>
          <w:color w:val="auto"/>
        </w:rPr>
        <w:t>Net cash used in financing activities was $4.7 million for the three months ended August 3, 2019 compared to $3.5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same period one year ago. Principal payments on long-term obligations for the three months ended August 3, 2019 were $1.2 million compared to $0.5 million during the first three months of fiscal 2019, which was mostly related to contingent liability payments. Dividends of $2.3 million, or $0.05 per share, were paid to Daktronics shareholders during the first three months of fiscal 2020, as compared to dividends of $3.1 million, or $0.07 per share, paid to Daktronics shareholders during the first three months of fiscal 2019. During the first three months of fiscal 2020, we repurchased $1.2 million of shares as part of the $40.0 million share repurchase plan authorized by the Board of Directors. There were no share repurchases in the first three months of fiscal 2019.</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The timing and amounts of working capital changes, dividend payments, stock repurchase program,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spending impact our liquidity.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Working capital was $120.2 million and $119.6 million at August 3, 2019 and April 27, 2019, respectively. The changes in working capital, particularly changes in accounts receivable, accounts payable, inventory, and contract assets and liabilities, and the sports market seasonality can have a significant impact on the amount of net cash provided by operating activities largely due to the timing of payments and receipts. On multimillion-dollar orders, the time between order acceptance and project completion may extend up to or exceed 12 months depending on the amount of custom work and a customer’s delivery needs. We often receive down payments or progress payments on these orders.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$4.0 million of retainage on long-term contracts included in receivables and contract assets as of August 3, 2019, which has an impact on our liquidity. We expect to collect these amounts within one year. When working capital is needed, we have historically financed our cash needs through a combination of cash flow from operations and borrowings under bank credit agreements. During the fourth quarter of fiscal 2019, we violated one of our bank covenants, but we received a waiver from our banking institution for the year ended April 27, 2019. As of August 3, 2019, we were in compliance with all applicable bank loan covenants.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15, 2016, we entered into a credit agreement and a related revolving note with a U.S. bank. The revolving amount of the agreement and note is $35.0 million, including up to $15.0 million for commercial and standby letters of credit, with a maturity date of November 15, 2019. As of August 3, 2019, there were no advances to us under the loan portion of the line of credit, and the balance of letters of credit outstanding was approximately $9.5 million. On November 15, 2016, we entered into an amended and restated loan agreement and a continuing and unlimited guaranty agreement with another U.S. bank which supports our credit needs outside of the United States. The revolving amount of the loan is $20.0 million, with a maturity date of November 15, 2019. As of August 3, 2019, there were no advances outstanding under the loan agreement and approximately $7.8 million in bank guarantees under this line of credit.</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more information on these agreements, see "Note 10. Financing Agreements" of the Notes to Consolidated Financial Statements included in our Annual Report on Form 10-K for the fiscal year ended April 27, 2019. We expect to enter into a new credit facility, loan agreement, and guaranty agreement prior to our current agreements expiring in November 2019.</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August 3, 2019, we had $21.8 million of bonded work outstanding against this line.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growth and profitability improvement strategies depend on investments in capital expenditures and strategic investments. We are projecting capital expenditures to be less than $25 million for fiscal 2020 for purchases of manufacturing equipment for new or enhanced product production, expanded capacity, investments in quality and reliability equipment, and continued information infrastructure investments. We also evaluate and may invest in new technologies or acquire companies aligned with our business strategy.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working capital available from all sources will be adequate to meet the cash requirements of our operations and strategies in the foreseeable future. If our growth extends beyond current expectations, or if we make significant strategic investments, we may need to utilize and possibly increase our credit facilities or seek other means of financing. We anticipate we will be able to obtain any needed funds under commercially reasonable terms from our current lenders or other sources, although this availability cannot be guaranteed.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material change in our off-balance sheet arrangements and contractual obligations since the fiscal year ended April 27, 2019. For additional information, see our Annual Report on Form 10-K for the fiscal year ended April 27,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describe our significant accounting policies in "Note 1. Nature of Business and Summary of Significant Accounting Policies" of the Notes to Consolidated Financial Statements included in our Annual Report on Form 10-K for the fiscal year ended April 27, 2019. We discuss our critical accounting estimates in "Part II, Item 7. Management’s Discussion and Analysis of Financial Condition and Results of Operations" in our Annual Report on Form 10-K for the fiscal year ended April 27, 2019. In the first quarter of fiscal 2020, we adopted new lease guidance, as described in "Note 1. Basis of Presentation" of the Notes to the Condensed Consolidated Financial Statements included elsewhere in this Report. There have been no other significant changes in our significant accounting policies or critical accounting estimates since the end of fiscal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interest rate, foreign currency, and commodity risks as disclosed in our Annual Report on Form 10-K for the fiscal year ended April 27, 2019. There have been no material changes in our exposure to these risks during the first three months of fiscal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August 3, 2019, which is the end of the period covered by this Report. Based upon that evaluation, the Chief Executive Officer and Chief Financial Officer concluded that as of August 3, 2019,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August 3, 2019, there was no change in our internal control over financial reporting which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27, 2019.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of common stock during the first quarter of fiscal 2020: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Total number of</w:t>
            </w: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value of shares that</w:t>
            </w:r>
          </w:p>
        </w:tc>
      </w:tr>
      <w:tr>
        <w:trPr>
          <w:trHeight w:val="216"/>
        </w:trPr>
        <w:tc>
          <w:tcPr>
            <w:tcW w:w="2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shares purchased as may yet be purchased</w:t>
            </w:r>
          </w:p>
        </w:tc>
      </w:tr>
      <w:tr>
        <w:trPr>
          <w:trHeight w:val="216"/>
        </w:trPr>
        <w:tc>
          <w:tcPr>
            <w:tcW w:w="2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Average price paid</w:t>
            </w: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part of publicly</w:t>
            </w: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under the share</w:t>
            </w:r>
          </w:p>
        </w:tc>
      </w:tr>
      <w:tr>
        <w:trPr>
          <w:trHeight w:val="216"/>
        </w:trPr>
        <w:tc>
          <w:tcPr>
            <w:tcW w:w="248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 number of</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per share (including</w:t>
            </w: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announced plans or</w:t>
            </w: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repurchase</w:t>
            </w:r>
          </w:p>
        </w:tc>
      </w:tr>
      <w:tr>
        <w:trPr>
          <w:trHeight w:val="234"/>
        </w:trPr>
        <w:tc>
          <w:tcPr>
            <w:tcW w:w="2480" w:type="dxa"/>
            <w:vAlign w:val="bottom"/>
          </w:tcPr>
          <w:p>
            <w:pPr>
              <w:ind w:left="980"/>
              <w:spacing w:after="0"/>
              <w:rPr>
                <w:sz w:val="20"/>
                <w:szCs w:val="20"/>
                <w:color w:val="auto"/>
              </w:rPr>
            </w:pPr>
            <w:r>
              <w:rPr>
                <w:rFonts w:ascii="Arial" w:cs="Arial" w:eastAsia="Arial" w:hAnsi="Arial"/>
                <w:sz w:val="18"/>
                <w:szCs w:val="18"/>
                <w:b w:val="1"/>
                <w:bCs w:val="1"/>
                <w:color w:val="auto"/>
              </w:rPr>
              <w:t>Period</w:t>
            </w: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shares purchased</w:t>
            </w:r>
          </w:p>
        </w:tc>
        <w:tc>
          <w:tcPr>
            <w:tcW w:w="380" w:type="dxa"/>
            <w:vAlign w:val="bottom"/>
          </w:tcPr>
          <w:p>
            <w:pPr>
              <w:spacing w:after="0"/>
              <w:rPr>
                <w:sz w:val="20"/>
                <w:szCs w:val="20"/>
                <w:color w:val="auto"/>
              </w:rPr>
            </w:pPr>
          </w:p>
        </w:tc>
        <w:tc>
          <w:tcPr>
            <w:tcW w:w="1260" w:type="dxa"/>
            <w:vAlign w:val="bottom"/>
          </w:tcPr>
          <w:p>
            <w:pPr>
              <w:jc w:val="center"/>
              <w:ind w:right="290"/>
              <w:spacing w:after="0"/>
              <w:rPr>
                <w:sz w:val="20"/>
                <w:szCs w:val="20"/>
                <w:color w:val="auto"/>
              </w:rPr>
            </w:pPr>
            <w:r>
              <w:rPr>
                <w:rFonts w:ascii="Arial" w:cs="Arial" w:eastAsia="Arial" w:hAnsi="Arial"/>
                <w:sz w:val="18"/>
                <w:szCs w:val="18"/>
                <w:b w:val="1"/>
                <w:bCs w:val="1"/>
                <w:color w:val="auto"/>
                <w:w w:val="85"/>
              </w:rPr>
              <w:t>fees)</w:t>
            </w: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programs</w:t>
            </w: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program(1)</w:t>
            </w:r>
          </w:p>
        </w:tc>
      </w:tr>
      <w:tr>
        <w:trPr>
          <w:trHeight w:val="27"/>
        </w:trPr>
        <w:tc>
          <w:tcPr>
            <w:tcW w:w="248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28, 2019 - June 1, 2019</w:t>
            </w:r>
          </w:p>
        </w:tc>
        <w:tc>
          <w:tcPr>
            <w:tcW w:w="200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 $</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38,174,942</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June 2, 2019 - June 29, 2019</w:t>
            </w:r>
          </w:p>
        </w:tc>
        <w:tc>
          <w:tcPr>
            <w:tcW w:w="1620" w:type="dxa"/>
            <w:vAlign w:val="bottom"/>
          </w:tcPr>
          <w:p>
            <w:pPr>
              <w:jc w:val="right"/>
              <w:spacing w:after="0"/>
              <w:rPr>
                <w:sz w:val="20"/>
                <w:szCs w:val="20"/>
                <w:color w:val="auto"/>
              </w:rPr>
            </w:pPr>
            <w:r>
              <w:rPr>
                <w:rFonts w:ascii="Arial" w:cs="Arial" w:eastAsia="Arial" w:hAnsi="Arial"/>
                <w:sz w:val="18"/>
                <w:szCs w:val="18"/>
                <w:color w:val="auto"/>
              </w:rPr>
              <w:t>171,822</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6.39</w:t>
            </w:r>
          </w:p>
        </w:tc>
        <w:tc>
          <w:tcPr>
            <w:tcW w:w="1640" w:type="dxa"/>
            <w:vAlign w:val="bottom"/>
          </w:tcPr>
          <w:p>
            <w:pPr>
              <w:jc w:val="right"/>
              <w:spacing w:after="0"/>
              <w:rPr>
                <w:sz w:val="20"/>
                <w:szCs w:val="20"/>
                <w:color w:val="auto"/>
              </w:rPr>
            </w:pPr>
            <w:r>
              <w:rPr>
                <w:rFonts w:ascii="Arial" w:cs="Arial" w:eastAsia="Arial" w:hAnsi="Arial"/>
                <w:sz w:val="18"/>
                <w:szCs w:val="18"/>
                <w:color w:val="auto"/>
              </w:rPr>
              <w:t>171,822</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37,076,999</w:t>
            </w:r>
          </w:p>
        </w:tc>
      </w:tr>
      <w:tr>
        <w:trPr>
          <w:trHeight w:val="27"/>
        </w:trPr>
        <w:tc>
          <w:tcPr>
            <w:tcW w:w="2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June 30, 2019 - August 3, 2019</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14,838</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14,838</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36,987,674</w:t>
            </w:r>
          </w:p>
        </w:tc>
      </w:tr>
      <w:tr>
        <w:trPr>
          <w:trHeight w:val="250"/>
        </w:trPr>
        <w:tc>
          <w:tcPr>
            <w:tcW w:w="2480" w:type="dxa"/>
            <w:vAlign w:val="bottom"/>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186,660</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186,660</w:t>
            </w: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8890</wp:posOffset>
            </wp:positionV>
            <wp:extent cx="1037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8890</wp:posOffset>
            </wp:positionV>
            <wp:extent cx="1029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 w:lineRule="exact"/>
        <w:rPr>
          <w:sz w:val="20"/>
          <w:szCs w:val="20"/>
          <w:color w:val="auto"/>
        </w:rPr>
      </w:pPr>
    </w:p>
    <w:p>
      <w:pPr>
        <w:ind w:firstLine="8"/>
        <w:spacing w:after="0" w:line="277" w:lineRule="auto"/>
        <w:tabs>
          <w:tab w:leader="none" w:pos="28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 repurchases described in the above table were made pursuant to the $40.0 million share repurchase program authorized by the Board of Directors on June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-302260</wp:posOffset>
            </wp:positionV>
            <wp:extent cx="10375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-302260</wp:posOffset>
            </wp:positionV>
            <wp:extent cx="1029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1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4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 August 30,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96" w:lineRule="exact"/>
        <w:rPr>
          <w:sz w:val="20"/>
          <w:szCs w:val="20"/>
          <w:color w:val="auto"/>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20">
        <w:r>
          <w:rPr>
            <w:rFonts w:ascii="Arial" w:cs="Arial" w:eastAsia="Arial" w:hAnsi="Arial"/>
            <w:sz w:val="18"/>
            <w:szCs w:val="18"/>
            <w:u w:val="single" w:color="auto"/>
            <w:color w:val="0000FF"/>
          </w:rPr>
          <w:t>Amended and Restated Articles of Incorporation of the Company. (Incorporated by reference to Exhibit 3.1 of the Current Report on Form 10-Q/A</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(Amendment No. 1) of Daktronics, Inc. filed on December 21, 2018).</w:t>
        </w:r>
      </w:hyperlink>
    </w:p>
    <w:p>
      <w:pPr>
        <w:spacing w:after="0" w:line="224" w:lineRule="exact"/>
        <w:rPr>
          <w:rFonts w:ascii="Arial" w:cs="Arial" w:eastAsia="Arial" w:hAnsi="Arial"/>
          <w:sz w:val="18"/>
          <w:szCs w:val="18"/>
          <w:u w:val="single" w:color="auto"/>
          <w:color w:val="0000FF"/>
        </w:rPr>
      </w:pPr>
    </w:p>
    <w:p>
      <w:pPr>
        <w:ind w:left="40"/>
        <w:spacing w:after="0"/>
        <w:tabs>
          <w:tab w:leader="none" w:pos="700" w:val="left"/>
        </w:tabs>
        <w:rPr>
          <w:rFonts w:ascii="Arial" w:cs="Arial" w:eastAsia="Arial" w:hAnsi="Arial"/>
          <w:sz w:val="16"/>
          <w:szCs w:val="16"/>
          <w:u w:val="single" w:color="auto"/>
          <w:color w:val="0000FF"/>
        </w:rPr>
      </w:pPr>
      <w:hyperlink r:id="rId21">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21">
        <w:r>
          <w:rPr>
            <w:rFonts w:ascii="Arial" w:cs="Arial" w:eastAsia="Arial" w:hAnsi="Arial"/>
            <w:sz w:val="16"/>
            <w:szCs w:val="16"/>
            <w:u w:val="single" w:color="auto"/>
            <w:color w:val="0000FF"/>
          </w:rPr>
          <w:t>Amended and Restated Bylaws of the Company (Incorporated by reference to Exhibit 3.4 filed with our Annual Report on Form 10-K on June 12,</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23">
        <w:r>
          <w:rPr>
            <w:rFonts w:ascii="Arial" w:cs="Arial" w:eastAsia="Arial" w:hAnsi="Arial"/>
            <w:sz w:val="18"/>
            <w:szCs w:val="18"/>
            <w:u w:val="single" w:color="auto"/>
            <w:color w:val="0000FF"/>
          </w:rPr>
          <w:t>Rights Agreement dated as of November 16, 2018 between Daktronics, Inc. and Equiniti Trust Company, as Rights Agent (Incorporated by</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reference to Exhibit 4.1 of the Current Report on Form 8-K of Daktronics, Inc. filed on November 16, 2018).</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24">
        <w:r>
          <w:rPr>
            <w:rFonts w:ascii="Arial" w:cs="Arial" w:eastAsia="Arial" w:hAnsi="Arial"/>
            <w:sz w:val="18"/>
            <w:szCs w:val="18"/>
            <w:u w:val="single" w:color="auto"/>
            <w:color w:val="0000FF"/>
          </w:rPr>
          <w:t>Credit Agreement dated November 15, 2016 by and between the Company and U.S. Bank National Association (Incorporated by reference to</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Exhibit 10.1 filed with our Current Report on Form 8-K filed on November 16,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26">
        <w:r>
          <w:rPr>
            <w:rFonts w:ascii="Arial" w:cs="Arial" w:eastAsia="Arial" w:hAnsi="Arial"/>
            <w:sz w:val="18"/>
            <w:szCs w:val="18"/>
            <w:u w:val="single" w:color="auto"/>
            <w:color w:val="0000FF"/>
          </w:rPr>
          <w:t>Revolving Note dated November 15, 2016 issued by the Company to U.S. Bank National Association (Incorporated by reference to Exhibit 10.2</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filed with our Current Report on Form 8-K filed on November 16, 2016).</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27">
        <w:r>
          <w:rPr>
            <w:rFonts w:ascii="Arial" w:cs="Arial" w:eastAsia="Arial" w:hAnsi="Arial"/>
            <w:sz w:val="18"/>
            <w:szCs w:val="18"/>
            <w:u w:val="single" w:color="auto"/>
            <w:color w:val="0000FF"/>
          </w:rPr>
          <w:t>Amended and Restated Loan Agreement dated November 15, 2016 by and between the Company and Bank of America, N.A. (Incorporated by</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reference to Exhibit 10.3 filed with our Current Report on Form 8-K filed on November 16,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29">
        <w:r>
          <w:rPr>
            <w:rFonts w:ascii="Arial" w:cs="Arial" w:eastAsia="Arial" w:hAnsi="Arial"/>
            <w:sz w:val="18"/>
            <w:szCs w:val="18"/>
            <w:u w:val="single" w:color="auto"/>
            <w:color w:val="0000FF"/>
          </w:rPr>
          <w:t>Continuing and Unconditional Guaranty dated November 15, 2016 by and between the Company and Bank of America, N.A. (Incorporated by</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reference to Exhibit 10.4 filed with our Current Report on Form 8-K filed on November 16, 2016).</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30">
        <w:r>
          <w:rPr>
            <w:rFonts w:ascii="Arial" w:cs="Arial" w:eastAsia="Arial" w:hAnsi="Arial"/>
            <w:sz w:val="18"/>
            <w:szCs w:val="18"/>
            <w:u w:val="single" w:color="auto"/>
            <w:color w:val="0000FF"/>
          </w:rPr>
          <w:t>Amended and Restated Loan Agreement dated May 5, 2017 by and between the Company and Bank of America, N.A. (Incorporated by reference</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to Exhibit 10.6 filed with our Annual Report on Form 10-K filed on June 9, 2017).</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32">
        <w:r>
          <w:rPr>
            <w:rFonts w:ascii="Arial" w:cs="Arial" w:eastAsia="Arial" w:hAnsi="Arial"/>
            <w:sz w:val="18"/>
            <w:szCs w:val="18"/>
            <w:u w:val="single" w:color="auto"/>
            <w:color w:val="0000FF"/>
          </w:rPr>
          <w:t>Daktronics, Inc. 2015 Stock Incentive Plan ("2015 Plan"). (Incorporated by reference to Exhibit A to the Company's Definitive Proxy Statement on</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Schedule 14A filed on July 14, 2015).</w:t>
        </w:r>
      </w:hyperlink>
    </w:p>
    <w:p>
      <w:pPr>
        <w:spacing w:after="0" w:line="8" w:lineRule="exact"/>
        <w:rPr>
          <w:rFonts w:ascii="Arial" w:cs="Arial" w:eastAsia="Arial" w:hAnsi="Arial"/>
          <w:sz w:val="18"/>
          <w:szCs w:val="18"/>
          <w:u w:val="single" w:color="auto"/>
          <w:color w:val="0000FF"/>
        </w:rPr>
      </w:pPr>
    </w:p>
    <w:p>
      <w:pPr>
        <w:ind w:left="40"/>
        <w:spacing w:after="0"/>
        <w:tabs>
          <w:tab w:leader="none" w:pos="700" w:val="left"/>
        </w:tabs>
        <w:rPr>
          <w:rFonts w:ascii="Arial" w:cs="Arial" w:eastAsia="Arial" w:hAnsi="Arial"/>
          <w:sz w:val="16"/>
          <w:szCs w:val="16"/>
          <w:u w:val="single" w:color="auto"/>
          <w:color w:val="0000FF"/>
        </w:rPr>
      </w:pPr>
      <w:hyperlink r:id="rId33">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33">
        <w:r>
          <w:rPr>
            <w:rFonts w:ascii="Arial" w:cs="Arial" w:eastAsia="Arial" w:hAnsi="Arial"/>
            <w:sz w:val="16"/>
            <w:szCs w:val="16"/>
            <w:u w:val="single" w:color="auto"/>
            <w:color w:val="0000FF"/>
          </w:rPr>
          <w:t>Form of Restricted Stock Award Agreement under the 2015 Plan (Incorporated by reference to Exhibit 10.2 filed with our Current Report on Form</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8-K on September 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35">
        <w:r>
          <w:rPr>
            <w:rFonts w:ascii="Arial" w:cs="Arial" w:eastAsia="Arial" w:hAnsi="Arial"/>
            <w:sz w:val="18"/>
            <w:szCs w:val="18"/>
            <w:u w:val="single" w:color="auto"/>
            <w:color w:val="0000FF"/>
          </w:rPr>
          <w:t>Form of Non-Qualified Stock Option Agreement Terms and Conditions under the 2015 Plan (Incorporated by reference to Exhibit 10.3 filed with</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our Current Report on Form 8-K on September 3, 2015).</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36">
        <w:r>
          <w:rPr>
            <w:rFonts w:ascii="Arial" w:cs="Arial" w:eastAsia="Arial" w:hAnsi="Arial"/>
            <w:sz w:val="18"/>
            <w:szCs w:val="18"/>
            <w:u w:val="single" w:color="auto"/>
            <w:color w:val="0000FF"/>
          </w:rPr>
          <w:t>Form of Incentive Stock Option Terms and Conditions under the 2015 Plan (Incorporated by reference to Exhibit 10.4 filed with our Current Report</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on Form 8-K on September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38">
        <w:r>
          <w:rPr>
            <w:rFonts w:ascii="Arial" w:cs="Arial" w:eastAsia="Arial" w:hAnsi="Arial"/>
            <w:sz w:val="18"/>
            <w:szCs w:val="18"/>
            <w:u w:val="single" w:color="auto"/>
            <w:color w:val="0000FF"/>
          </w:rPr>
          <w:t>Form of Restricted Stock Unit Terms and Conditions under the 2015 Plan (Incorporated by reference to Exhibit 10.5 filed with our Current Report</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on Form 8-K on September 3, 2015).</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34">
        <w:r>
          <w:rPr>
            <w:rFonts w:ascii="Arial" w:cs="Arial" w:eastAsia="Arial" w:hAnsi="Arial"/>
            <w:sz w:val="18"/>
            <w:szCs w:val="18"/>
            <w:u w:val="single" w:color="auto"/>
            <w:color w:val="0000FF"/>
          </w:rPr>
          <w:t>Certification of the Chief Executive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pursuant to Section 302 of the Sarbanes-Oxley Act of 2002. (1)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35">
        <w:r>
          <w:rPr>
            <w:rFonts w:ascii="Arial" w:cs="Arial" w:eastAsia="Arial" w:hAnsi="Arial"/>
            <w:sz w:val="18"/>
            <w:szCs w:val="18"/>
            <w:u w:val="single" w:color="auto"/>
            <w:color w:val="0000FF"/>
          </w:rPr>
          <w:t>Certification of the Chief Financial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35">
        <w:r>
          <w:rPr>
            <w:rFonts w:ascii="Arial" w:cs="Arial" w:eastAsia="Arial" w:hAnsi="Arial"/>
            <w:sz w:val="18"/>
            <w:szCs w:val="18"/>
            <w:u w:val="single" w:color="auto"/>
            <w:color w:val="0000FF"/>
          </w:rPr>
          <w:t>pursuant to Section 302 of the Sarbanes-Oxley Act of 2002. (1)</w:t>
        </w:r>
      </w:hyperlink>
    </w:p>
    <w:p>
      <w:pPr>
        <w:spacing w:after="0" w:line="8" w:lineRule="exact"/>
        <w:rPr>
          <w:rFonts w:ascii="Arial" w:cs="Arial" w:eastAsia="Arial" w:hAnsi="Arial"/>
          <w:sz w:val="18"/>
          <w:szCs w:val="18"/>
          <w:u w:val="single" w:color="auto"/>
          <w:color w:val="0000FF"/>
        </w:rPr>
      </w:pPr>
    </w:p>
    <w:p>
      <w:pPr>
        <w:ind w:left="40"/>
        <w:spacing w:after="0"/>
        <w:tabs>
          <w:tab w:leader="none" w:pos="700" w:val="left"/>
        </w:tabs>
        <w:rPr>
          <w:rFonts w:ascii="Arial" w:cs="Arial" w:eastAsia="Arial" w:hAnsi="Arial"/>
          <w:sz w:val="16"/>
          <w:szCs w:val="16"/>
          <w:u w:val="single" w:color="auto"/>
          <w:color w:val="0000FF"/>
        </w:rPr>
      </w:pPr>
      <w:hyperlink w:anchor="page36">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36">
        <w:r>
          <w:rPr>
            <w:rFonts w:ascii="Arial" w:cs="Arial" w:eastAsia="Arial" w:hAnsi="Arial"/>
            <w:sz w:val="16"/>
            <w:szCs w:val="16"/>
            <w:u w:val="single" w:color="auto"/>
            <w:color w:val="0000FF"/>
          </w:rPr>
          <w:t>Certification of the Chief Executive Officer pursuant to Section 906 of the Sarbanes-Oxley Act of 2002 (18 U.S.C. Section 1350).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w:anchor="page37">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37">
        <w:r>
          <w:rPr>
            <w:rFonts w:ascii="Arial" w:cs="Arial" w:eastAsia="Arial" w:hAnsi="Arial"/>
            <w:sz w:val="16"/>
            <w:szCs w:val="16"/>
            <w:u w:val="single" w:color="auto"/>
            <w:color w:val="0000FF"/>
          </w:rPr>
          <w:t>Certification of the Chief Financial Officer pursuant to Section 906 of the Sarbanes-Oxley Act of 2002 (18 U.S.C. Section 1350). (1)</w:t>
        </w:r>
      </w:hyperlink>
    </w:p>
    <w:p>
      <w:pPr>
        <w:spacing w:after="0" w:line="63" w:lineRule="exact"/>
        <w:rPr>
          <w:sz w:val="20"/>
          <w:szCs w:val="20"/>
          <w:color w:val="auto"/>
        </w:rPr>
      </w:pPr>
    </w:p>
    <w:p>
      <w:pPr>
        <w:jc w:val="both"/>
        <w:ind w:left="720" w:right="40" w:hanging="685"/>
        <w:spacing w:after="0" w:line="29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period ended August 3, 2019 formatted in Extensible Business Reporting Language (XBRL): (i) the Condensed Consolidated Balance Sheets, (ii) the Condensed Consolidated Statements of Operations,</w:t>
      </w:r>
    </w:p>
    <w:p>
      <w:pPr>
        <w:ind w:left="720" w:right="40" w:firstLine="4"/>
        <w:spacing w:after="0" w:line="261" w:lineRule="auto"/>
        <w:tabs>
          <w:tab w:leader="none" w:pos="104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Condensed Consolidated Statements of Comprehensive Income, (iv) the Condensed Consolidated Statements of Cash Flows, (v) Notes to Condensed Consolidated Financial Statements, and (vii) document and entity information. (1)</w:t>
      </w:r>
    </w:p>
    <w:p>
      <w:pPr>
        <w:spacing w:after="0" w:line="21" w:lineRule="exact"/>
        <w:rPr>
          <w:rFonts w:ascii="Arial" w:cs="Arial" w:eastAsia="Arial" w:hAnsi="Arial"/>
          <w:sz w:val="18"/>
          <w:szCs w:val="18"/>
          <w:color w:val="auto"/>
        </w:rPr>
      </w:pPr>
    </w:p>
    <w:p>
      <w:pPr>
        <w:ind w:left="1180" w:hanging="358"/>
        <w:spacing w:after="0"/>
        <w:tabs>
          <w:tab w:leader="none" w:pos="1180" w:val="left"/>
        </w:tabs>
        <w:numPr>
          <w:ilvl w:val="2"/>
          <w:numId w:val="7"/>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August 3, 2019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0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8/30/2019</w:t>
      </w:r>
    </w:p>
    <w:p>
      <w:pPr>
        <w:sectPr>
          <w:pgSz w:w="11900" w:h="16838" w:orient="portrait"/>
          <w:cols w:equalWidth="0" w:num="1">
            <w:col w:w="11420"/>
          </w:cols>
          <w:pgMar w:left="240" w:top="58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August 3, 2019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2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8/30/2019</w:t>
      </w:r>
    </w:p>
    <w:p>
      <w:pPr>
        <w:sectPr>
          <w:pgSz w:w="11900" w:h="16838" w:orient="portrait"/>
          <w:cols w:equalWidth="0" w:num="1">
            <w:col w:w="11420"/>
          </w:cols>
          <w:pgMar w:left="240" w:top="58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August 3, 2019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tabs>
          <w:tab w:leader="none" w:pos="7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8/30/2019</w:t>
      </w:r>
    </w:p>
    <w:p>
      <w:pPr>
        <w:sectPr>
          <w:pgSz w:w="11900" w:h="16838" w:orient="portrait"/>
          <w:cols w:equalWidth="0" w:num="1">
            <w:col w:w="11420"/>
          </w:cols>
          <w:pgMar w:left="240" w:top="58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August 3, 2019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Date:</w:t>
        <w:tab/>
        <w:t>8/30/2019</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840"/>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01"/>
    </w:lvl>
    <w:lvl w:ilvl="1">
      <w:lvlJc w:val="left"/>
      <w:lvlText w:val="(%2)"/>
      <w:numFmt w:val="lowerRoman"/>
      <w:start w:val="3"/>
    </w:lvl>
    <w:lvl w:ilvl="2">
      <w:lvlJc w:val="left"/>
      <w:lvlText w:val="(%3)"/>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5" Type="http://schemas.openxmlformats.org/officeDocument/2006/relationships/image" Target="media/image14.png"/><Relationship Id="rId28" Type="http://schemas.openxmlformats.org/officeDocument/2006/relationships/image" Target="media/image15.png"/><Relationship Id="rId31" Type="http://schemas.openxmlformats.org/officeDocument/2006/relationships/image" Target="media/image16.png"/><Relationship Id="rId34" Type="http://schemas.openxmlformats.org/officeDocument/2006/relationships/image" Target="media/image17.png"/><Relationship Id="rId37"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20" Type="http://schemas.openxmlformats.org/officeDocument/2006/relationships/hyperlink" Target="http://www.sec.gov/Archives/edgar/data/915779/000091577918000119/exhibit31.htm" TargetMode="External"/><Relationship Id="rId21" Type="http://schemas.openxmlformats.org/officeDocument/2006/relationships/hyperlink" Target="http://www.sec.gov/Archives/edgar/data/915779/000091577913000026/dakt_exx34x10-kx2013.htm" TargetMode="External"/><Relationship Id="rId23" Type="http://schemas.openxmlformats.org/officeDocument/2006/relationships/hyperlink" Target="http://www.sec.gov/Archives/edgar/data/915779/000091577918000089/dakt_20181116x8-kxex41.htm" TargetMode="External"/><Relationship Id="rId24" Type="http://schemas.openxmlformats.org/officeDocument/2006/relationships/hyperlink" Target="http://www.sec.gov/Archives/edgar/data/915779/000091577916000233/dakt_20161115xex101.htm" TargetMode="External"/><Relationship Id="rId26" Type="http://schemas.openxmlformats.org/officeDocument/2006/relationships/hyperlink" Target="http://www.sec.gov/Archives/edgar/data/915779/000091577916000233/dakt_20161115xex102.htm" TargetMode="External"/><Relationship Id="rId27" Type="http://schemas.openxmlformats.org/officeDocument/2006/relationships/hyperlink" Target="http://www.sec.gov/Archives/edgar/data/915779/000091577916000233/dakt_20161115xex103.htm" TargetMode="External"/><Relationship Id="rId29" Type="http://schemas.openxmlformats.org/officeDocument/2006/relationships/hyperlink" Target="http://www.sec.gov/Archives/edgar/data/915779/000091577916000233/dakt_20161115xex104.htm" TargetMode="External"/><Relationship Id="rId30" Type="http://schemas.openxmlformats.org/officeDocument/2006/relationships/hyperlink" Target="http://www.sec.gov/Archives/edgar/data/915779/000091577917000027/dakt_ex106x10-kx2017.htm" TargetMode="External"/><Relationship Id="rId32" Type="http://schemas.openxmlformats.org/officeDocument/2006/relationships/hyperlink" Target="http://www.sec.gov/Archives/edgar/data/915779/000091577915000046/dakt-20150501_defx14a.htm#s4b4ce7db85924a1dba35b799a722a4cd" TargetMode="External"/><Relationship Id="rId33" Type="http://schemas.openxmlformats.org/officeDocument/2006/relationships/hyperlink" Target="http://www.sec.gov/Archives/edgar/data/915779/000091577915000068/dakt_ex102x8-kxsomx2015.htm" TargetMode="External"/><Relationship Id="rId35" Type="http://schemas.openxmlformats.org/officeDocument/2006/relationships/hyperlink" Target="http://www.sec.gov/Archives/edgar/data/915779/000091577915000068/dakt_ex103x8-kxsomx2015.htm" TargetMode="External"/><Relationship Id="rId36" Type="http://schemas.openxmlformats.org/officeDocument/2006/relationships/hyperlink" Target="http://www.sec.gov/Archives/edgar/data/915779/000091577915000068/dakt_ex104x8-kxsomx2015.htm" TargetMode="External"/><Relationship Id="rId38" Type="http://schemas.openxmlformats.org/officeDocument/2006/relationships/hyperlink" Target="http://www.sec.gov/Archives/edgar/data/915779/000091577915000068/dakt_ex105x8-kxsomx2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2019-12-28T06:35:11Z</dcterms:created>
  <dcterms:modified xsi:type="dcterms:W3CDTF">2019-12-28T06:35:11Z</dcterms:modified>
</cp:coreProperties>
</file>