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December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342900</wp:posOffset>
            </wp:positionV>
            <wp:extent cx="109728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2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South Dakota</w:t>
            </w: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0-23246</w:t>
            </w:r>
          </w:p>
        </w:tc>
        <w:tc>
          <w:tcPr>
            <w:tcW w:w="18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46-0306862</w:t>
            </w:r>
          </w:p>
        </w:tc>
      </w:tr>
      <w:tr>
        <w:trPr>
          <w:trHeight w:val="256"/>
        </w:trPr>
        <w:tc>
          <w:tcPr>
            <w:tcW w:w="2480" w:type="dxa"/>
            <w:vAlign w:val="bottom"/>
          </w:tcPr>
          <w:p>
            <w:pPr>
              <w:jc w:val="center"/>
              <w:ind w:right="250"/>
              <w:spacing w:after="0"/>
              <w:rPr>
                <w:sz w:val="20"/>
                <w:szCs w:val="20"/>
                <w:color w:val="auto"/>
              </w:rPr>
            </w:pPr>
            <w:r>
              <w:rPr>
                <w:rFonts w:ascii="Arial" w:cs="Arial" w:eastAsia="Arial" w:hAnsi="Arial"/>
                <w:sz w:val="18"/>
                <w:szCs w:val="18"/>
                <w:color w:val="auto"/>
                <w:w w:val="91"/>
              </w:rPr>
              <w:t>(State or Other Jurisdiction of</w:t>
            </w:r>
          </w:p>
        </w:tc>
        <w:tc>
          <w:tcPr>
            <w:tcW w:w="488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1880" w:type="dxa"/>
            <w:vAlign w:val="bottom"/>
          </w:tcPr>
          <w:p>
            <w:pPr>
              <w:jc w:val="center"/>
              <w:ind w:left="430"/>
              <w:spacing w:after="0"/>
              <w:rPr>
                <w:sz w:val="20"/>
                <w:szCs w:val="20"/>
                <w:color w:val="auto"/>
              </w:rPr>
            </w:pPr>
            <w:r>
              <w:rPr>
                <w:rFonts w:ascii="Arial" w:cs="Arial" w:eastAsia="Arial" w:hAnsi="Arial"/>
                <w:sz w:val="18"/>
                <w:szCs w:val="18"/>
                <w:color w:val="auto"/>
                <w:w w:val="93"/>
              </w:rPr>
              <w:t>(I.R.S. Employer</w:t>
            </w:r>
          </w:p>
        </w:tc>
      </w:tr>
      <w:tr>
        <w:trPr>
          <w:trHeight w:val="230"/>
        </w:trPr>
        <w:tc>
          <w:tcPr>
            <w:tcW w:w="2480" w:type="dxa"/>
            <w:vAlign w:val="bottom"/>
          </w:tcPr>
          <w:p>
            <w:pPr>
              <w:jc w:val="center"/>
              <w:ind w:right="230"/>
              <w:spacing w:after="0"/>
              <w:rPr>
                <w:sz w:val="20"/>
                <w:szCs w:val="20"/>
                <w:color w:val="auto"/>
              </w:rPr>
            </w:pPr>
            <w:r>
              <w:rPr>
                <w:rFonts w:ascii="Arial" w:cs="Arial" w:eastAsia="Arial" w:hAnsi="Arial"/>
                <w:sz w:val="18"/>
                <w:szCs w:val="18"/>
                <w:color w:val="auto"/>
                <w:w w:val="93"/>
              </w:rPr>
              <w:t>Incorporation)</w:t>
            </w:r>
          </w:p>
        </w:tc>
        <w:tc>
          <w:tcPr>
            <w:tcW w:w="488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880" w:type="dxa"/>
            <w:vAlign w:val="bottom"/>
          </w:tcPr>
          <w:p>
            <w:pPr>
              <w:jc w:val="center"/>
              <w:ind w:left="450"/>
              <w:spacing w:after="0"/>
              <w:rPr>
                <w:sz w:val="20"/>
                <w:szCs w:val="20"/>
                <w:color w:val="auto"/>
              </w:rPr>
            </w:pPr>
            <w:r>
              <w:rPr>
                <w:rFonts w:ascii="Arial" w:cs="Arial" w:eastAsia="Arial" w:hAnsi="Arial"/>
                <w:sz w:val="18"/>
                <w:szCs w:val="18"/>
                <w:color w:val="auto"/>
                <w:w w:val="95"/>
              </w:rPr>
              <w:t>Identification No.)</w:t>
            </w:r>
          </w:p>
        </w:tc>
      </w:tr>
      <w:tr>
        <w:trPr>
          <w:trHeight w:val="535"/>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201 Daktronics Drive</w:t>
            </w:r>
          </w:p>
        </w:tc>
        <w:tc>
          <w:tcPr>
            <w:tcW w:w="188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Brookings, SD 57006</w:t>
            </w:r>
          </w:p>
        </w:tc>
        <w:tc>
          <w:tcPr>
            <w:tcW w:w="188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 and Zip Code)</w:t>
            </w:r>
          </w:p>
        </w:tc>
        <w:tc>
          <w:tcPr>
            <w:tcW w:w="1880" w:type="dxa"/>
            <w:vAlign w:val="bottom"/>
          </w:tcPr>
          <w:p>
            <w:pPr>
              <w:spacing w:after="0"/>
              <w:rPr>
                <w:sz w:val="20"/>
                <w:szCs w:val="20"/>
                <w:color w:val="auto"/>
              </w:rPr>
            </w:pPr>
          </w:p>
        </w:tc>
      </w:tr>
      <w:tr>
        <w:trPr>
          <w:trHeight w:val="418"/>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(605) 692-0200</w:t>
            </w:r>
          </w:p>
        </w:tc>
        <w:tc>
          <w:tcPr>
            <w:tcW w:w="1880" w:type="dxa"/>
            <w:vAlign w:val="bottom"/>
          </w:tcPr>
          <w:p>
            <w:pPr>
              <w:spacing w:after="0"/>
              <w:rPr>
                <w:sz w:val="24"/>
                <w:szCs w:val="24"/>
                <w:color w:val="auto"/>
              </w:rPr>
            </w:pPr>
          </w:p>
        </w:tc>
      </w:tr>
      <w:tr>
        <w:trPr>
          <w:trHeight w:val="230"/>
        </w:trPr>
        <w:tc>
          <w:tcPr>
            <w:tcW w:w="2480" w:type="dxa"/>
            <w:vAlign w:val="bottom"/>
          </w:tcPr>
          <w:p>
            <w:pPr>
              <w:spacing w:after="0"/>
              <w:rPr>
                <w:sz w:val="20"/>
                <w:szCs w:val="20"/>
                <w:color w:val="auto"/>
              </w:rPr>
            </w:pPr>
          </w:p>
        </w:tc>
        <w:tc>
          <w:tcPr>
            <w:tcW w:w="4880" w:type="dxa"/>
            <w:vAlign w:val="bottom"/>
          </w:tcPr>
          <w:p>
            <w:pPr>
              <w:jc w:val="center"/>
              <w:ind w:right="90"/>
              <w:spacing w:after="0"/>
              <w:rPr>
                <w:sz w:val="20"/>
                <w:szCs w:val="20"/>
                <w:color w:val="auto"/>
              </w:rPr>
            </w:pPr>
            <w:r>
              <w:rPr>
                <w:rFonts w:ascii="Arial" w:cs="Arial" w:eastAsia="Arial" w:hAnsi="Arial"/>
                <w:sz w:val="18"/>
                <w:szCs w:val="18"/>
                <w:color w:val="auto"/>
                <w:w w:val="90"/>
              </w:rPr>
              <w:t>(Registrant's Telephone Number, Including Area Code)</w:t>
            </w:r>
          </w:p>
        </w:tc>
        <w:tc>
          <w:tcPr>
            <w:tcW w:w="188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right="2860" w:firstLine="26"/>
        <w:spacing w:after="0" w:line="595"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ind w:left="1600"/>
              <w:spacing w:after="0"/>
              <w:rPr>
                <w:sz w:val="20"/>
                <w:szCs w:val="20"/>
                <w:color w:val="auto"/>
              </w:rPr>
            </w:pPr>
            <w:r>
              <w:rPr>
                <w:rFonts w:ascii="Arial" w:cs="Arial" w:eastAsia="Arial" w:hAnsi="Arial"/>
                <w:sz w:val="18"/>
                <w:szCs w:val="18"/>
                <w:b w:val="1"/>
                <w:bCs w:val="1"/>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No Par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DAKT</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DAKT</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60"/>
          </w:cols>
          <w:pgMar w:left="320" w:top="1408" w:right="319" w:bottom="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Section 2 - Other Events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December 5, 2022, management of Daktronics, Inc. (the “Company”) determined to delay the release of its scheduled earnings press release and conference call and the filing of the Company’s Quarterly Report on Form 10-Q for the quarter ended October 29, 2022 (the “Form 10-Q”) in order to</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address the determination that there is substantial doubt about the Company’s ability to continue as a going concern and the discovery of a material weakness relating to the lack of adequate and appropriate financial reporting and disclosure related to such determination and the resultant accounting for income taxes. To permit additional time to properly complete the Company’s analysis, the Company will file a Form 12b-25 to extend the filing deadline</w:t>
      </w:r>
    </w:p>
    <w:p>
      <w:pPr>
        <w:spacing w:after="0" w:line="1"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for its Form 10</w:t>
      </w:r>
      <w:r>
        <w:rPr>
          <w:rFonts w:ascii="MS PGothic" w:cs="MS PGothic" w:eastAsia="MS PGothic" w:hAnsi="MS PGothic"/>
          <w:sz w:val="18"/>
          <w:szCs w:val="18"/>
          <w:color w:val="auto"/>
        </w:rPr>
        <w:t>‑</w:t>
      </w:r>
      <w:r>
        <w:rPr>
          <w:rFonts w:ascii="Arial" w:cs="Arial" w:eastAsia="Arial" w:hAnsi="Arial"/>
          <w:sz w:val="18"/>
          <w:szCs w:val="18"/>
          <w:color w:val="auto"/>
        </w:rPr>
        <w:t>Q to December 13, 2022. In addition, the Company has postponed the release of its second fiscal quarter 2023 financial results and its conference call and webcast previously scheduled for Wednesday, December 7, 2022, at 10:00 a.m. Central Time. The Company will now release its second quarter fiscal 2023 financial results on Monday, December 12, 2022, before the market opens and will host a conference call and webcast for all interested parties at 10:00 AM Central Time that day.</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Ongoing supply chain disruptions and inflationary challenges in materials, freight and personnel related costs have and will continue to cause volatility in our cash flow, pricing, order volumes, lead-times, competitiveness, revenue cycles, and production costs. Our ability to fund inventory levels, operations and capital expenditures in the future will be dependent on our ability to generate cash flow from operations in these conditions, to maintain or improve margins, to use funds from our credit facility, and to find other sources of liquidity.</w:t>
      </w:r>
    </w:p>
    <w:p>
      <w:pPr>
        <w:spacing w:after="0" w:line="2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supply chain disruptions have started to ease, and we expect our inventory levels to decline, we cannot be certain we will not experience future disruptions or need additional liquidity to fund inventory levels, operations, and capital expenditures. We will need additional liquidity to meet our obligations as they come due in the 12 months following the date of this Form 12b-25, and we cannot be assured that such liquidity will be available or the form of such liquidity, such as equity raises or debt financing. These conditions raise substantial doubt about our ability to continue as a going concern.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these conditions, we are pursuing additional liquidity through various means, including but not limited to obtaining financing secured by a mortgage on our facilities, a sales-leaseback transaction, leasing property and equipment, and continued focus on reducing working capital. Since these plans are not finalized and are subject to market conditions that are not within our control, they cannot be deemed probable. As a result, we have concluded that our plans do not alleviate substantial doubt about our ability to continue as a going concern.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right="5840" w:firstLine="8"/>
        <w:spacing w:after="0" w:line="623" w:lineRule="auto"/>
        <w:tabs>
          <w:tab w:leader="none" w:pos="64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Exhibits. The following exhibit is furnished as part of this Report: </w:t>
      </w:r>
      <w:r>
        <w:rPr>
          <w:rFonts w:ascii="Arial" w:cs="Arial" w:eastAsia="Arial" w:hAnsi="Arial"/>
          <w:sz w:val="16"/>
          <w:szCs w:val="16"/>
          <w:u w:val="single" w:color="auto"/>
          <w:color w:val="0000FF"/>
        </w:rPr>
        <w:t xml:space="preserve">99.1 Press Release dated </w:t>
      </w:r>
      <w:r>
        <w:rPr>
          <w:rFonts w:ascii="Arial" w:cs="Arial" w:eastAsia="Arial" w:hAnsi="Arial"/>
          <w:sz w:val="16"/>
          <w:szCs w:val="16"/>
          <w:u w:val="single" w:color="auto"/>
          <w:color w:val="0000FF"/>
          <w:highlight w:val="white"/>
        </w:rPr>
        <w:t>December 6, 2022 issued by</w:t>
      </w:r>
      <w:r>
        <w:rPr>
          <w:rFonts w:ascii="Arial" w:cs="Arial" w:eastAsia="Arial" w:hAnsi="Arial"/>
          <w:sz w:val="16"/>
          <w:szCs w:val="16"/>
          <w:u w:val="single" w:color="auto"/>
          <w:color w:val="0000FF"/>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DAKTRONICS, INC.</w:t>
      </w:r>
    </w:p>
    <w:p>
      <w:pPr>
        <w:spacing w:after="0" w:line="324"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Sheila M. Anderson, Chief Financial Officer</w:t>
      </w:r>
    </w:p>
    <w:p>
      <w:pPr>
        <w:spacing w:after="0" w:line="6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Date: December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000FF"/>
        </w:rPr>
        <w:t>99.1  Press Release dated December 6, 2022 issued by Company.</w:t>
      </w:r>
    </w:p>
    <w:p>
      <w:pPr>
        <w:spacing w:after="0" w:line="63"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ectPr>
          <w:pgSz w:w="11900" w:h="16838" w:orient="portrait"/>
          <w:cols w:equalWidth="0" w:num="1">
            <w:col w:w="10119"/>
          </w:cols>
          <w:pgMar w:left="340" w:top="93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2296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0539F"/>
        </w:rPr>
        <w:t>Daktronics, Inc. Announces Date Change for Second Quarter Fiscal 2023 Financial Results</w:t>
      </w:r>
    </w:p>
    <w:p>
      <w:pPr>
        <w:spacing w:after="0" w:line="2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BROOKINGS, SD – December 6, 2022 – Daktronics Inc (Nasdaq – DAKT) announced today that in light of the Company’s announcement in its Current Report on Form 8-K filed today with the Securities and Exchange Commission, it has changed the date and time of its previously announced earnings release and conference call and webcast for its second quarter fiscal 2023 financial results. The Company will now release the second quarter fiscal 2023 financial results on Monday, December 12, 2022, before the market opens. The Company will host a conference call and webcast for all interested parties at 10:00 AM CT that day.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Reece A. Kurtenbach, Chief Executive Officer, and Sheila M. Anderson, Chief Financial Officer, will host the conference call, which will contain forward-looking statements and other material information.</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To listen to the earnings call by phone, participants must pre-register at </w:t>
      </w:r>
      <w:r>
        <w:rPr>
          <w:rFonts w:ascii="Arial" w:cs="Arial" w:eastAsia="Arial" w:hAnsi="Arial"/>
          <w:sz w:val="18"/>
          <w:szCs w:val="18"/>
          <w:color w:val="0000FF"/>
        </w:rPr>
        <w:t>Daktronics Earnings Call Registration</w:t>
      </w:r>
      <w:r>
        <w:rPr>
          <w:rFonts w:ascii="Arial" w:cs="Arial" w:eastAsia="Arial" w:hAnsi="Arial"/>
          <w:sz w:val="18"/>
          <w:szCs w:val="18"/>
          <w:color w:val="auto"/>
        </w:rPr>
        <w:t>. All registrants will receive dial-in information and a PIN allowing access to the live call. A recording will be archived and available for replay later on the 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Those parties who previously registered for the conference call will not need to register again for the call due ot the date change.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may be accessed by a *dial-in number or via the Internet as follows: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Monday, December 12, 2022 at 10:00 AM CT</w:t>
      </w:r>
    </w:p>
    <w:p>
      <w:pPr>
        <w:ind w:left="340"/>
        <w:spacing w:after="0" w:line="234" w:lineRule="auto"/>
        <w:rPr>
          <w:sz w:val="20"/>
          <w:szCs w:val="20"/>
          <w:color w:val="auto"/>
        </w:rPr>
      </w:pPr>
      <w:r>
        <w:rPr>
          <w:rFonts w:ascii="Arial" w:cs="Arial" w:eastAsia="Arial" w:hAnsi="Arial"/>
          <w:sz w:val="18"/>
          <w:szCs w:val="18"/>
          <w:color w:val="auto"/>
        </w:rPr>
        <w:t xml:space="preserve">Dial-In: </w:t>
      </w:r>
      <w:r>
        <w:rPr>
          <w:rFonts w:ascii="Arial" w:cs="Arial" w:eastAsia="Arial" w:hAnsi="Arial"/>
          <w:sz w:val="18"/>
          <w:szCs w:val="18"/>
          <w:color w:val="0000FF"/>
        </w:rPr>
        <w:t>Register Here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color w:val="0000FF"/>
        </w:rPr>
        <w:t>https://edge.media-server.com/mmc/p/rb7uch4z</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*Note: To join by phone, participants will now have to register at the link provided. You will then receive dial-in information and a unique PIN to allow access to the call.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DAKTRONICS</w:t>
      </w:r>
    </w:p>
    <w:p>
      <w:pPr>
        <w:spacing w:after="0" w:line="1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0000FF"/>
        </w:rPr>
        <w:t xml:space="preserve">Daktronics </w:t>
      </w:r>
      <w:r>
        <w:rPr>
          <w:rFonts w:ascii="Arial" w:cs="Arial" w:eastAsia="Arial" w:hAnsi="Arial"/>
          <w:sz w:val="18"/>
          <w:szCs w:val="18"/>
          <w:color w:val="000000"/>
        </w:rPr>
        <w:t>has strong leadership positions in, and is the world's largest supplier of, large-screen video displays, electronic scoreboards, LED text and</w:t>
      </w:r>
      <w:r>
        <w:rPr>
          <w:rFonts w:ascii="Arial" w:cs="Arial" w:eastAsia="Arial" w:hAnsi="Arial"/>
          <w:sz w:val="18"/>
          <w:szCs w:val="18"/>
          <w:color w:val="0000FF"/>
        </w:rPr>
        <w:t xml:space="preserve"> </w:t>
      </w:r>
      <w:r>
        <w:rPr>
          <w:rFonts w:ascii="Arial" w:cs="Arial" w:eastAsia="Arial" w:hAnsi="Arial"/>
          <w:sz w:val="18"/>
          <w:szCs w:val="18"/>
          <w:color w:val="000000"/>
        </w:rPr>
        <w:t>graphics displays, and related control systems. The company excels in the control of display 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 email the company at investor@daktronics.com, call (605) 692-0200 or toll-free (800) 843-5843 in the United States, or write to the company at 201 Daktronics Dr., P.O. Box 5128, Brookings, S.D. 57006-5128.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Cautionary Notice: In addition to statements of historical fact, this news release contains forward-looking statements within the meaning of the Private Securities Litigation Reform Act of 1995 and is intended to enjoy the protection of that Act. </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These forward-looking statements reflect the Company's expectations or beliefs concerning future events. The Company cautions that these and similar statements involve risk and uncertainties which could cause actual results to differ materially from our expectations. Such risks include , but not limited to, changes in economic conditions, changes in the competitive and market landscape, including impacts of global trade discussions and policies, the impact of governmental laws, regulations, and orders, as a result of the COVID-19 pandemic, disruptions to our business caused by geopolitical events, military actions, work stoppages, nature disasters, or international health emergencies, such as the COVID-19 pandemic, management of growth, timing and magnitude of future contracts, fluctuations of margins, the introduction of new products and technology, and other risks described in the company's SEC filings, including its Annual Report on Form 10-K for its 2022 fiscal year. </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w:t>
      </w:r>
    </w:p>
    <w:p>
      <w:pPr>
        <w:sectPr>
          <w:pgSz w:w="11900" w:h="16838" w:orient="portrait"/>
          <w:cols w:equalWidth="0" w:num="1">
            <w:col w:w="11240"/>
          </w:cols>
          <w:pgMar w:left="320" w:top="337"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19" w:lineRule="auto"/>
        <w:rPr>
          <w:sz w:val="20"/>
          <w:szCs w:val="20"/>
          <w:color w:val="auto"/>
        </w:rPr>
      </w:pPr>
      <w:r>
        <w:rPr>
          <w:rFonts w:ascii="Arial" w:cs="Arial" w:eastAsia="Arial" w:hAnsi="Arial"/>
          <w:sz w:val="18"/>
          <w:szCs w:val="18"/>
          <w:color w:val="auto"/>
        </w:rPr>
        <w:t>INVESTOR RELATIONS:</w:t>
      </w:r>
    </w:p>
    <w:p>
      <w:pPr>
        <w:spacing w:after="0" w:line="229" w:lineRule="auto"/>
        <w:rPr>
          <w:sz w:val="20"/>
          <w:szCs w:val="20"/>
          <w:color w:val="auto"/>
        </w:rPr>
      </w:pPr>
      <w:r>
        <w:rPr>
          <w:rFonts w:ascii="Arial" w:cs="Arial" w:eastAsia="Arial" w:hAnsi="Arial"/>
          <w:sz w:val="16"/>
          <w:szCs w:val="16"/>
          <w:color w:val="auto"/>
        </w:rPr>
        <w:t>Sheila M. Anderson, Chief Financial Officer</w:t>
      </w:r>
    </w:p>
    <w:p>
      <w:pPr>
        <w:spacing w:after="0" w:line="203" w:lineRule="auto"/>
        <w:rPr>
          <w:sz w:val="20"/>
          <w:szCs w:val="20"/>
          <w:color w:val="auto"/>
        </w:rPr>
      </w:pPr>
      <w:r>
        <w:rPr>
          <w:rFonts w:ascii="Arial" w:cs="Arial" w:eastAsia="Arial" w:hAnsi="Arial"/>
          <w:sz w:val="18"/>
          <w:szCs w:val="18"/>
          <w:color w:val="auto"/>
        </w:rPr>
        <w:t>Tel (605) 692-0200</w:t>
      </w:r>
    </w:p>
    <w:p>
      <w:pPr>
        <w:spacing w:after="0"/>
        <w:rPr>
          <w:sz w:val="20"/>
          <w:szCs w:val="20"/>
          <w:color w:val="auto"/>
        </w:rPr>
      </w:pPr>
      <w:r>
        <w:rPr>
          <w:rFonts w:ascii="Arial" w:cs="Arial" w:eastAsia="Arial" w:hAnsi="Arial"/>
          <w:sz w:val="18"/>
          <w:szCs w:val="18"/>
          <w:u w:val="single" w:color="auto"/>
          <w:color w:val="auto"/>
        </w:rPr>
        <w:t>Investor@daktronics.com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2022-12-07T05:16:26Z</dcterms:created>
  <dcterms:modified xsi:type="dcterms:W3CDTF">2022-12-07T05:16:26Z</dcterms:modified>
</cp:coreProperties>
</file>