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6455.xml.htm"/>
      <w:bookmarkStart w:id="1" w:name="kswkform4_17842364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Anderson Sheila Mae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27,702</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granted under the Daktronics, Inc. 2025 Stock Incentive Plan. The RSUs vest in four equal annual installments beginning August 23, 2027, subject to certain vesting, forfeiture, and termination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derivative securities beneficially owned represents the aggregate number of unvested restricted stock units beneficially owned by the reporting person following the reported transaction, consisting of: (i) 500 unvested RSUs granted September 2, 2021; (ii) 1,000 unvested RSUs granted September 8, 2022; (iii) 738 unvested RSUs granted September 11, 2023; (iv) 908 unvested RSUs granted September 9, 2024; (v) 9,306 unvested RSUs granted March 5, 2025; (vi) 8,272 unvested RSUs granted July 28, 2025; and (vii) 6,978 unvested RSUs granted July 14, 2026. Such awards vest at varying times pursuant to the terms of the applicable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Sheila M. Anderson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306"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3920</Characters>
  <CharactersWithSpaces>4572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