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ind w:left="4100" w:right="3060" w:hanging="4094"/>
        <w:spacing w:after="0" w:line="28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r>
        <w:rPr>
          <w:rFonts w:ascii="Arial" w:cs="Arial" w:eastAsia="Arial" w:hAnsi="Arial"/>
          <w:sz w:val="16"/>
          <w:szCs w:val="16"/>
          <w:color w:val="auto"/>
        </w:rPr>
        <w:t xml:space="preserve"> For the quarterly period ended November 2, 2019</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9"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10" w:type="dxa"/>
        <w:tblCellMar>
          <w:top w:w="0" w:type="dxa"/>
          <w:left w:w="0" w:type="dxa"/>
          <w:bottom w:w="0" w:type="dxa"/>
          <w:right w:w="0" w:type="dxa"/>
        </w:tblCellMar>
      </w:tblPr>
      <w:tr>
        <w:trPr>
          <w:trHeight w:val="193"/>
        </w:trPr>
        <w:tc>
          <w:tcPr>
            <w:tcW w:w="3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16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2"/>
              </w:rPr>
              <w:t>Daktronics, Inc.</w:t>
            </w:r>
          </w:p>
        </w:tc>
        <w:tc>
          <w:tcPr>
            <w:tcW w:w="4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6"/>
        </w:trPr>
        <w:tc>
          <w:tcPr>
            <w:tcW w:w="340" w:type="dxa"/>
            <w:vAlign w:val="bottom"/>
          </w:tcPr>
          <w:p>
            <w:pPr>
              <w:spacing w:after="0"/>
              <w:rPr>
                <w:sz w:val="17"/>
                <w:szCs w:val="17"/>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(Exact Name of Registrant as Specified in its Charter)</w:t>
            </w:r>
          </w:p>
        </w:tc>
        <w:tc>
          <w:tcPr>
            <w:tcW w:w="240" w:type="dxa"/>
            <w:vAlign w:val="bottom"/>
          </w:tcPr>
          <w:p>
            <w:pPr>
              <w:spacing w:after="0"/>
              <w:rPr>
                <w:sz w:val="17"/>
                <w:szCs w:val="17"/>
                <w:color w:val="auto"/>
              </w:rPr>
            </w:pPr>
          </w:p>
        </w:tc>
      </w:tr>
      <w:tr>
        <w:trPr>
          <w:trHeight w:val="540"/>
        </w:trPr>
        <w:tc>
          <w:tcPr>
            <w:tcW w:w="340" w:type="dxa"/>
            <w:vAlign w:val="bottom"/>
          </w:tcPr>
          <w:p>
            <w:pPr>
              <w:spacing w:after="0"/>
              <w:rPr>
                <w:sz w:val="24"/>
                <w:szCs w:val="24"/>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b w:val="1"/>
                <w:bCs w:val="1"/>
                <w:color w:val="auto"/>
                <w:w w:val="91"/>
              </w:rPr>
              <w:t>South Dakota</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jc w:val="right"/>
              <w:ind w:right="2159"/>
              <w:spacing w:after="0"/>
              <w:rPr>
                <w:sz w:val="20"/>
                <w:szCs w:val="20"/>
                <w:color w:val="auto"/>
              </w:rPr>
            </w:pPr>
            <w:r>
              <w:rPr>
                <w:rFonts w:ascii="Arial" w:cs="Arial" w:eastAsia="Arial" w:hAnsi="Arial"/>
                <w:sz w:val="16"/>
                <w:szCs w:val="16"/>
                <w:b w:val="1"/>
                <w:bCs w:val="1"/>
                <w:color w:val="auto"/>
              </w:rPr>
              <w:t>46-0306862</w:t>
            </w:r>
          </w:p>
        </w:tc>
        <w:tc>
          <w:tcPr>
            <w:tcW w:w="240" w:type="dxa"/>
            <w:vAlign w:val="bottom"/>
          </w:tcPr>
          <w:p>
            <w:pPr>
              <w:spacing w:after="0"/>
              <w:rPr>
                <w:sz w:val="24"/>
                <w:szCs w:val="24"/>
                <w:color w:val="auto"/>
              </w:rPr>
            </w:pPr>
          </w:p>
        </w:tc>
      </w:tr>
      <w:tr>
        <w:trPr>
          <w:trHeight w:val="33"/>
        </w:trPr>
        <w:tc>
          <w:tcPr>
            <w:tcW w:w="3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3"/>
        </w:trPr>
        <w:tc>
          <w:tcPr>
            <w:tcW w:w="340" w:type="dxa"/>
            <w:vAlign w:val="bottom"/>
          </w:tcPr>
          <w:p>
            <w:pPr>
              <w:spacing w:after="0"/>
              <w:rPr>
                <w:sz w:val="18"/>
                <w:szCs w:val="18"/>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color w:val="auto"/>
                <w:w w:val="93"/>
              </w:rPr>
              <w:t>(State or Other Jurisdiction of</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center"/>
              <w:ind w:right="819"/>
              <w:spacing w:after="0"/>
              <w:rPr>
                <w:sz w:val="20"/>
                <w:szCs w:val="20"/>
                <w:color w:val="auto"/>
              </w:rPr>
            </w:pPr>
            <w:r>
              <w:rPr>
                <w:rFonts w:ascii="Arial" w:cs="Arial" w:eastAsia="Arial" w:hAnsi="Arial"/>
                <w:sz w:val="16"/>
                <w:szCs w:val="16"/>
                <w:color w:val="auto"/>
                <w:w w:val="95"/>
              </w:rPr>
              <w:t>(I.R.S. Employer Identification No.)</w:t>
            </w:r>
          </w:p>
        </w:tc>
        <w:tc>
          <w:tcPr>
            <w:tcW w:w="240" w:type="dxa"/>
            <w:vAlign w:val="bottom"/>
          </w:tcPr>
          <w:p>
            <w:pPr>
              <w:spacing w:after="0"/>
              <w:rPr>
                <w:sz w:val="18"/>
                <w:szCs w:val="18"/>
                <w:color w:val="auto"/>
              </w:rPr>
            </w:pPr>
          </w:p>
        </w:tc>
      </w:tr>
      <w:tr>
        <w:trPr>
          <w:trHeight w:val="206"/>
        </w:trPr>
        <w:tc>
          <w:tcPr>
            <w:tcW w:w="340" w:type="dxa"/>
            <w:vAlign w:val="bottom"/>
          </w:tcPr>
          <w:p>
            <w:pPr>
              <w:spacing w:after="0"/>
              <w:rPr>
                <w:sz w:val="17"/>
                <w:szCs w:val="17"/>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color w:val="auto"/>
                <w:w w:val="94"/>
              </w:rPr>
              <w:t>Incorporation or Organization)</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05"/>
        </w:trPr>
        <w:tc>
          <w:tcPr>
            <w:tcW w:w="340" w:type="dxa"/>
            <w:vAlign w:val="bottom"/>
          </w:tcPr>
          <w:p>
            <w:pPr>
              <w:spacing w:after="0"/>
              <w:rPr>
                <w:sz w:val="24"/>
                <w:szCs w:val="24"/>
                <w:color w:val="auto"/>
              </w:rPr>
            </w:pPr>
          </w:p>
        </w:tc>
        <w:tc>
          <w:tcPr>
            <w:tcW w:w="4220" w:type="dxa"/>
            <w:vAlign w:val="bottom"/>
          </w:tcPr>
          <w:p>
            <w:pPr>
              <w:jc w:val="center"/>
              <w:ind w:left="959"/>
              <w:spacing w:after="0"/>
              <w:rPr>
                <w:sz w:val="20"/>
                <w:szCs w:val="20"/>
                <w:color w:val="auto"/>
              </w:rPr>
            </w:pPr>
            <w:r>
              <w:rPr>
                <w:rFonts w:ascii="Arial" w:cs="Arial" w:eastAsia="Arial" w:hAnsi="Arial"/>
                <w:sz w:val="16"/>
                <w:szCs w:val="16"/>
                <w:b w:val="1"/>
                <w:bCs w:val="1"/>
                <w:color w:val="auto"/>
                <w:w w:val="92"/>
              </w:rPr>
              <w:t>201 Daktronics Drive</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b w:val="1"/>
                <w:bCs w:val="1"/>
                <w:color w:val="auto"/>
                <w:w w:val="90"/>
              </w:rPr>
              <w:t>Brookings, SD</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right"/>
              <w:ind w:right="2359"/>
              <w:spacing w:after="0"/>
              <w:rPr>
                <w:sz w:val="20"/>
                <w:szCs w:val="20"/>
                <w:color w:val="auto"/>
              </w:rPr>
            </w:pPr>
            <w:r>
              <w:rPr>
                <w:rFonts w:ascii="Arial" w:cs="Arial" w:eastAsia="Arial" w:hAnsi="Arial"/>
                <w:sz w:val="16"/>
                <w:szCs w:val="16"/>
                <w:b w:val="1"/>
                <w:bCs w:val="1"/>
                <w:color w:val="auto"/>
              </w:rPr>
              <w:t>57006</w:t>
            </w:r>
          </w:p>
        </w:tc>
        <w:tc>
          <w:tcPr>
            <w:tcW w:w="240" w:type="dxa"/>
            <w:vAlign w:val="bottom"/>
          </w:tcPr>
          <w:p>
            <w:pPr>
              <w:spacing w:after="0"/>
              <w:rPr>
                <w:sz w:val="18"/>
                <w:szCs w:val="18"/>
                <w:color w:val="auto"/>
              </w:rPr>
            </w:pPr>
          </w:p>
        </w:tc>
      </w:tr>
      <w:tr>
        <w:trPr>
          <w:trHeight w:val="33"/>
        </w:trPr>
        <w:tc>
          <w:tcPr>
            <w:tcW w:w="3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4220" w:type="dxa"/>
            <w:vAlign w:val="bottom"/>
          </w:tcPr>
          <w:p>
            <w:pPr>
              <w:jc w:val="center"/>
              <w:ind w:left="979"/>
              <w:spacing w:after="0"/>
              <w:rPr>
                <w:sz w:val="20"/>
                <w:szCs w:val="20"/>
                <w:color w:val="auto"/>
              </w:rPr>
            </w:pPr>
            <w:r>
              <w:rPr>
                <w:rFonts w:ascii="Arial" w:cs="Arial" w:eastAsia="Arial" w:hAnsi="Arial"/>
                <w:sz w:val="16"/>
                <w:szCs w:val="16"/>
                <w:color w:val="auto"/>
                <w:w w:val="93"/>
              </w:rPr>
              <w:t>(Address of Principal Executive Offices)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jc w:val="center"/>
              <w:ind w:right="819"/>
              <w:spacing w:after="0"/>
              <w:rPr>
                <w:sz w:val="20"/>
                <w:szCs w:val="20"/>
                <w:color w:val="auto"/>
              </w:rPr>
            </w:pPr>
            <w:r>
              <w:rPr>
                <w:rFonts w:ascii="Arial" w:cs="Arial" w:eastAsia="Arial" w:hAnsi="Arial"/>
                <w:sz w:val="16"/>
                <w:szCs w:val="16"/>
                <w:color w:val="auto"/>
                <w:w w:val="95"/>
              </w:rPr>
              <w:t>(Zip Code)</w:t>
            </w:r>
          </w:p>
        </w:tc>
        <w:tc>
          <w:tcPr>
            <w:tcW w:w="240" w:type="dxa"/>
            <w:vAlign w:val="bottom"/>
          </w:tcPr>
          <w:p>
            <w:pPr>
              <w:spacing w:after="0"/>
              <w:rPr>
                <w:sz w:val="18"/>
                <w:szCs w:val="18"/>
                <w:color w:val="auto"/>
              </w:rPr>
            </w:pPr>
          </w:p>
        </w:tc>
      </w:tr>
      <w:tr>
        <w:trPr>
          <w:trHeight w:val="428"/>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60" w:type="dxa"/>
            <w:vAlign w:val="bottom"/>
            <w:gridSpan w:val="3"/>
          </w:tcPr>
          <w:p>
            <w:pPr>
              <w:jc w:val="center"/>
              <w:ind w:left="59"/>
              <w:spacing w:after="0"/>
              <w:rPr>
                <w:sz w:val="20"/>
                <w:szCs w:val="20"/>
                <w:color w:val="auto"/>
              </w:rPr>
            </w:pPr>
            <w:r>
              <w:rPr>
                <w:rFonts w:ascii="Arial" w:cs="Arial" w:eastAsia="Arial" w:hAnsi="Arial"/>
                <w:sz w:val="16"/>
                <w:szCs w:val="16"/>
                <w:b w:val="1"/>
                <w:bCs w:val="1"/>
                <w:color w:val="auto"/>
                <w:w w:val="93"/>
              </w:rPr>
              <w:t>(605) 692-0200</w:t>
            </w: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6"/>
        </w:trPr>
        <w:tc>
          <w:tcPr>
            <w:tcW w:w="340" w:type="dxa"/>
            <w:vAlign w:val="bottom"/>
          </w:tcPr>
          <w:p>
            <w:pPr>
              <w:spacing w:after="0"/>
              <w:rPr>
                <w:sz w:val="17"/>
                <w:szCs w:val="17"/>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(Registrant’s Telephone Number, Including Area Code)</w:t>
            </w:r>
          </w:p>
        </w:tc>
        <w:tc>
          <w:tcPr>
            <w:tcW w:w="240" w:type="dxa"/>
            <w:vAlign w:val="bottom"/>
          </w:tcPr>
          <w:p>
            <w:pPr>
              <w:spacing w:after="0"/>
              <w:rPr>
                <w:sz w:val="17"/>
                <w:szCs w:val="17"/>
                <w:color w:val="auto"/>
              </w:rPr>
            </w:pPr>
          </w:p>
        </w:tc>
      </w:tr>
      <w:tr>
        <w:trPr>
          <w:trHeight w:val="378"/>
        </w:trPr>
        <w:tc>
          <w:tcPr>
            <w:tcW w:w="340" w:type="dxa"/>
            <w:vAlign w:val="bottom"/>
          </w:tcPr>
          <w:p>
            <w:pPr>
              <w:spacing w:after="0"/>
              <w:rPr>
                <w:sz w:val="24"/>
                <w:szCs w:val="24"/>
                <w:color w:val="auto"/>
              </w:rPr>
            </w:pPr>
          </w:p>
        </w:tc>
        <w:tc>
          <w:tcPr>
            <w:tcW w:w="107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40" w:type="dxa"/>
            <w:vAlign w:val="bottom"/>
          </w:tcPr>
          <w:p>
            <w:pPr>
              <w:spacing w:after="0"/>
              <w:rPr>
                <w:sz w:val="24"/>
                <w:szCs w:val="24"/>
                <w:color w:val="auto"/>
              </w:rPr>
            </w:pPr>
          </w:p>
        </w:tc>
      </w:tr>
      <w:tr>
        <w:trPr>
          <w:trHeight w:val="128"/>
        </w:trPr>
        <w:tc>
          <w:tcPr>
            <w:tcW w:w="34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tcPr>
          <w:p>
            <w:pPr>
              <w:spacing w:after="0"/>
              <w:rPr>
                <w:sz w:val="11"/>
                <w:szCs w:val="11"/>
                <w:color w:val="auto"/>
              </w:rPr>
            </w:pPr>
          </w:p>
        </w:tc>
        <w:tc>
          <w:tcPr>
            <w:tcW w:w="4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220" w:type="dxa"/>
            <w:vAlign w:val="bottom"/>
            <w:tcBorders>
              <w:right w:val="single" w:sz="8" w:color="auto"/>
            </w:tcBorders>
          </w:tcPr>
          <w:p>
            <w:pPr>
              <w:ind w:left="1340"/>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2"/>
              </w:rPr>
              <w:t>Trading Symbol(s)</w:t>
            </w:r>
          </w:p>
        </w:tc>
        <w:tc>
          <w:tcPr>
            <w:tcW w:w="4380" w:type="dxa"/>
            <w:vAlign w:val="bottom"/>
          </w:tcPr>
          <w:p>
            <w:pPr>
              <w:jc w:val="center"/>
              <w:ind w:left="139"/>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240" w:type="dxa"/>
            <w:vAlign w:val="bottom"/>
            <w:tcBorders>
              <w:right w:val="single" w:sz="8" w:color="auto"/>
            </w:tcBorders>
          </w:tcPr>
          <w:p>
            <w:pPr>
              <w:spacing w:after="0"/>
              <w:rPr>
                <w:sz w:val="18"/>
                <w:szCs w:val="18"/>
                <w:color w:val="auto"/>
              </w:rPr>
            </w:pPr>
          </w:p>
        </w:tc>
      </w:tr>
      <w:tr>
        <w:trPr>
          <w:trHeight w:val="33"/>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160" w:type="dxa"/>
            <w:vAlign w:val="bottom"/>
            <w:tcBorders>
              <w:bottom w:val="single" w:sz="8" w:color="auto"/>
              <w:right w:val="single" w:sz="8" w:color="auto"/>
            </w:tcBorders>
            <w:gridSpan w:val="3"/>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Common Stock, No Par Value</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DAKT</w:t>
            </w:r>
          </w:p>
        </w:tc>
        <w:tc>
          <w:tcPr>
            <w:tcW w:w="4380" w:type="dxa"/>
            <w:vAlign w:val="bottom"/>
          </w:tcPr>
          <w:p>
            <w:pPr>
              <w:jc w:val="center"/>
              <w:ind w:left="119"/>
              <w:spacing w:after="0"/>
              <w:rPr>
                <w:sz w:val="20"/>
                <w:szCs w:val="20"/>
                <w:color w:val="auto"/>
              </w:rPr>
            </w:pPr>
            <w:r>
              <w:rPr>
                <w:rFonts w:ascii="Arial" w:cs="Arial" w:eastAsia="Arial" w:hAnsi="Arial"/>
                <w:sz w:val="16"/>
                <w:szCs w:val="16"/>
                <w:color w:val="auto"/>
                <w:w w:val="95"/>
              </w:rPr>
              <w:t>NASDAQ Global Select Market</w:t>
            </w:r>
          </w:p>
        </w:tc>
        <w:tc>
          <w:tcPr>
            <w:tcW w:w="240" w:type="dxa"/>
            <w:vAlign w:val="bottom"/>
            <w:tcBorders>
              <w:right w:val="single" w:sz="8" w:color="auto"/>
            </w:tcBorders>
          </w:tcPr>
          <w:p>
            <w:pPr>
              <w:spacing w:after="0"/>
              <w:rPr>
                <w:sz w:val="18"/>
                <w:szCs w:val="18"/>
                <w:color w:val="auto"/>
              </w:rPr>
            </w:pPr>
          </w:p>
        </w:tc>
      </w:tr>
      <w:tr>
        <w:trPr>
          <w:trHeight w:val="33"/>
        </w:trPr>
        <w:tc>
          <w:tcPr>
            <w:tcW w:w="4560" w:type="dxa"/>
            <w:vAlign w:val="bottom"/>
            <w:tcBorders>
              <w:left w:val="single" w:sz="8" w:color="auto"/>
              <w:bottom w:val="single" w:sz="8" w:color="auto"/>
              <w:right w:val="single" w:sz="8" w:color="auto"/>
            </w:tcBorders>
            <w:gridSpan w:val="2"/>
          </w:tcPr>
          <w:p>
            <w:pPr>
              <w:spacing w:after="0"/>
              <w:rPr>
                <w:sz w:val="2"/>
                <w:szCs w:val="2"/>
                <w:color w:val="auto"/>
              </w:rPr>
            </w:pPr>
          </w:p>
        </w:tc>
        <w:tc>
          <w:tcPr>
            <w:tcW w:w="2160" w:type="dxa"/>
            <w:vAlign w:val="bottom"/>
            <w:tcBorders>
              <w:bottom w:val="single" w:sz="8" w:color="auto"/>
              <w:right w:val="single" w:sz="8" w:color="auto"/>
            </w:tcBorders>
            <w:gridSpan w:val="3"/>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17"/>
        </w:trPr>
        <w:tc>
          <w:tcPr>
            <w:tcW w:w="4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Preferred Stock Purchase Rights</w:t>
            </w:r>
          </w:p>
        </w:tc>
        <w:tc>
          <w:tcPr>
            <w:tcW w:w="2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6"/>
                <w:szCs w:val="16"/>
                <w:color w:val="auto"/>
              </w:rPr>
              <w:t>DAKT</w:t>
            </w:r>
          </w:p>
        </w:tc>
        <w:tc>
          <w:tcPr>
            <w:tcW w:w="4380" w:type="dxa"/>
            <w:vAlign w:val="bottom"/>
          </w:tcPr>
          <w:p>
            <w:pPr>
              <w:jc w:val="center"/>
              <w:ind w:left="119"/>
              <w:spacing w:after="0"/>
              <w:rPr>
                <w:sz w:val="20"/>
                <w:szCs w:val="20"/>
                <w:color w:val="auto"/>
              </w:rPr>
            </w:pPr>
            <w:r>
              <w:rPr>
                <w:rFonts w:ascii="Arial" w:cs="Arial" w:eastAsia="Arial" w:hAnsi="Arial"/>
                <w:sz w:val="16"/>
                <w:szCs w:val="16"/>
                <w:color w:val="auto"/>
                <w:w w:val="95"/>
              </w:rPr>
              <w:t>NASDAQ Global Select Market</w:t>
            </w:r>
          </w:p>
        </w:tc>
        <w:tc>
          <w:tcPr>
            <w:tcW w:w="240" w:type="dxa"/>
            <w:vAlign w:val="bottom"/>
            <w:tcBorders>
              <w:right w:val="single" w:sz="8" w:color="auto"/>
            </w:tcBorders>
          </w:tcPr>
          <w:p>
            <w:pPr>
              <w:spacing w:after="0"/>
              <w:rPr>
                <w:sz w:val="18"/>
                <w:szCs w:val="18"/>
                <w:color w:val="auto"/>
              </w:rPr>
            </w:pPr>
          </w:p>
        </w:tc>
      </w:tr>
      <w:tr>
        <w:trPr>
          <w:trHeight w:val="33"/>
        </w:trPr>
        <w:tc>
          <w:tcPr>
            <w:tcW w:w="340" w:type="dxa"/>
            <w:vAlign w:val="bottom"/>
            <w:tcBorders>
              <w:left w:val="single" w:sz="8" w:color="auto"/>
              <w:bottom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4"/>
          <w:szCs w:val="24"/>
          <w:color w:val="auto"/>
        </w:rPr>
      </w:pPr>
    </w:p>
    <w:p>
      <w:pPr>
        <w:jc w:val="both"/>
        <w:ind w:right="20"/>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155"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41"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4340"/>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5160" w:space="720"/>
            <w:col w:w="5540"/>
          </w:cols>
          <w:pgMar w:left="240" w:top="441"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5160" w:space="720"/>
            <w:col w:w="5540"/>
          </w:cols>
          <w:pgMar w:left="240" w:top="441" w:right="239" w:bottom="1440" w:gutter="0" w:footer="0" w:header="0"/>
          <w:type w:val="continuous"/>
        </w:sectPr>
      </w:pPr>
    </w:p>
    <w:p>
      <w:pPr>
        <w:ind w:left="588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441" w:right="239" w:bottom="1440" w:gutter="0" w:footer="0" w:header="0"/>
          <w:type w:val="continuous"/>
        </w:sectPr>
      </w:pPr>
    </w:p>
    <w:p>
      <w:pPr>
        <w:spacing w:after="0" w:line="25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November 25, 2019 was 45,147,549.</w:t>
      </w:r>
    </w:p>
    <w:p>
      <w:pPr>
        <w:sectPr>
          <w:pgSz w:w="11900" w:h="16838" w:orient="portrait"/>
          <w:cols w:equalWidth="0" w:num="1">
            <w:col w:w="11420"/>
          </w:cols>
          <w:pgMar w:left="240" w:top="441"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November 2, 2019</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gridSpan w:val="4"/>
          </w:tcPr>
          <w:p>
            <w:pPr>
              <w:ind w:left="92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920" w:type="dxa"/>
            <w:vAlign w:val="bottom"/>
            <w:gridSpan w:val="16"/>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2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120" w:type="dxa"/>
            <w:vAlign w:val="bottom"/>
            <w:gridSpan w:val="3"/>
          </w:tcPr>
          <w:p>
            <w:pPr>
              <w:ind w:left="9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1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November 2, 2019 and April 27, 2019</w:t>
              </w:r>
            </w:hyperlink>
          </w:p>
        </w:tc>
        <w:tc>
          <w:tcPr>
            <w:tcW w:w="1940" w:type="dxa"/>
            <w:vAlign w:val="bottom"/>
            <w:gridSpan w:val="5"/>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Six Months Ended November</w:t>
              </w:r>
            </w:hyperlink>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2, 2019 and October 27, 2018</w:t>
              </w:r>
            </w:hyperlink>
          </w:p>
        </w:tc>
        <w:tc>
          <w:tcPr>
            <w:tcW w:w="592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for the Three and Six Months</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November 2, 2019 and October 27, 2018</w:t>
              </w:r>
            </w:hyperlink>
          </w:p>
        </w:tc>
        <w:tc>
          <w:tcPr>
            <w:tcW w:w="1320" w:type="dxa"/>
            <w:vAlign w:val="bottom"/>
            <w:gridSpan w:val="4"/>
          </w:tcPr>
          <w:p>
            <w:pPr>
              <w:spacing w:after="0"/>
              <w:rPr>
                <w:sz w:val="17"/>
                <w:szCs w:val="17"/>
                <w:color w:val="auto"/>
              </w:rPr>
            </w:pPr>
          </w:p>
        </w:tc>
        <w:tc>
          <w:tcPr>
            <w:tcW w:w="1120" w:type="dxa"/>
            <w:vAlign w:val="bottom"/>
            <w:gridSpan w:val="3"/>
          </w:tcPr>
          <w:p>
            <w:pPr>
              <w:ind w:left="94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Shareholders' Equity for the Three and Six Months Ended</w:t>
              </w:r>
            </w:hyperlink>
          </w:p>
        </w:tc>
        <w:tc>
          <w:tcPr>
            <w:tcW w:w="102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November 2, 2019 and October 27, 2018</w:t>
              </w:r>
            </w:hyperlink>
          </w:p>
        </w:tc>
        <w:tc>
          <w:tcPr>
            <w:tcW w:w="1120" w:type="dxa"/>
            <w:vAlign w:val="bottom"/>
            <w:gridSpan w:val="3"/>
          </w:tcPr>
          <w:p>
            <w:pPr>
              <w:ind w:left="9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Six Months Ended November 2, 2019</w:t>
              </w:r>
            </w:hyperlink>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and October 27, 2018</w:t>
              </w:r>
            </w:hyperlink>
          </w:p>
        </w:tc>
        <w:tc>
          <w:tcPr>
            <w:tcW w:w="5440" w:type="dxa"/>
            <w:vAlign w:val="bottom"/>
            <w:tcBorders>
              <w:top w:val="single" w:sz="8" w:color="0000EE"/>
            </w:tcBorders>
            <w:gridSpan w:val="11"/>
          </w:tcPr>
          <w:p>
            <w:pPr>
              <w:spacing w:after="0"/>
              <w:rPr>
                <w:sz w:val="17"/>
                <w:szCs w:val="17"/>
                <w:color w:val="auto"/>
              </w:rPr>
            </w:pPr>
          </w:p>
        </w:tc>
        <w:tc>
          <w:tcPr>
            <w:tcW w:w="106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7</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the Condensed Consolidated Financial Statements</w:t>
              </w:r>
            </w:hyperlink>
          </w:p>
        </w:tc>
        <w:tc>
          <w:tcPr>
            <w:tcW w:w="3800" w:type="dxa"/>
            <w:vAlign w:val="bottom"/>
            <w:gridSpan w:val="7"/>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8620" w:type="dxa"/>
            <w:vAlign w:val="bottom"/>
            <w:gridSpan w:val="2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280" w:type="dxa"/>
            <w:vAlign w:val="bottom"/>
            <w:gridSpan w:val="4"/>
          </w:tcPr>
          <w:p>
            <w:pPr>
              <w:ind w:left="940"/>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3.</w:t>
              </w:r>
            </w:hyperlink>
          </w:p>
        </w:tc>
        <w:tc>
          <w:tcPr>
            <w:tcW w:w="8620" w:type="dxa"/>
            <w:vAlign w:val="bottom"/>
            <w:gridSpan w:val="2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280" w:type="dxa"/>
            <w:vAlign w:val="bottom"/>
            <w:gridSpan w:val="4"/>
          </w:tcPr>
          <w:p>
            <w:pPr>
              <w:ind w:left="94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280" w:type="dxa"/>
            <w:vAlign w:val="bottom"/>
            <w:tcBorders>
              <w:left w:val="single" w:sz="8" w:color="0000FF"/>
            </w:tcBorders>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w:t>
              </w:r>
            </w:hyperlink>
          </w:p>
        </w:tc>
        <w:tc>
          <w:tcPr>
            <w:tcW w:w="8620" w:type="dxa"/>
            <w:vAlign w:val="bottom"/>
            <w:gridSpan w:val="2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1280" w:type="dxa"/>
            <w:vAlign w:val="bottom"/>
            <w:gridSpan w:val="4"/>
          </w:tcPr>
          <w:p>
            <w:pPr>
              <w:ind w:left="94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w:t>
              </w:r>
            </w:hyperlink>
          </w:p>
        </w:tc>
        <w:tc>
          <w:tcPr>
            <w:tcW w:w="8620" w:type="dxa"/>
            <w:vAlign w:val="bottom"/>
            <w:gridSpan w:val="23"/>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Other Information</w:t>
              </w:r>
            </w:hyperlink>
          </w:p>
        </w:tc>
        <w:tc>
          <w:tcPr>
            <w:tcW w:w="1280" w:type="dxa"/>
            <w:vAlign w:val="bottom"/>
            <w:gridSpan w:val="4"/>
          </w:tcPr>
          <w:p>
            <w:pPr>
              <w:ind w:left="94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Item 1.</w:t>
              </w:r>
            </w:hyperlink>
          </w:p>
        </w:tc>
        <w:tc>
          <w:tcPr>
            <w:tcW w:w="80" w:type="dxa"/>
            <w:vAlign w:val="bottom"/>
            <w:tcBorders>
              <w:bottom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35">
              <w:r>
                <w:rPr>
                  <w:rFonts w:ascii="Arial" w:cs="Arial" w:eastAsia="Arial" w:hAnsi="Arial"/>
                  <w:sz w:val="18"/>
                  <w:szCs w:val="18"/>
                  <w:color w:val="0000FF"/>
                  <w:w w:val="87"/>
                </w:rPr>
                <w:t>Legal Proceedings</w:t>
              </w:r>
            </w:hyperlink>
          </w:p>
        </w:tc>
        <w:tc>
          <w:tcPr>
            <w:tcW w:w="120" w:type="dxa"/>
            <w:vAlign w:val="bottom"/>
          </w:tcPr>
          <w:p>
            <w:pPr>
              <w:spacing w:after="0"/>
              <w:rPr>
                <w:sz w:val="21"/>
                <w:szCs w:val="21"/>
                <w:color w:val="auto"/>
              </w:rPr>
            </w:pPr>
          </w:p>
        </w:tc>
        <w:tc>
          <w:tcPr>
            <w:tcW w:w="7180" w:type="dxa"/>
            <w:vAlign w:val="bottom"/>
            <w:gridSpan w:val="17"/>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5">
              <w:r>
                <w:rPr>
                  <w:rFonts w:ascii="Arial" w:cs="Arial" w:eastAsia="Arial" w:hAnsi="Arial"/>
                  <w:sz w:val="18"/>
                  <w:szCs w:val="18"/>
                  <w:color w:val="0000FF"/>
                  <w:w w:val="87"/>
                </w:rPr>
                <w:t>Risk Factors</w:t>
              </w:r>
            </w:hyperlink>
          </w:p>
        </w:tc>
        <w:tc>
          <w:tcPr>
            <w:tcW w:w="7720" w:type="dxa"/>
            <w:vAlign w:val="bottom"/>
            <w:gridSpan w:val="20"/>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w:t>
              </w:r>
            </w:hyperlink>
          </w:p>
        </w:tc>
        <w:tc>
          <w:tcPr>
            <w:tcW w:w="180" w:type="dxa"/>
            <w:vAlign w:val="bottom"/>
          </w:tcPr>
          <w:p>
            <w:pPr>
              <w:spacing w:after="0"/>
              <w:rPr>
                <w:sz w:val="21"/>
                <w:szCs w:val="21"/>
                <w:color w:val="auto"/>
              </w:rPr>
            </w:pPr>
          </w:p>
        </w:tc>
        <w:tc>
          <w:tcPr>
            <w:tcW w:w="8620" w:type="dxa"/>
            <w:vAlign w:val="bottom"/>
            <w:gridSpan w:val="2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Unregistered Sales of Equity Securities and Use of Proceeds</w:t>
              </w:r>
            </w:hyperlink>
          </w:p>
        </w:tc>
        <w:tc>
          <w:tcPr>
            <w:tcW w:w="1280" w:type="dxa"/>
            <w:vAlign w:val="bottom"/>
            <w:gridSpan w:val="4"/>
          </w:tcPr>
          <w:p>
            <w:pPr>
              <w:ind w:left="94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28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w:t>
              </w:r>
            </w:hyperlink>
          </w:p>
        </w:tc>
        <w:tc>
          <w:tcPr>
            <w:tcW w:w="8620" w:type="dxa"/>
            <w:vAlign w:val="bottom"/>
            <w:gridSpan w:val="2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1280" w:type="dxa"/>
            <w:vAlign w:val="bottom"/>
            <w:gridSpan w:val="4"/>
          </w:tcPr>
          <w:p>
            <w:pPr>
              <w:ind w:left="9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50"/>
        </w:trPr>
        <w:tc>
          <w:tcPr>
            <w:tcW w:w="820" w:type="dxa"/>
            <w:vAlign w:val="bottom"/>
            <w:tcBorders>
              <w:top w:val="single" w:sz="8" w:color="0000FF"/>
            </w:tcBorders>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2300" w:type="dxa"/>
            <w:vAlign w:val="bottom"/>
            <w:tcBorders>
              <w:top w:val="single" w:sz="8" w:color="0000FF"/>
            </w:tcBorders>
            <w:gridSpan w:val="1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6320" w:type="dxa"/>
            <w:vAlign w:val="bottom"/>
            <w:gridSpan w:val="13"/>
          </w:tcPr>
          <w:p>
            <w:pPr>
              <w:spacing w:after="0"/>
              <w:rPr>
                <w:sz w:val="21"/>
                <w:szCs w:val="21"/>
                <w:color w:val="auto"/>
              </w:rPr>
            </w:pPr>
          </w:p>
        </w:tc>
        <w:tc>
          <w:tcPr>
            <w:tcW w:w="1280" w:type="dxa"/>
            <w:vAlign w:val="bottom"/>
            <w:gridSpan w:val="4"/>
          </w:tcPr>
          <w:p>
            <w:pPr>
              <w:ind w:left="9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6860" w:type="dxa"/>
            <w:vAlign w:val="bottom"/>
            <w:gridSpan w:val="1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5.</w:t>
              </w:r>
            </w:hyperlink>
          </w:p>
        </w:tc>
        <w:tc>
          <w:tcPr>
            <w:tcW w:w="8620" w:type="dxa"/>
            <w:vAlign w:val="bottom"/>
            <w:gridSpan w:val="2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1280" w:type="dxa"/>
            <w:vAlign w:val="bottom"/>
            <w:gridSpan w:val="4"/>
          </w:tcPr>
          <w:p>
            <w:pPr>
              <w:ind w:left="9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20" w:type="dxa"/>
            <w:vAlign w:val="bottom"/>
            <w:gridSpan w:val="1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6.</w:t>
              </w:r>
            </w:hyperlink>
          </w:p>
        </w:tc>
        <w:tc>
          <w:tcPr>
            <w:tcW w:w="8620" w:type="dxa"/>
            <w:vAlign w:val="bottom"/>
            <w:gridSpan w:val="2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1280" w:type="dxa"/>
            <w:vAlign w:val="bottom"/>
            <w:gridSpan w:val="4"/>
          </w:tcPr>
          <w:p>
            <w:pPr>
              <w:ind w:left="94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40" w:type="dxa"/>
            <w:vAlign w:val="bottom"/>
            <w:gridSpan w:val="2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7">
              <w:r>
                <w:rPr>
                  <w:rFonts w:ascii="Arial" w:cs="Arial" w:eastAsia="Arial" w:hAnsi="Arial"/>
                  <w:sz w:val="18"/>
                  <w:szCs w:val="18"/>
                  <w:b w:val="1"/>
                  <w:bCs w:val="1"/>
                  <w:color w:val="0000FF"/>
                  <w:w w:val="83"/>
                </w:rPr>
                <w:t>Signatures</w:t>
              </w:r>
            </w:hyperlink>
          </w:p>
        </w:tc>
        <w:tc>
          <w:tcPr>
            <w:tcW w:w="8620" w:type="dxa"/>
            <w:vAlign w:val="bottom"/>
            <w:gridSpan w:val="23"/>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8">
              <w:r>
                <w:rPr>
                  <w:rFonts w:ascii="Arial" w:cs="Arial" w:eastAsia="Arial" w:hAnsi="Arial"/>
                  <w:sz w:val="18"/>
                  <w:szCs w:val="18"/>
                  <w:b w:val="1"/>
                  <w:bCs w:val="1"/>
                  <w:color w:val="0000FF"/>
                  <w:w w:val="90"/>
                </w:rPr>
                <w:t>Index to Exhibits</w:t>
              </w:r>
            </w:hyperlink>
          </w:p>
        </w:tc>
        <w:tc>
          <w:tcPr>
            <w:tcW w:w="8120" w:type="dxa"/>
            <w:vAlign w:val="bottom"/>
            <w:gridSpan w:val="22"/>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53" w:right="8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84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1000" w:type="dxa"/>
            <w:vAlign w:val="bottom"/>
          </w:tcPr>
          <w:p>
            <w:pPr>
              <w:spacing w:after="0"/>
              <w:rPr>
                <w:sz w:val="24"/>
                <w:szCs w:val="24"/>
                <w:color w:val="auto"/>
              </w:rPr>
            </w:pPr>
          </w:p>
        </w:tc>
        <w:tc>
          <w:tcPr>
            <w:tcW w:w="7440" w:type="dxa"/>
            <w:vAlign w:val="bottom"/>
          </w:tcPr>
          <w:p>
            <w:pPr>
              <w:jc w:val="center"/>
              <w:ind w:left="1710"/>
              <w:spacing w:after="0"/>
              <w:rPr>
                <w:sz w:val="20"/>
                <w:szCs w:val="20"/>
                <w:color w:val="auto"/>
              </w:rPr>
            </w:pPr>
            <w:r>
              <w:rPr>
                <w:rFonts w:ascii="Arial" w:cs="Arial" w:eastAsia="Arial" w:hAnsi="Arial"/>
                <w:sz w:val="18"/>
                <w:szCs w:val="18"/>
                <w:b w:val="1"/>
                <w:bCs w:val="1"/>
                <w:color w:val="auto"/>
              </w:rPr>
              <w:t>DAKTRONICS, INC. AND SUBSIDIARIES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7440" w:type="dxa"/>
            <w:vAlign w:val="bottom"/>
          </w:tcPr>
          <w:p>
            <w:pPr>
              <w:jc w:val="center"/>
              <w:ind w:left="17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7440" w:type="dxa"/>
            <w:vAlign w:val="bottom"/>
          </w:tcPr>
          <w:p>
            <w:pPr>
              <w:jc w:val="center"/>
              <w:ind w:left="1730"/>
              <w:spacing w:after="0"/>
              <w:rPr>
                <w:sz w:val="20"/>
                <w:szCs w:val="20"/>
                <w:color w:val="auto"/>
              </w:rPr>
            </w:pPr>
            <w:r>
              <w:rPr>
                <w:rFonts w:ascii="Arial" w:cs="Arial" w:eastAsia="Arial" w:hAnsi="Arial"/>
                <w:sz w:val="18"/>
                <w:szCs w:val="18"/>
                <w:color w:val="auto"/>
                <w:w w:val="87"/>
              </w:rPr>
              <w:t>(in thousands, except per share data)</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7440" w:type="dxa"/>
            <w:vAlign w:val="bottom"/>
          </w:tcPr>
          <w:p>
            <w:pPr>
              <w:jc w:val="center"/>
              <w:ind w:left="173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10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w:t>
            </w:r>
          </w:p>
        </w:tc>
        <w:tc>
          <w:tcPr>
            <w:tcW w:w="20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103,417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65,487</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78,832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33,704</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9,943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Property and equipment and other assets available for sale</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253,673</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65,314</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378,409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349,216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47,178</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32,061</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Warranty obligations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7"/>
        </w:trPr>
        <w:tc>
          <w:tcPr>
            <w:tcW w:w="844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144,111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134,072</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Long-term warranty obligations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contract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Other long-term obligations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43"/>
        </w:trPr>
        <w:tc>
          <w:tcPr>
            <w:tcW w:w="8440" w:type="dxa"/>
            <w:vAlign w:val="bottom"/>
            <w:gridSpan w:val="2"/>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4" w:right="419" w:bottom="1440" w:gutter="0" w:footer="0" w:header="0"/>
        </w:sectPr>
      </w:pP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240" w:top="114" w:right="41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115,000,000 shares; 45,722,110 and 45,317,267</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at November 2, 2019 and April 27, 2019, respectively</w:t>
            </w:r>
          </w:p>
        </w:tc>
        <w:tc>
          <w:tcPr>
            <w:tcW w:w="1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59,276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57,699</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103,397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93,593</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at cost, 573,775 and 303,957 shares at November 2, 2019 and April 27, 2019,</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(4,356)</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378,409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349,216</w:t>
            </w:r>
          </w:p>
        </w:tc>
      </w:tr>
      <w:tr>
        <w:trPr>
          <w:trHeight w:val="163"/>
        </w:trPr>
        <w:tc>
          <w:tcPr>
            <w:tcW w:w="8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122" w:right="4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November 2,</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27,</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27,</w:t>
            </w:r>
          </w:p>
        </w:tc>
      </w:tr>
      <w:tr>
        <w:trPr>
          <w:trHeight w:val="234"/>
        </w:trPr>
        <w:tc>
          <w:tcPr>
            <w:tcW w:w="5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174,911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172,692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326,880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134,824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129,935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269,575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245,876</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40,087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85,592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81,004</w:t>
            </w:r>
          </w:p>
        </w:tc>
      </w:tr>
      <w:tr>
        <w:trPr>
          <w:trHeight w:val="284"/>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Selling</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16,177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34,474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32,503</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17,111</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10,121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18,331</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35,263</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33,738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73,153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67,945</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4,824</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13,059</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Nonoperating (expense) income: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77"/>
        </w:trPr>
        <w:tc>
          <w:tcPr>
            <w:tcW w:w="50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13,183</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7,274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14,304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5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45,115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44,780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45,114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44,717</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45,267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44,994</w:t>
            </w:r>
          </w:p>
        </w:tc>
      </w:tr>
      <w:tr>
        <w:trPr>
          <w:trHeight w:val="284"/>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0"/>
        </w:trPr>
        <w:tc>
          <w:tcPr>
            <w:tcW w:w="5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27,</w:t>
            </w:r>
          </w:p>
        </w:tc>
      </w:tr>
      <w:tr>
        <w:trPr>
          <w:trHeight w:val="234"/>
        </w:trPr>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r>
      <w:tr>
        <w:trPr>
          <w:trHeight w:val="284"/>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(1,694)</w:t>
            </w:r>
          </w:p>
        </w:tc>
      </w:tr>
      <w:tr>
        <w:trPr>
          <w:trHeight w:val="27"/>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Unrealized gain (loss) on available-for-sale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7"/>
        </w:trPr>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13,968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11,479</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123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8"/>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187,663</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7,030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($0.05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Treasury stock purchase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August 3, 2019</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192,193</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Tax payments related to RSU issuances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($0.05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purchase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as of November 2,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59,276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43,546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103,397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198,011</w:t>
            </w:r>
          </w:p>
        </w:tc>
      </w:tr>
      <w:tr>
        <w:trPr>
          <w:trHeight w:val="311"/>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8"/>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197,616</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4,574</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(3,121)</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July 28, 2018</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108,558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199,445</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Tax payments related to RSU issuances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declared ($0.07 per share)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as of October 27,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55,608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41,345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114,033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204,737</w:t>
            </w:r>
          </w:p>
        </w:tc>
      </w:tr>
      <w:tr>
        <w:trPr>
          <w:trHeight w:val="311"/>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8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27,</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Gain (loss) on sale of property, equipment and other assets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Contingent consideration adjustment</w:t>
            </w:r>
          </w:p>
        </w:tc>
        <w:tc>
          <w:tcPr>
            <w:tcW w:w="14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loss of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(34,156)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(9,768)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Purchases of and loans to equity investment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12,260</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(8,312)</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35,742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29,755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29,324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1,469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ESPP</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1" w:right="259" w:bottom="62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1" w:right="259" w:bottom="624"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left="260" w:right="2540"/>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The balance sheet at April 27, 2019, has been derived from the audited financial statements at that date, but it does not include all the information and footnotes required by GAAP for complete financial statements. These financial statements should be read in conjunction with our financial statements and notes thereto for the year ended April 27, 2019,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April 27, 2019 consisted of 52 weeks. Fiscal 2020 will be a 53-week year; therefore, the six months ended November 2, 2019 contains operating results for 27 weeks while the six months ended October 27, 2018 contains operating results for 26 weeks.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 of cash flows: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October 27,</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35,557</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Total cash, cash equivalents, and restricted cash shown in the condensed consolidated statement of cash</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29,324</w:t>
            </w:r>
          </w:p>
        </w:tc>
        <w:tc>
          <w:tcPr>
            <w:tcW w:w="2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flows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and estimates as described in our Annual Report on Form 10-K for the fiscal year ended April 27, 2019, other than described in the Accounting Standards Adopted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In July 2018, the FASB issued ASU 2018-10, </w:t>
      </w:r>
      <w:r>
        <w:rPr>
          <w:rFonts w:ascii="Arial" w:cs="Arial" w:eastAsia="Arial" w:hAnsi="Arial"/>
          <w:sz w:val="17"/>
          <w:szCs w:val="17"/>
          <w:i w:val="1"/>
          <w:iCs w:val="1"/>
          <w:color w:val="auto"/>
        </w:rPr>
        <w:t xml:space="preserve">Codification Improvements to Topic 842 (Leases) </w:t>
      </w:r>
      <w:r>
        <w:rPr>
          <w:rFonts w:ascii="Arial" w:cs="Arial" w:eastAsia="Arial" w:hAnsi="Arial"/>
          <w:sz w:val="17"/>
          <w:szCs w:val="17"/>
          <w:color w:val="auto"/>
        </w:rPr>
        <w:t>and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which provide (i) narrow amendments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clarify how to apply certain aspects of the new lease standard, (ii) entities with an additional transition method to adopt the new standard, and (iii) lessors with a practical expedient for separating components of a contract.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adopted ASU 2016-02 and its related guidance during the first quarter of fiscal 2020 for all agreements existing as of April 28, 2019. We elected the "comparatives under Accounting Standards Codification ("ASC") 840 option" as a transitional method, which allows us to initially apply the new lease requirements at the effective date. Comparative periods were not adjusted and will continue to be reported in accordance with prior lease guidance under ASC</w:t>
      </w:r>
    </w:p>
    <w:p>
      <w:pPr>
        <w:jc w:val="both"/>
        <w:ind w:firstLine="8"/>
        <w:spacing w:after="0" w:line="287"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elected the package of practical expedients, which permits us not to reassess our prior conclusions about lease identification, lease classification and initial direct costs. In addition, we have elected the short-term lease recognition whereby we will not recognize operating leases related assets or liabilities for leases with a lease term of less than one year. We have also elected the practical expedient to not separate lease and non-lease components in the lease payments for all asset classes. This adoption did not have an impact on our condensed consolidated statements of operations, shareholders' equity and cash flows, and there was no adjustment to retained earnings. As of April 28, 2019, we recognized a right of use asset for operating leases of $11,101 and a current and non-current lease liability for operating leases of $2,745 and $8,356, respectively. The right of use operating assets are included in the "Investment in affiliates and other assets" line item, the current lease liabilities are included in the "Accrued expenses" line item, and the non-current lease liabilities are included in the "Other long-term obligations" line item in our condensed consolidated balance sheet. See "Note 12. Leases"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ASU 2017-04 is effective for interim and annual periods beginning after December 15, 2019 and will require adoption on a prospective basis. We are currently evaluating the effect that adopting ASU 2017-04 will have on our condensed consolidated financial statements and related disclosures.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provides guidance regarding the measurement and recognition of credit impairment for certain financial assets. ASU 2016-13 is effective for interim and annual periods beginning after December 15, 2019, with early adoption permitted, and will require adoption on a modified retrospective basis. We are currently evaluating the effect that adopting ASU 2016-13, including all subsequent amendments and improvements to ASC Topic 326 issued by FASB, will have on our condensed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Investments in affiliates over which we have significant influence are accounted for under the equity method of accounting in accordance with the provisions of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affiliates over which we do not have the ability to exert significant influence over the affiliate's operating and financing activities are accounted for under the cost method of accounting in accordance with the provisions of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We have evaluated our relationships with our affiliates and have determined that these entities are not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aggregate amount of investments accounted for under the equity method was $3,415 and $3,657 at November 2, 2019 and April 27, 2019, respectively. The equity method requires us to report our share of losses up to our equity investment amount. Cash paid for investments in affiliates and loans to affiliates are included in the "Purchases of and loans to equity investment" line item in our condensed consolidated statements of cash flows. Our proportional share of the respective affiliates' earnings or losses is included in the "Other income (expense), net" line item in our condensed consolidated statements of operations. For the six months ended November 2, 2019 and October 27, 2018, our share of the losses of our affiliates was $241 and $265, respectively.</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amount of investments without readily determinable fair values was $42 at November 2, 2019 and April 27, 2019. There have not been any identified events or changes in circumstances that may have a significant adverse effect on their fair value, and it is not practical to estimate their fair value. We record equity investments without readily determinable fair values at cost, less any impairment, adjusted for observable price changes. During the six months ended November 2, 2019, we did not record any changes in the measurement of such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follow the provisions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net income and common share amounts used in the calculation of basic and diluted EPS for the three and six months ended November 2, 2019 and October 27,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November 2, 2019</w:t>
            </w: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45,267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27, 2018</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44,780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44,950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November 2, 2019</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45,114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14,304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45,361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27, 2018</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44,717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13,180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44,994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2,282 shares of common stock with a weighted average exercise price of $9.90 for the three months ended November 2, 2019 and 2,377 shares of common stock with a weighted average exercise price of $9.94 for the three months ended October 27, 2018 were not included in the computation of diluted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2,238 shares of common stock with a weighted average exercise price of $9.97 for the six months ended November 2, 2019 and 2,129 shares of common stock with a weighted average exercise price of $10.15 for the six months ended October 27, 2018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6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Three Months Ended November 2, 2019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41,413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78,567</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26,654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11,513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82,801</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13,543</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39,651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59,319</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30,193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20,330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174,911</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13,169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22,112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7,521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13,500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83,606</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91,305</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39,651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59,319</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30,193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20,330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174,911</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48"/>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Six Months Ended November 2, 2019</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87,000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170,724</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53,889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19,226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47,927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13,970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158,066</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26,377</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83,686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118,625</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60,658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39,348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355,167</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55,007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22,289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44,711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23,688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159,913</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28,679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195,254</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83,686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118,625</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60,658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39,348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355,167</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91"/>
              </w:rPr>
              <w:t>Three Months Ended October 27, 2018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77,583</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31,385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24,381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84,279</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10,830</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46,069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55,099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31,580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18,077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172,692</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31,896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22,060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7,267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10,126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83,907</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14,173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88,785</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46,069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55,099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31,580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18,077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172,692</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48"/>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Six Months Ended October 27, 2018</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Live Events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Recreation</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w w:val="91"/>
              </w:rPr>
              <w:t>Type of performance obligation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154,330</w:t>
            </w:r>
          </w:p>
        </w:tc>
      </w:tr>
      <w:tr>
        <w:trPr>
          <w:trHeight w:val="243"/>
        </w:trPr>
        <w:tc>
          <w:tcPr>
            <w:tcW w:w="2500" w:type="dxa"/>
            <w:vAlign w:val="bottom"/>
          </w:tcPr>
          <w:p>
            <w:pPr>
              <w:ind w:left="160"/>
              <w:spacing w:after="0"/>
              <w:rPr>
                <w:sz w:val="20"/>
                <w:szCs w:val="20"/>
                <w:color w:val="auto"/>
              </w:rPr>
            </w:pPr>
            <w:r>
              <w:rPr>
                <w:rFonts w:ascii="Arial" w:cs="Arial" w:eastAsia="Arial" w:hAnsi="Arial"/>
                <w:sz w:val="18"/>
                <w:szCs w:val="18"/>
                <w:color w:val="auto"/>
              </w:rPr>
              <w:t>Limited configuration</w:t>
            </w:r>
          </w:p>
        </w:tc>
        <w:tc>
          <w:tcPr>
            <w:tcW w:w="16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55,252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17,285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42,928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20,629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150,372</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22,178</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76,638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104,571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35,234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326,880</w:t>
            </w:r>
          </w:p>
        </w:tc>
      </w:tr>
      <w:tr>
        <w:trPr>
          <w:trHeight w:val="67"/>
        </w:trPr>
        <w:tc>
          <w:tcPr>
            <w:tcW w:w="25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500" w:type="dxa"/>
            <w:vAlign w:val="bottom"/>
          </w:tcPr>
          <w:p>
            <w:pPr>
              <w:ind w:left="160"/>
              <w:spacing w:after="0"/>
              <w:rPr>
                <w:sz w:val="20"/>
                <w:szCs w:val="20"/>
                <w:color w:val="auto"/>
              </w:rPr>
            </w:pPr>
            <w:r>
              <w:rPr>
                <w:rFonts w:ascii="Arial" w:cs="Arial" w:eastAsia="Arial" w:hAnsi="Arial"/>
                <w:sz w:val="18"/>
                <w:szCs w:val="18"/>
                <w:color w:val="auto"/>
                <w:w w:val="92"/>
              </w:rPr>
              <w:t>Goods/services transferred at a</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500" w:type="dxa"/>
            <w:vAlign w:val="bottom"/>
          </w:tcPr>
          <w:p>
            <w:pPr>
              <w:ind w:left="160"/>
              <w:spacing w:after="0"/>
              <w:rPr>
                <w:sz w:val="20"/>
                <w:szCs w:val="20"/>
                <w:color w:val="auto"/>
              </w:rPr>
            </w:pPr>
            <w:r>
              <w:rPr>
                <w:rFonts w:ascii="Arial" w:cs="Arial" w:eastAsia="Arial" w:hAnsi="Arial"/>
                <w:sz w:val="18"/>
                <w:szCs w:val="18"/>
                <w:color w:val="auto"/>
              </w:rPr>
              <w:t>point in time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56,479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19,360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39,058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14,499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21,662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151,058</w:t>
            </w:r>
          </w:p>
        </w:tc>
      </w:tr>
      <w:tr>
        <w:trPr>
          <w:trHeight w:val="27"/>
        </w:trPr>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Goods/services transferred over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175,822</w:t>
            </w:r>
          </w:p>
        </w:tc>
      </w:tr>
      <w:tr>
        <w:trPr>
          <w:trHeight w:val="237"/>
        </w:trPr>
        <w:tc>
          <w:tcPr>
            <w:tcW w:w="25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76,638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104,571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59,700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35,234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326,880</w:t>
            </w:r>
          </w:p>
        </w:tc>
      </w:tr>
      <w:tr>
        <w:trPr>
          <w:trHeight w:val="27"/>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our contract assets and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April 27, 2019</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Dollar Change</w:t>
            </w:r>
          </w:p>
        </w:tc>
        <w:tc>
          <w:tcPr>
            <w:tcW w:w="1420" w:type="dxa"/>
            <w:vAlign w:val="bottom"/>
          </w:tcPr>
          <w:p>
            <w:pPr>
              <w:ind w:left="100"/>
              <w:spacing w:after="0"/>
              <w:rPr>
                <w:sz w:val="20"/>
                <w:szCs w:val="20"/>
                <w:color w:val="auto"/>
              </w:rPr>
            </w:pPr>
            <w:r>
              <w:rPr>
                <w:rFonts w:ascii="Arial" w:cs="Arial" w:eastAsia="Arial" w:hAnsi="Arial"/>
                <w:sz w:val="18"/>
                <w:szCs w:val="18"/>
                <w:b w:val="1"/>
                <w:bCs w:val="1"/>
                <w:color w:val="auto"/>
                <w:w w:val="94"/>
              </w:rPr>
              <w:t>Percent Change</w:t>
            </w:r>
          </w:p>
        </w:tc>
      </w:tr>
      <w:tr>
        <w:trPr>
          <w:trHeight w:val="27"/>
        </w:trPr>
        <w:tc>
          <w:tcPr>
            <w:tcW w:w="3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2.1%</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Contract liabilities - current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color w:val="auto"/>
              </w:rPr>
              <w:t>2.6</w:t>
            </w:r>
          </w:p>
        </w:tc>
      </w:tr>
      <w:tr>
        <w:trPr>
          <w:trHeight w:val="27"/>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noncurrent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5.2</w:t>
            </w:r>
          </w:p>
        </w:tc>
      </w:tr>
      <w:tr>
        <w:trPr>
          <w:trHeight w:val="27"/>
        </w:trPr>
        <w:tc>
          <w:tcPr>
            <w:tcW w:w="3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changes in our contract assets and contract liabilities from April 27, 2019 to November 2, 2019 were due to the timing of billing schedules and revenue recognition, which can vary significantly depending on the contractual payment terms and the seasonality of the sports markets. We had no material impairments of contract assets for the six months ended November 2, 2019.</w:t>
      </w:r>
    </w:p>
    <w:p>
      <w:pPr>
        <w:sectPr>
          <w:pgSz w:w="11900" w:h="16838" w:orient="portrait"/>
          <w:cols w:equalWidth="0" w:num="1">
            <w:col w:w="11420"/>
          </w:cols>
          <w:pgMar w:left="240" w:top="122"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27, 2019, we had six contracts in progress that were identified as loss contracts, for which we recorded a provision for losses of $2,353 and two remaining contracts with loss estimates of $360 as of November 2, 2019. These were included in the "Accrued expenses" line item in our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November 2, 2019, we recognized revenue of $39,352 related to our contract liabilities as of April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November 2, 2019, the aggregate amount of the transaction price allocated to the remaining performance obligations was $239,902. We expect approximately $202,745 of our remaining performance obligations to be recognized over the next 12 months with the remainder recognized thereafter. Remaining performance obligations related to product and service agreements are $182,050 and $57,852,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organize and manage our business by the following five segments which meet the definition of reportable segments under ASC 280-10,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Commercial, Live Events, High School Park and Recreation, Transportation, and International. These segments are based on the customer type or</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geography and are the same as our business units. We evaluate segment performance based on operating results through contribution margin, which is comprised of gross profit less selling expense. We exclude general and administration expense, product design and development expense, non-operating income and expense, and income tax expense in the segment analysis. Separate financial information is available and regularly evaluated by our chief operating decision-maker (CODM), who is our president and chief executive officer, in making resource allocation decisions for our segments.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27,</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39,651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76,638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59,319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55,099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118,625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104,571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20,330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39,348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35,234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25,418</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52,850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50,737</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174,911</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172,692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355,167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326,880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11,934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24,671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22,545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7,003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6,140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40,087</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42,757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85,592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81,004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 (1)</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8,362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5,895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4,991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23,910</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26,632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51,118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10,121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4,441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12,483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7,274</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8,606</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14,304</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spacing w:after="0"/>
        <w:rPr>
          <w:sz w:val="20"/>
          <w:szCs w:val="20"/>
          <w:color w:val="auto"/>
        </w:rPr>
      </w:pPr>
      <w:r>
        <w:rPr>
          <w:rFonts w:ascii="Arial" w:cs="Arial" w:eastAsia="Arial" w:hAnsi="Arial"/>
          <w:sz w:val="18"/>
          <w:szCs w:val="18"/>
          <w:color w:val="auto"/>
        </w:rPr>
        <w:t>(1) Contribution margin consists of gross profit less selling expense.</w:t>
      </w:r>
    </w:p>
    <w:p>
      <w:pPr>
        <w:sectPr>
          <w:pgSz w:w="11900" w:h="16838" w:orient="portrait"/>
          <w:cols w:equalWidth="0" w:num="1">
            <w:col w:w="11420"/>
          </w:cols>
          <w:pgMar w:left="240" w:top="12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27,</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267,261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26,756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58,601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59,619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172,692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76"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November 2,</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27,</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80" w:space="66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59,192</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United States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6,122</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 the condensed consolidated balance sheets. As it relates to fixed income marketable securities, it is not likely we will be required to sell any of these investments before recovery of the entire amortized cost basis. In addition, as of November 2, 2019,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2, 2019 and April 27, 2019,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Unrealized 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November 2, 2019</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745</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1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67"/>
        </w:trPr>
        <w:tc>
          <w:tcPr>
            <w:tcW w:w="43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3,464</w:t>
            </w:r>
          </w:p>
        </w:tc>
        <w:tc>
          <w:tcPr>
            <w:tcW w:w="1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10,510</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26,379</w:t>
            </w:r>
          </w:p>
        </w:tc>
        <w:tc>
          <w:tcPr>
            <w:tcW w:w="1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gains or losses on investments are recorded in our condensed consolidated statements of operations as "Other income (expense), net." Upon the sale of a security classified as available-for-sale, the security’s specific unrealized gain (loss) is reclassified out of</w:t>
      </w:r>
    </w:p>
    <w:p>
      <w:pPr>
        <w:sectPr>
          <w:pgSz w:w="11900" w:h="16838" w:orient="portrait"/>
          <w:cols w:equalWidth="0" w:num="1">
            <w:col w:w="11420"/>
          </w:cols>
          <w:pgMar w:left="240" w:top="122" w:right="239" w:bottom="1440" w:gutter="0" w:footer="0" w:header="0"/>
          <w:type w:val="continuous"/>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accumulated other comprehensive loss into earnings based on the specific identification method. In the six months ended November 2, 2019 and October 27, 2018, the reclassifications from accumulated other comprehensive loss to net earnings were immaterial.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November 2,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745</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37"/>
        </w:trPr>
        <w:tc>
          <w:tcPr>
            <w:tcW w:w="5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2,635</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3,618</w:t>
            </w:r>
          </w:p>
        </w:tc>
      </w:tr>
      <w:tr>
        <w:trPr>
          <w:trHeight w:val="27"/>
        </w:trPr>
        <w:tc>
          <w:tcPr>
            <w:tcW w:w="5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AJT Systems, Inc.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the net assets of AJT Systems, Inc. ("AJT"), a Florida-based company, on June 21, 2018. The results of its operations have been included in our condensed consolidated financial statements since the date of acquisition. We have not made pro forma disclosures about our acquisition of AJT because the results of its operations are not material to our condensed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AJT is a developer of real-time live to air graphics rendering and video server systems for the broadcast TV industry. This acquisition will allow our organization to grow and strengthen our solution offerings to the market. This acquisition was primarily funded with cash on hand and with payments made over a three-year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six months ended November 2, 2019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2,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7,974</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perform our annual analysis during our third quarter of each fiscal year, based on the goodwill amount as of the first business day of our third fiscal quarter.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conducting our impairment testing, we compare the fair value of each of our business units to the related carrying value of the allocated assets. We utilize the income approach based on discounted projected cash flows to estimate the fair value of each unit. The projected cash flows use many estimates including market conditions and expected market demand; our ability to grow or maintain market share and gross profit; and our expected expenditures for capital and operating expenses. Assets shared or not directly attributed to a reportable segment's activities are allocated to the reportable segment based on sales and other measures.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performed our annual impairment test for our third quarter in fiscal 2019, which began on October 29, 2018 and concluded no goodwill impairment existed. We are currently in the process of completing our annual analysis as of the first business day of our third quarter of fiscal 2020, which began on November 4,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9. Selected Financial Statement Data</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November 2,</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33,203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30,789</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8,239</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39,804</w:t>
            </w: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79,237</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78,832</w:t>
            </w:r>
          </w:p>
        </w:tc>
        <w:tc>
          <w:tcPr>
            <w:tcW w:w="0" w:type="dxa"/>
            <w:vAlign w:val="bottom"/>
          </w:tcPr>
          <w:p>
            <w:pPr>
              <w:spacing w:after="0"/>
              <w:rPr>
                <w:sz w:val="1"/>
                <w:szCs w:val="1"/>
                <w:color w:val="auto"/>
              </w:rPr>
            </w:pPr>
          </w:p>
        </w:tc>
      </w:tr>
      <w:tr>
        <w:trPr>
          <w:trHeight w:val="27"/>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0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November 2,</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67,561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66,403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99,811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96,486</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6,157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52,735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55,460</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Equipment held for rental</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7,422</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7,993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0" w:type="dxa"/>
            <w:vAlign w:val="bottom"/>
            <w:tcBorders>
              <w:bottom w:val="single" w:sz="8" w:color="CCEEFF"/>
            </w:tcBorders>
            <w:shd w:val="clear" w:color="auto" w:fill="CCEEFF"/>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244,267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241,706</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177,104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176,392</w:t>
            </w:r>
          </w:p>
        </w:tc>
        <w:tc>
          <w:tcPr>
            <w:tcW w:w="0" w:type="dxa"/>
            <w:vAlign w:val="bottom"/>
          </w:tcPr>
          <w:p>
            <w:pPr>
              <w:spacing w:after="0"/>
              <w:rPr>
                <w:sz w:val="1"/>
                <w:szCs w:val="1"/>
                <w:color w:val="auto"/>
              </w:rPr>
            </w:pPr>
          </w:p>
        </w:tc>
      </w:tr>
      <w:tr>
        <w:trPr>
          <w:trHeight w:val="27"/>
        </w:trPr>
        <w:tc>
          <w:tcPr>
            <w:tcW w:w="10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00" w:type="dxa"/>
            <w:vAlign w:val="bottom"/>
            <w:tcBorders>
              <w:bottom w:val="single" w:sz="8" w:color="CCEEFF"/>
            </w:tcBorders>
            <w:shd w:val="clear" w:color="auto" w:fill="CCEEFF"/>
          </w:tcPr>
          <w:p>
            <w:pPr>
              <w:spacing w:after="0"/>
              <w:rPr>
                <w:sz w:val="22"/>
                <w:szCs w:val="22"/>
                <w:color w:val="auto"/>
              </w:rPr>
            </w:pPr>
          </w:p>
        </w:tc>
        <w:tc>
          <w:tcPr>
            <w:tcW w:w="6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67,163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65,314</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Receivables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$2,516 and $2,208 at November 2, 2019 and April 27, 2019, respectively. Included in accounts receivable as of November 2, 2019 and April 27, 2019 was $717 and $440, respectively, of retainage on construction-type contracts, all of which is expected to be collected within one year.</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contracts with customers, we agree to installment payments exceeding 12 months. The present value of these contracts and leases are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$6,325 and $3,514 as of November 2, 2019 and April 27, 2019, respectively. Contract and lease receivables bearing annual interest rates of 5.0 to 9.0 percent are due in varying annual installments through 2024. The face value of long-term receivables was $5,234 as of November 2, 2019 and $3,271 as of April 27,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Repurchase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October 27, 2018, we had no repurchases of shares of our outstanding common stock. During the six months ended November 2, 2019, we repurchased 270 shares of common stock at a total cost of $1,682. As of November 2, 2019, we had $36,493 of remaining capacity under our current share repurchase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facilities and various equipment to manufacture products and provide employee collaboration space and tools. These are all classified as operating leases and have initial lease terms ranging from one to five years. These operating leases do not contain material</w:t>
      </w:r>
    </w:p>
    <w:p>
      <w:pPr>
        <w:sectPr>
          <w:pgSz w:w="11900" w:h="16838" w:orient="portrait"/>
          <w:cols w:equalWidth="0" w:num="1">
            <w:col w:w="11420"/>
          </w:cols>
          <w:pgMar w:left="240" w:top="114"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4"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residual value guarantees or material restrictive covenants. Our lease in Sioux Falls, SD has a purchase option. We do not have any financing leases.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determine if an arrangement is a lease at inception.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commencement date based on the present value of lease payments over the lease term. As our leases do not provide an implicit rate, we use the incremental borrowing rate based on the information available at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 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cost is recognized on a straight-line basis over the lease term, and short-term lease cost is recognized when paid. Both are recognized in cost of sales and operating expenses in the condensed consolidated statements of operations. The lease cost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November 2, 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ind w:left="140"/>
              <w:spacing w:after="0"/>
              <w:rPr>
                <w:sz w:val="20"/>
                <w:szCs w:val="20"/>
                <w:color w:val="auto"/>
              </w:rPr>
            </w:pPr>
            <w:r>
              <w:rPr>
                <w:rFonts w:ascii="Arial" w:cs="Arial" w:eastAsia="Arial" w:hAnsi="Arial"/>
                <w:sz w:val="18"/>
                <w:szCs w:val="18"/>
                <w:b w:val="1"/>
                <w:bCs w:val="1"/>
                <w:color w:val="auto"/>
              </w:rPr>
              <w:t>November 2, 2019</w:t>
            </w:r>
          </w:p>
        </w:tc>
      </w:tr>
      <w:tr>
        <w:trPr>
          <w:trHeight w:val="27"/>
        </w:trPr>
        <w:tc>
          <w:tcPr>
            <w:tcW w:w="2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220" w:type="dxa"/>
            <w:vAlign w:val="bottom"/>
          </w:tcPr>
          <w:p>
            <w:pPr>
              <w:spacing w:after="0"/>
              <w:rPr>
                <w:sz w:val="22"/>
                <w:szCs w:val="22"/>
                <w:color w:val="auto"/>
              </w:rPr>
            </w:pPr>
          </w:p>
        </w:tc>
        <w:tc>
          <w:tcPr>
            <w:tcW w:w="6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1,010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w:t>
            </w: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6580" w:type="dxa"/>
            <w:vAlign w:val="bottom"/>
          </w:tcPr>
          <w:p>
            <w:pPr>
              <w:ind w:left="40"/>
              <w:spacing w:after="0"/>
              <w:rPr>
                <w:sz w:val="20"/>
                <w:szCs w:val="20"/>
                <w:color w:val="auto"/>
              </w:rPr>
            </w:pPr>
            <w:r>
              <w:rPr>
                <w:rFonts w:ascii="Arial" w:cs="Arial" w:eastAsia="Arial" w:hAnsi="Arial"/>
                <w:sz w:val="18"/>
                <w:szCs w:val="18"/>
                <w:color w:val="auto"/>
              </w:rPr>
              <w:t>Includes short-term leases, which are immaterial.</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18"/>
        </w:trPr>
        <w:tc>
          <w:tcPr>
            <w:tcW w:w="7000" w:type="dxa"/>
            <w:vAlign w:val="bottom"/>
            <w:gridSpan w:val="3"/>
          </w:tcPr>
          <w:p>
            <w:pPr>
              <w:spacing w:after="0"/>
              <w:rPr>
                <w:sz w:val="20"/>
                <w:szCs w:val="20"/>
                <w:color w:val="auto"/>
              </w:rPr>
            </w:pPr>
            <w:r>
              <w:rPr>
                <w:rFonts w:ascii="Arial" w:cs="Arial" w:eastAsia="Arial" w:hAnsi="Arial"/>
                <w:sz w:val="18"/>
                <w:szCs w:val="18"/>
                <w:color w:val="auto"/>
                <w:w w:val="89"/>
              </w:rPr>
              <w:t>The weighted average remaining lease term and discount rate related to operating leases include:</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ind w:left="120"/>
              <w:spacing w:after="0"/>
              <w:rPr>
                <w:sz w:val="20"/>
                <w:szCs w:val="20"/>
                <w:color w:val="auto"/>
              </w:rPr>
            </w:pPr>
            <w:r>
              <w:rPr>
                <w:rFonts w:ascii="Arial" w:cs="Arial" w:eastAsia="Arial" w:hAnsi="Arial"/>
                <w:sz w:val="18"/>
                <w:szCs w:val="18"/>
                <w:b w:val="1"/>
                <w:bCs w:val="1"/>
                <w:color w:val="auto"/>
              </w:rPr>
              <w:t>November 2, 2019</w:t>
            </w:r>
          </w:p>
        </w:tc>
      </w:tr>
      <w:tr>
        <w:trPr>
          <w:trHeight w:val="27"/>
        </w:trPr>
        <w:tc>
          <w:tcPr>
            <w:tcW w:w="2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 years</w:t>
            </w:r>
          </w:p>
        </w:tc>
      </w:tr>
      <w:tr>
        <w:trPr>
          <w:trHeight w:val="243"/>
        </w:trPr>
        <w:tc>
          <w:tcPr>
            <w:tcW w:w="22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59"/>
        </w:trPr>
        <w:tc>
          <w:tcPr>
            <w:tcW w:w="6800" w:type="dxa"/>
            <w:vAlign w:val="bottom"/>
            <w:gridSpan w:val="2"/>
          </w:tcPr>
          <w:p>
            <w:pPr>
              <w:spacing w:after="0"/>
              <w:rPr>
                <w:sz w:val="20"/>
                <w:szCs w:val="20"/>
                <w:color w:val="auto"/>
              </w:rPr>
            </w:pPr>
            <w:r>
              <w:rPr>
                <w:rFonts w:ascii="Arial" w:cs="Arial" w:eastAsia="Arial" w:hAnsi="Arial"/>
                <w:sz w:val="18"/>
                <w:szCs w:val="18"/>
                <w:color w:val="auto"/>
              </w:rPr>
              <w:t>Supplemental unaudited cash flow information related to operating leases include:</w:t>
            </w: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60"/>
        </w:trPr>
        <w:tc>
          <w:tcPr>
            <w:tcW w:w="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ind w:left="1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November 2, 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ind w:left="140"/>
              <w:spacing w:after="0"/>
              <w:rPr>
                <w:sz w:val="20"/>
                <w:szCs w:val="20"/>
                <w:color w:val="auto"/>
              </w:rPr>
            </w:pPr>
            <w:r>
              <w:rPr>
                <w:rFonts w:ascii="Arial" w:cs="Arial" w:eastAsia="Arial" w:hAnsi="Arial"/>
                <w:sz w:val="18"/>
                <w:szCs w:val="18"/>
                <w:b w:val="1"/>
                <w:bCs w:val="1"/>
                <w:color w:val="auto"/>
              </w:rPr>
              <w:t>November 2, 2019</w:t>
            </w:r>
          </w:p>
        </w:tc>
      </w:tr>
      <w:tr>
        <w:trPr>
          <w:trHeight w:val="27"/>
        </w:trPr>
        <w:tc>
          <w:tcPr>
            <w:tcW w:w="2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787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1,603</w:t>
            </w:r>
          </w:p>
        </w:tc>
      </w:tr>
      <w:tr>
        <w:trPr>
          <w:trHeight w:val="459"/>
        </w:trPr>
        <w:tc>
          <w:tcPr>
            <w:tcW w:w="9040" w:type="dxa"/>
            <w:vAlign w:val="bottom"/>
            <w:gridSpan w:val="4"/>
          </w:tcPr>
          <w:p>
            <w:pPr>
              <w:spacing w:after="0"/>
              <w:rPr>
                <w:sz w:val="20"/>
                <w:szCs w:val="20"/>
                <w:color w:val="auto"/>
              </w:rPr>
            </w:pPr>
            <w:r>
              <w:rPr>
                <w:rFonts w:ascii="Arial" w:cs="Arial" w:eastAsia="Arial" w:hAnsi="Arial"/>
                <w:sz w:val="18"/>
                <w:szCs w:val="18"/>
                <w:color w:val="auto"/>
                <w:w w:val="94"/>
              </w:rPr>
              <w:t>Future minimum operating lease payments as of, and subsequent to, November 2, 2019 under ASC 842 are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Operating Leases</w:t>
            </w:r>
            <w:r>
              <w:rPr>
                <w:rFonts w:ascii="Arial" w:cs="Arial" w:eastAsia="Arial" w:hAnsi="Arial"/>
                <w:sz w:val="25"/>
                <w:szCs w:val="25"/>
                <w:b w:val="1"/>
                <w:bCs w:val="1"/>
                <w:color w:val="auto"/>
                <w:w w:val="90"/>
                <w:vertAlign w:val="superscript"/>
              </w:rPr>
              <w:t>(1)</w:t>
            </w:r>
          </w:p>
        </w:tc>
      </w:tr>
      <w:tr>
        <w:trPr>
          <w:trHeight w:val="237"/>
        </w:trPr>
        <w:tc>
          <w:tcPr>
            <w:tcW w:w="220" w:type="dxa"/>
            <w:vAlign w:val="bottom"/>
          </w:tcPr>
          <w:p>
            <w:pPr>
              <w:spacing w:after="0"/>
              <w:rPr>
                <w:sz w:val="20"/>
                <w:szCs w:val="20"/>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Fiscal years ending</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6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w:t>
            </w:r>
          </w:p>
        </w:tc>
      </w:tr>
      <w:tr>
        <w:trPr>
          <w:trHeight w:val="243"/>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2,711</w:t>
            </w:r>
          </w:p>
        </w:tc>
      </w:tr>
      <w:tr>
        <w:trPr>
          <w:trHeight w:val="27"/>
        </w:trPr>
        <w:tc>
          <w:tcPr>
            <w:tcW w:w="6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w:t>
            </w:r>
          </w:p>
        </w:tc>
      </w:tr>
      <w:tr>
        <w:trPr>
          <w:trHeight w:val="243"/>
        </w:trPr>
        <w:tc>
          <w:tcPr>
            <w:tcW w:w="6800" w:type="dxa"/>
            <w:vAlign w:val="bottom"/>
            <w:gridSpan w:val="2"/>
          </w:tcPr>
          <w:p>
            <w:pPr>
              <w:ind w:left="26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1,206</w:t>
            </w:r>
          </w:p>
        </w:tc>
      </w:tr>
      <w:tr>
        <w:trPr>
          <w:trHeight w:val="27"/>
        </w:trPr>
        <w:tc>
          <w:tcPr>
            <w:tcW w:w="6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22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2,398</w:t>
            </w:r>
          </w:p>
        </w:tc>
      </w:tr>
      <w:tr>
        <w:trPr>
          <w:trHeight w:val="27"/>
        </w:trPr>
        <w:tc>
          <w:tcPr>
            <w:tcW w:w="2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10,929</w:t>
            </w:r>
          </w:p>
        </w:tc>
      </w:tr>
      <w:tr>
        <w:trPr>
          <w:trHeight w:val="243"/>
        </w:trPr>
        <w:tc>
          <w:tcPr>
            <w:tcW w:w="22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7"/>
        </w:trPr>
        <w:tc>
          <w:tcPr>
            <w:tcW w:w="2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220" w:type="dxa"/>
            <w:vAlign w:val="bottom"/>
          </w:tcPr>
          <w:p>
            <w:pPr>
              <w:spacing w:after="0"/>
              <w:rPr>
                <w:sz w:val="22"/>
                <w:szCs w:val="22"/>
                <w:color w:val="auto"/>
              </w:rPr>
            </w:pPr>
          </w:p>
        </w:tc>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0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9,985</w:t>
            </w:r>
          </w:p>
        </w:tc>
      </w:tr>
      <w:tr>
        <w:trPr>
          <w:trHeight w:val="20"/>
        </w:trPr>
        <w:tc>
          <w:tcPr>
            <w:tcW w:w="2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Includes $3,879 to extend the term of our Sioux Falls, South Dakota manufacturing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a party to legal proceedings and claims which arise during the ordinary course of business.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27, 2019 and November 2, 2019, $1,072 and $1,981, respectively, were included in the "Accrued expenses" line item in our condensed consolidated balance sheets for a probable and reasonably estimated cost to settle a patent litigation claim. The costs are included in cost of sales in the High School Park and Recreation business unit.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other unresolved legal proceedings or claims, 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Changes in our warranty obligation for the six months ended November 2, 2019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November 2,</w:t>
            </w:r>
          </w:p>
        </w:tc>
      </w:tr>
      <w:tr>
        <w:trPr>
          <w:trHeight w:val="234"/>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24,470</w:t>
            </w:r>
          </w:p>
        </w:tc>
      </w:tr>
      <w:tr>
        <w:trPr>
          <w:trHeight w:val="243"/>
        </w:trPr>
        <w:tc>
          <w:tcPr>
            <w:tcW w:w="566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6,425</w:t>
            </w: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r>
      <w:tr>
        <w:trPr>
          <w:trHeight w:val="229"/>
        </w:trPr>
        <w:tc>
          <w:tcPr>
            <w:tcW w:w="566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6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25,985</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construction-type contracts. As of November 2, 2019, we had outstanding letters of credit and surety bonds in the amount of $15,184 and $8,372,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November 2, 2019, we were not aware of any indemnification claim from a customer.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cloud-based information systems,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support services, and various other products and services over periods that extend beyond one year. As of November 2, 2019, we were obligated under the following unconditional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and operating in multiple state and foreign jurisdictions, our effective tax rate is subject to fluctuation. We recorded an effective tax rate benefit of 63.8 percent and 14.6 percent for the three and six months ended November 2, 2019, respectively, and an effective tax rate expense of 5.8 percent and 0.0 percent for the three and six months ended October 27, 2018. The changes in the effective tax rates are primarily driven by differences in estimated tax credits proportionate to estimated pre-tax book income for each period.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U.S. federal income tax as well as income taxes of multiple state and foreign jurisdictions. Fiscal years 2016, 2017, 2018 and 2019 remain open to federal tax examinations, and fiscal years 2015, 2016, 2017, 2018 and 2019 remain open for various state income tax examinations. Certain subsidiaries are also subject to income tax in several foreign jurisdictions which have open tax years varying by jurisdiction beginning in fiscal 2009. In the event of any future tax assessments, we have elected to record the income taxes and any related interest and penalties as income tax expense in our condensed consolidated statement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November 2, 2019, undistributed earnings of our foreign subsidiaries were considered to be reinvested indefinitely. Additionally, we had $735 of unrecognized tax benefits which would reduce our effective tax rate if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November 2, 2019 and April 27, 2019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November 2, 2019</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29,265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contingency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29,324</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3,455</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31,884</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2019</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35,383</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35,383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10,774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asset position</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liability position</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contingency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46,516</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15,657</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2"/>
              </w:rPr>
              <w:t>A roll forward of the Level 3 contingent liabilities, both short- and long-term, for the six months ended November 2, 2019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Acquisition-related contingency consideration as of April 27, 2019</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w w:val="93"/>
              </w:rPr>
              <w:t>Acquisition-related contingency consideration as of November 2, 2019</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the valuation techniques used by us to value our financial instruments since the end of fiscal 2019. For additional information, see our Annual Report on Form 10-K for the fiscal year ended April 27, 2019 for the methods and assumptions used to estimate the fair value of each class of financial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in the condensed consolidated balance sheets within accounts receivable or accounts payable measured at fair value, and changes in fair values are recognized in earnings unless specific hedge accounting criteria are met for cash flow or net investment hedges. As of November 2, 2019 and April 27, 2019, we had not designated any of our derivative instruments as accounting hedges, and thus we recorded the changes in fair value in the "Other income (expense), net" line item in the condensed consolidated statements of operations.</w:t>
      </w:r>
    </w:p>
    <w:p>
      <w:pPr>
        <w:sectPr>
          <w:pgSz w:w="11900" w:h="16838" w:orient="portrait"/>
          <w:cols w:equalWidth="0" w:num="1">
            <w:col w:w="11420"/>
          </w:cols>
          <w:pgMar w:left="240" w:top="121"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November 2, 2019 and April 27,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20"/>
              <w:spacing w:after="0"/>
              <w:rPr>
                <w:sz w:val="20"/>
                <w:szCs w:val="20"/>
                <w:color w:val="auto"/>
              </w:rPr>
            </w:pPr>
            <w:r>
              <w:rPr>
                <w:rFonts w:ascii="Arial" w:cs="Arial" w:eastAsia="Arial" w:hAnsi="Arial"/>
                <w:sz w:val="18"/>
                <w:szCs w:val="18"/>
                <w:b w:val="1"/>
                <w:bCs w:val="1"/>
                <w:color w:val="auto"/>
              </w:rPr>
              <w:t>November 2, 2019</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27, 2019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3,377</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Dollars/Swiss Franc</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Dollars/Malaysian Ringgit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November 2, 2019, there was an asset and liability of $70 and $233, respectively; and as of April 27, 2019, there was an asset and liability of $91 and $4, respectively, representing the fair value of foreign currency exchange forward contracts, which were determined using Level 2 inputs from a third-party bank. As of November 2, 2019, all contracts mature within 16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15, 2019, we entered into an amendment to extend the maturity date of our credit agreement and a related revolving bank note from November 15, 2019 to November 15, 2022 and to modify certain other terms and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and (xiv.) the timing and magnitude of any acquisitions or dispositions.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27, 2019 in the section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making judgments about the carrying values of assets and liabilities not readily apparent from other sources. Actual results may differ from these estimates.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Outdoor installation sales can be impacted by outdoor weather conditions and the construction season. Our third fiscal quarter tends to be a slower quarter because it includes two holidays, it is affected by sports seasonality, and generally less outdoor construction work occurs due to weather conditions.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tend to fluctuate more on uniquely configured orders than on limited configured orders. Uniquely configured orders involving competitive bidding and substantial subcontract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remaining performance obligations ("backlog") consist of contractually binding sales agreements or purchase orders for integrated electronic display systems and related products and service.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have varied estimated profitability. Our backlog is not necessarily indicative of future net sales or net income. Backlog is not a measure defined by GAAP, and our methodology for determining backlog may vary from the methodology used by other companies in determining their backlog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mission is to be the world leader at informing and entertaining audiences through dynamic audio-visual communication systems. We organize into business units to focus on customer loyalty over time to earn new and replacement business because our products have a finite lifetime. See "Note 5. Segment Reporting" of the Notes to the Condensed Consolidated Financial Statements included elsewhere in this Report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measure our success using a variety of measures including:</w:t>
      </w:r>
    </w:p>
    <w:p>
      <w:pPr>
        <w:spacing w:after="0" w:line="2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percentage of market share by comparing our estimated revenue to the total estimated global digital display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order growth compared to the overall digital market order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metrics such as annual order volume and profit change as compared to our previous financial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retention and expansion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profits over the long-term to provide a shareholder return.</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factors impact our ability to succeed in these strategies and impact our business units to varying degrees. For example, the overall cost to manufacture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the sports business can also be seriously impacted.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 be impacted by short-term events like the U.S. Administrative trade actions in 2018 or a number of other factors that are disclosed in "Item 1A. Risk Factors" included in our Annual Report on Form 10-K for the fiscal year ended April 27,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outlook and unique key growth drivers and challenges by our business units include: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accounts standard display market opportunities due to customers' desire to communicate their message, advertising and content consistently across the country. Increased demand is possible from national retailers, quick serve restaurants, petroleum retailers, and other nationwide organizations.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standard display offerings using micro-light emitting diode ("LED") designs.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Increasing use of LED technologies replacing signage previously using liquid crystal display ("LCD") technology by existing and new customers.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expanded use of this technology.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Out-of-Home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Dynamic messaging system needs throughout a sports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use of LED technologies replacing signage previously using LCD technology in and surrounding live events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system costs driving the use of more sophisticated displays in school athletic facilities, such as large integrated video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control system options tailored for the markets' needs.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 Growth is also expected in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continue to broaden our product offerings into the transportation segment in Europe and the Middle East. We also focus on sports facility, spectacular-type, OOH advertising products, and architectural lighting market opportunities and the factors listed in each of the other business units to the extent they apply outside of the United States and Canada. Additional opportunities exist with expanded market usage of LED technology due to price considerations, usage of LED technology replacing prior LCD installations and additional display offerings using micro-LEDs.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April 27, 2019 consisted of 52 weeks. Fiscal 2020 will be a 53-week year; therefore, the six months ended November 2, 2019 contains operating results for 27 weeks while the six months ended October 27, 2018 contains operating results for 26 weeks.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NOVEMBER 2, 2019 AND OCTOBER 27,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2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46,069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59,319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55,099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20,330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18,077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2,253</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21,867</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174,911</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172,692</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43,513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46,731</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(3,218)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18,445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4,408</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26,756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21,260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5,496</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151,122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151,356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decrease in net sales for the three months ended November 2, 2019 compared to the same period one year ago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large custom projects in the spectacular niche and lighter demand in the on-premise niche, while the OOH niche remained relatively flat compared to the same period last year.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orders for the three months ended November 2, 2019 compared to the same period one year ago was primarily due to the softer market in the on-premise and OOH niches, partially offset by an increase in large orders in the spectacular niche.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three months ended November 2, 2019 compared to the same period one year ago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the demand for upgraded or new solutions for arenas and professional sports stadiums.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three months ended November 2, 2019 compared to the same period one year ago due to a decrease in the number of projects for college and universities venues.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decrease in net sales for the three months ended November 2, 2019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variability in timing of order delivery.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Orders increased for the three months ended November 2, 2019 compared to the same period one year ago due to the variability in order timing.</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three months ended November 2, 2019 compared to the same period one year ago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variability of large order production timing caused by customer project schedules.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three months ended November 2, 2019 compared to the same period one year ago was due to the variability of timing caused by large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November 2, 2019 compared to the same period one year ago increased primarily due to the variability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timing caused by large spectacular and sports stadium projects.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increased for the three months ended November 2, 2019 compared to the same period one year ago primarily due to general variations in the timing of account-based order 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product order backlog as of November 2, 2019 was $182 million as compared to $150 million as of October 27, 2018 and $207 million at the end of the first quarter of fiscal 2020. Historically, our product order backlog varies due to the seasonality of our business, the timing of large projects, and customer delivery schedules for these orders. The product order backlog as of November 2, 2019 increased in all business units from October 27,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460"/>
              <w:spacing w:after="0"/>
              <w:rPr>
                <w:sz w:val="20"/>
                <w:szCs w:val="20"/>
                <w:color w:val="auto"/>
              </w:rPr>
            </w:pPr>
            <w:r>
              <w:rPr>
                <w:rFonts w:ascii="Arial" w:cs="Arial" w:eastAsia="Arial" w:hAnsi="Arial"/>
                <w:sz w:val="18"/>
                <w:szCs w:val="18"/>
                <w:b w:val="1"/>
                <w:bCs w:val="1"/>
                <w:color w:val="auto"/>
              </w:rPr>
              <w:t>November 2, 2019</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19.8%</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25.5%</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11,934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20.1</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12,312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22.3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30.6</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30.9</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7,003</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34.4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6,140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34.0</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16.0</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12.8</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40,087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22.9%</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42,757</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24.8%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logistics related costs including tariffs and duties, consumables,</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our gross profit percentage for the three months ended November 2, 2019 compared to the same period one year ago was primarily due to an increase in tariff related expenses of approximately $1.1 million, or a 0.6% impact to gross profit, as last year at this time tariffs were just being introduced on US imports of aluminum, steel, and components from China. We also experienced additional expenses of approximately $3.0 million for project delivery costs and for an existing litigation claim estimate. Total warranty as a percent of sales decreased to 2.2% for the three months ended November 2, 2019 as compared to 2.5% during the three months ended October 27, 2018. The following describes the overall impact by business unit for the three months ended November 2, 2019 compared to the same period one year ago:</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gross profit percent decreased in our Commercial, Live Events, and High School Park and Recreation business units for the reasons described above. Additionally, the Commercial business unit experienced increased costs related to products covered under long-term service agreements. The gross profit percent increased in the Transportation business unit primarily due to higher sales volumes over relatively fixed infrastructure costs, which was partially offset by an increase in warranty expense. The gross profit percent increased in the International business unit primarily due to lower warranty expense and higher sales volumes over relatively fixed infrastructure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2"/>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23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01"/>
        </w:trPr>
        <w:tc>
          <w:tcPr>
            <w:tcW w:w="3380" w:type="dxa"/>
            <w:vAlign w:val="bottom"/>
            <w:gridSpan w:val="4"/>
          </w:tcPr>
          <w:p>
            <w:pPr>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November 2, 2019</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October 27, 2018</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3380" w:type="dxa"/>
            <w:vAlign w:val="bottom"/>
            <w:gridSpan w:val="4"/>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12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43"/>
        </w:trPr>
        <w:tc>
          <w:tcPr>
            <w:tcW w:w="3380" w:type="dxa"/>
            <w:vAlign w:val="bottom"/>
            <w:gridSpan w:val="4"/>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8,362</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14.1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8,918</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16.2</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5,988</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19.8</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6,706</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21.2</w:t>
            </w:r>
          </w:p>
        </w:tc>
      </w:tr>
      <w:tr>
        <w:trPr>
          <w:trHeight w:val="243"/>
        </w:trPr>
        <w:tc>
          <w:tcPr>
            <w:tcW w:w="3380" w:type="dxa"/>
            <w:vAlign w:val="bottom"/>
            <w:gridSpan w:val="4"/>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5,895</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29.0</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4,991</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27.6</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(178.6)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r>
      <w:tr>
        <w:trPr>
          <w:trHeight w:val="257"/>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23,910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26,632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consists of gross profit less selling expenses. 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margin is impacted by the previously discussed sales and gross margin for each business unit. The impact of changes in selling expenses on each business unit's contribution margin are as follows: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expense in our Commercial and High School Park and Recreation business units increased in the second quarter of fiscal 2020 compared to the same quarter a year ago due to personnel related expenses and increased marketing efforts. Selling expense in our International business unit decreased in the second quarter of fiscal 2020 compared to the same quarter a year ago due to bad debt recovery and a decrease in third-party commissions. Selling expense in our Live Events and Transportation business units for the second quarter of fiscal 2020 remained relatively flat compared to the same quarter a year ago.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November 2, 2019</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8,574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10,121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60"/>
              <w:spacing w:after="0"/>
              <w:rPr>
                <w:sz w:val="20"/>
                <w:szCs w:val="20"/>
                <w:color w:val="auto"/>
              </w:rPr>
            </w:pPr>
            <w:r>
              <w:rPr>
                <w:rFonts w:ascii="Arial" w:cs="Arial" w:eastAsia="Arial" w:hAnsi="Arial"/>
                <w:sz w:val="18"/>
                <w:szCs w:val="18"/>
                <w:color w:val="auto"/>
              </w:rPr>
              <w:t>9,039</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second quarter of fiscal 2020 increased as compared to the same period one year ago primarily due to an increase in professional fees and personnel related expenses.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design and development expenses in the second quarter of fiscal 2020 increased as compared to the same period one year ago primarily due to increased labor costs and professional services assigned to product design and development projects. To deliver value to our customers and meet the markets' needs, we expect an increase in expenditures for new or enhanced customer solutions and to develop leading production technologies in the evolving micro-LED space.</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14"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2"/>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30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01"/>
        </w:trPr>
        <w:tc>
          <w:tcPr>
            <w:tcW w:w="4080" w:type="dxa"/>
            <w:vAlign w:val="bottom"/>
            <w:gridSpan w:val="4"/>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November 2, 2019</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27, 2018</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4"/>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top w:val="single" w:sz="8" w:color="auto"/>
              <w:bottom w:val="single" w:sz="8" w:color="CCEEFF"/>
            </w:tcBorders>
          </w:tcPr>
          <w:p>
            <w:pPr>
              <w:spacing w:after="0"/>
              <w:rPr>
                <w:sz w:val="4"/>
                <w:szCs w:val="4"/>
                <w:color w:val="auto"/>
              </w:rPr>
            </w:pPr>
          </w:p>
        </w:tc>
        <w:tc>
          <w:tcPr>
            <w:tcW w:w="12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4"/>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678.8 %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for the second quarter of fiscal 2020 compared to the same period one year ago was primarily due to the change in investment levels caused by the volatility of working capital needs.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second quarter of fiscal 2020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calculate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Due to various factors, including operations in multiple jurisdictions worldwide, our effective tax rate is subject to fluctuation.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recorded an effective tax rate benefit of 63.8 percent for the second quarter of fiscal 2020 as compared to an effective tax rate expense of 5.8 percent for the second quarter of fiscal 2019. The change in the effective tax rate, as compared to the same period one year ago, is primarily driven by differences in estimated tax credits proportionate to estimated pre-tax book income for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NOVEMBER 2, 2019 AND OCTOBER 27,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ind w:left="580"/>
              <w:spacing w:after="0"/>
              <w:rPr>
                <w:sz w:val="20"/>
                <w:szCs w:val="20"/>
                <w:color w:val="auto"/>
              </w:rPr>
            </w:pPr>
            <w:r>
              <w:rPr>
                <w:rFonts w:ascii="Arial" w:cs="Arial" w:eastAsia="Arial" w:hAnsi="Arial"/>
                <w:sz w:val="18"/>
                <w:szCs w:val="18"/>
                <w:b w:val="1"/>
                <w:bCs w:val="1"/>
                <w:color w:val="auto"/>
              </w:rPr>
              <w:t>Six Months Ended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November 2,</w:t>
            </w: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October 27,</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Pr>
          <w:p>
            <w:pPr>
              <w:spacing w:after="0"/>
              <w:rPr>
                <w:sz w:val="16"/>
                <w:szCs w:val="16"/>
                <w:color w:val="auto"/>
              </w:rPr>
            </w:pPr>
          </w:p>
        </w:tc>
        <w:tc>
          <w:tcPr>
            <w:tcW w:w="9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6"/>
                <w:szCs w:val="16"/>
                <w:color w:val="auto"/>
              </w:rPr>
            </w:pPr>
          </w:p>
        </w:tc>
        <w:tc>
          <w:tcPr>
            <w:tcW w:w="146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Dollar Change</w:t>
            </w:r>
          </w:p>
        </w:tc>
        <w:tc>
          <w:tcPr>
            <w:tcW w:w="13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83,686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76,638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118,625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104,571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14,054</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39,348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35,234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4,114</w:t>
            </w:r>
          </w:p>
        </w:tc>
        <w:tc>
          <w:tcPr>
            <w:tcW w:w="220" w:type="dxa"/>
            <w:vAlign w:val="bottom"/>
          </w:tcPr>
          <w:p>
            <w:pPr>
              <w:spacing w:after="0"/>
              <w:rPr>
                <w:sz w:val="21"/>
                <w:szCs w:val="21"/>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52,850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50,737</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355,167</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326,880</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28,287</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82,161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82,523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107,977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83,036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53,405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56,894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(3,489)</w:t>
            </w:r>
          </w:p>
        </w:tc>
        <w:tc>
          <w:tcPr>
            <w:tcW w:w="22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55,835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45,318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10,517</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338,585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310,966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27,619</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orders in all business units were impacted as a result of the six months ended November 2, 2019 including 27 weeks compared to the more common 26 weeks. The six months ended October 27, 2018 contained 26 weeks.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net sales, during the first six months ended November 2, 2019, we achieved a $13.2 million per week average run rate as compared to $12.6 million per week during the first six months ended October 27, 2018, or an approximate 4.6% increase. This change was driven by the order volume reasons described below and the timing of conversion related to the seasonality in our business.</w:t>
      </w:r>
    </w:p>
    <w:p>
      <w:pPr>
        <w:sectPr>
          <w:pgSz w:w="11900" w:h="16838" w:orient="portrait"/>
          <w:cols w:equalWidth="0" w:num="1">
            <w:col w:w="11420"/>
          </w:cols>
          <w:pgMar w:left="240" w:top="114"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4"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orders, during the first six months ended November 2, 2019, we achieved a $12.5 million per week average run rate as compared to $12.0 million per week during the first six months ended October 27, 2018, or an approximate 4.8% increase. We had an increase in orders placed during the first six months ended November 2, 2019 related to new releases of our product offerings.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Net sales for the six months ended November 2, 2019 compared to the same period one year ago increased as a result of the timing of projects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spectacular and OOH niches, while the on-premise niche remained relatively flat compared to the same period last year.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Orders for the six months ended November 2, 2019 compared to the same period one year ago remained relatively flat compared to the same period last year.</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six months ended November 2, 2019 compared to the same period one year ago was primarily due to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demand for upgraded or new solutions for arenas and professional sports stadiums.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six months ended November 2, 2019 compared to the same period one year ago due to an increase in the number of projects for professional sports and arena venues.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six months ended November 2, 2019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timing of converting orders and backlog into sales.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decreased for the six months ended November 2, 2019 compared to the same period one year ago due to the variability in order timing and a decrease in large video projects compared to the same period last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six months ended November 2, 2019 compared to the same period one year ago was related to the variability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large order timing and continued demand for intelligent transportation systems.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six months ended November 2, 2019 compared to the same period one year ago primarily due to the variability of timing caused by large projects.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increased in our International business unit for the six months ended November 2, 2019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the variability of timing caused by large spectacular and sports stadium projects.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Orders increased for the six months ended November 2, 2019 compared to the same period one year ago primarily due to general variations in the timing of large contracts in professional sports stadium and account-based order placements.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460"/>
              <w:spacing w:after="0"/>
              <w:rPr>
                <w:sz w:val="20"/>
                <w:szCs w:val="20"/>
                <w:color w:val="auto"/>
              </w:rPr>
            </w:pPr>
            <w:r>
              <w:rPr>
                <w:rFonts w:ascii="Arial" w:cs="Arial" w:eastAsia="Arial" w:hAnsi="Arial"/>
                <w:sz w:val="18"/>
                <w:szCs w:val="18"/>
                <w:b w:val="1"/>
                <w:bCs w:val="1"/>
                <w:color w:val="auto"/>
              </w:rPr>
              <w:t>November 2, 2019</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17,080</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20.4%</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24.3%</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rPr>
              <w:t>24,671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20.8</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22,545</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19,411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32.0</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32.3</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rPr>
              <w:t>13,757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35.0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11,591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32.9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10,673</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20.2</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8,956</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17.7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85,592</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24.1%</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81,004</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24.8%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is net sales less cost of sales. Cost of sales consists primarily of inventory, logistics related costs including tariffs and duties, consumables,</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our gross profit percentage for the six months ended November 2, 2019 compared to the same period one year ago was primarily due to an increase in tariff related expenses of approximately $2.6 million, or a 0.7% impact to gross profit, as last year at this time tariffs were just being introduced on US imports of aluminum, steel, and components from China. We also experienced additional expenses of approximately $3.0 million for project delivery costs and for an existing litigation claim estimate. Total warranty as a percent of sales decreased to 2.2% for the three months ended November 2, 2019 as compared to 2.5% during the six months ended October 27,</w:t>
      </w:r>
    </w:p>
    <w:p>
      <w:pPr>
        <w:sectPr>
          <w:pgSz w:w="11900" w:h="16838" w:orient="portrait"/>
          <w:cols w:equalWidth="0" w:num="1">
            <w:col w:w="11420"/>
          </w:cols>
          <w:pgMar w:left="240" w:top="121"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2018. The following describes the overall impact by business unit for the six months ended November 2, 2019 compared to the same period one year ago:</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profit percent decreased in our Commercial, Live Events, and High School Park and Recreation business units for the reasons described above, which was partially offset by higher sales volumes over relatively fixed infrastructure costs. The gross profit percent increased in the Transportation and International business units primarily due to higher sales volumes over relatively fixed infrastructure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Contribution Margin</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Six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4"/>
          </w:tcPr>
          <w:p>
            <w:pPr>
              <w:ind w:left="460"/>
              <w:spacing w:after="0"/>
              <w:rPr>
                <w:sz w:val="20"/>
                <w:szCs w:val="20"/>
                <w:color w:val="auto"/>
              </w:rPr>
            </w:pPr>
            <w:r>
              <w:rPr>
                <w:rFonts w:ascii="Arial" w:cs="Arial" w:eastAsia="Arial" w:hAnsi="Arial"/>
                <w:sz w:val="18"/>
                <w:szCs w:val="18"/>
                <w:b w:val="1"/>
                <w:bCs w:val="1"/>
                <w:color w:val="auto"/>
              </w:rPr>
              <w:t>November 2, 2019</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56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8"/>
              </w:rPr>
              <w:t>Net Sales</w:t>
            </w: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17,234</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15,903</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20.7</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13,258</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22.2</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11,347</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1"/>
                <w:szCs w:val="21"/>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9,286</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26.4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469.8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51,118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48,501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Contribution margin </w:t>
      </w:r>
      <w:r>
        <w:rPr>
          <w:rFonts w:ascii="Arial" w:cs="Arial" w:eastAsia="Arial" w:hAnsi="Arial"/>
          <w:sz w:val="16"/>
          <w:szCs w:val="16"/>
          <w:color w:val="auto"/>
        </w:rPr>
        <w:t>consists of gross profit less selling expenses. Selling expenses consist primarily of salaries, other employee-related costs,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Contribution margin is impacted by the previously discussed sales and gross margin for each business unit. The impact of changes in selling expenses on each business unit's contribution margin are as follows: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areas of selling expenses were impacted as a result of the six months ended November 2, 2019 including 27 weeks compared to the more common 26 weeks. The six months ended October 27, 2018 contained 26 weeks. Selling expense in our Commercial, Live Events, and High School Park and Recreation business units increased in the six months ended November 2, 2019 compared to the same period a year ago primarily due to personnel related expenses and increased marketing efforts. Selling expenses in our International business unit decreased in the six months ended November 2, 2019 compared to the same period one year ago primarily due to bad debt recovery and a decrease in third-party commissions. Selling expenses in our Transportation business unit remained relatively flat in the six months ended November 2, 2019 compared to the same period one year ago.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Six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480"/>
              <w:spacing w:after="0"/>
              <w:rPr>
                <w:sz w:val="20"/>
                <w:szCs w:val="20"/>
                <w:color w:val="auto"/>
              </w:rPr>
            </w:pPr>
            <w:r>
              <w:rPr>
                <w:rFonts w:ascii="Arial" w:cs="Arial" w:eastAsia="Arial" w:hAnsi="Arial"/>
                <w:sz w:val="18"/>
                <w:szCs w:val="18"/>
                <w:b w:val="1"/>
                <w:bCs w:val="1"/>
                <w:color w:val="auto"/>
              </w:rPr>
              <w:t>November 2, 2019</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5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18,058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460"/>
              <w:spacing w:after="0"/>
              <w:rPr>
                <w:sz w:val="20"/>
                <w:szCs w:val="20"/>
                <w:color w:val="auto"/>
              </w:rPr>
            </w:pPr>
            <w:r>
              <w:rPr>
                <w:rFonts w:ascii="Arial" w:cs="Arial" w:eastAsia="Arial" w:hAnsi="Arial"/>
                <w:sz w:val="18"/>
                <w:szCs w:val="18"/>
                <w:color w:val="auto"/>
              </w:rPr>
              <w:t>20,621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18,331</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areas of operating expenses were impacted as a result of the six months ended November 2, 2019 including 27 weeks compared to the more common 26 weeks. The six months ended October 27, 2018 contained 26 weeks.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six months ended November 2, 2019 increased as compared to the same period one year ago primarily due to an increase in professional fees and personnel related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design and development expenses in the six months ended November 2, 2019 as compared to the same period one year ago increased primarily due to increased labor costs and professional services assigned to product design and development projects. To deliver value to our customers and meet the markets' needs, we expect an increase in expenditures for new or enhanced customer solutions.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November 2,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October 27, 2018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80"/>
              <w:spacing w:after="0" w:line="194"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and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interest income, net in the six months ended November 2, 2019 compared to the same period one year ago was primarily due to the change in investment levels caused by the volatility of working capital needs.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six months ended November 2, 2019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due to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benefit was 14.6 percent for the six months ended November 2, 2019 as compared to an effective tax rate of 0.0 percent for the six months ended October 27, 2018. The change in the effective tax rate, as compared to the same period one year ago, is primarily driven by differences in tax credits proportionate to estimated pre-tax book income for the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2"/>
          </w:tcPr>
          <w:p>
            <w:pPr>
              <w:spacing w:after="0"/>
              <w:rPr>
                <w:rFonts w:ascii="Arial" w:cs="Arial" w:eastAsia="Arial" w:hAnsi="Arial"/>
                <w:sz w:val="14"/>
                <w:szCs w:val="14"/>
                <w:color w:val="0000EE"/>
                <w:w w:val="91"/>
              </w:rPr>
            </w:pPr>
            <w:hyperlink w:anchor="page2">
              <w:r>
                <w:rPr>
                  <w:rFonts w:ascii="Arial" w:cs="Arial" w:eastAsia="Arial" w:hAnsi="Arial"/>
                  <w:sz w:val="14"/>
                  <w:szCs w:val="14"/>
                  <w:color w:val="0000EE"/>
                  <w:w w:val="91"/>
                </w:rPr>
                <w:t>Table of contents</w:t>
              </w:r>
            </w:hyperlink>
          </w:p>
        </w:tc>
        <w:tc>
          <w:tcPr>
            <w:tcW w:w="57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670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Six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4"/>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2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12,260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(9,930)</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5,828</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Net cash (used in) provided by operating activities: </w:t>
      </w:r>
      <w:r>
        <w:rPr>
          <w:rFonts w:ascii="Arial" w:cs="Arial" w:eastAsia="Arial" w:hAnsi="Arial"/>
          <w:sz w:val="18"/>
          <w:szCs w:val="18"/>
          <w:color w:val="auto"/>
        </w:rPr>
        <w:t>Operating cash flows consist primarily of net income adjusted for non-cash items, including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stock-based compensation, deferred income taxes, and the effect of changes in operating assets and liabilities.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used in operating activities was $10.3 million for the first six months of fiscal 2020 compared to net cash provided by operating activities of $22.6 million in the first six months of fiscal 2019. The $32.9 million decrease in cash used in operating activities from the first six months of fiscal 2019 to the first six months of fiscal 2020 was the result of changes in net operating assets and liabilities of $33.8 million, $0.6 million in depreciation and amortization, and $0.6 million in other non-cash items, net, adjusted by a $1.1 million increase in net income and $1.0 million contingent liability adjustment.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27,</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tcPr>
          <w:p>
            <w:pPr>
              <w:spacing w:after="0"/>
              <w:rPr>
                <w:sz w:val="23"/>
                <w:szCs w:val="23"/>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(37,478)</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(15,663)</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receivables</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(1,860)</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assets</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 receivables</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(3,212)</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Investment in affiliates and other assets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Increase (decrease):</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Contract liabilities</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1,696</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Warranty obligations</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Long-term warranty obligations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332</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0" w:type="dxa"/>
            <w:vAlign w:val="bottom"/>
          </w:tcPr>
          <w:p>
            <w:pPr>
              <w:spacing w:after="0"/>
              <w:rPr>
                <w:sz w:val="22"/>
                <w:szCs w:val="22"/>
                <w:color w:val="auto"/>
              </w:rPr>
            </w:pPr>
          </w:p>
        </w:tc>
        <w:tc>
          <w:tcPr>
            <w:tcW w:w="68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(34,156)</w:t>
            </w:r>
          </w:p>
        </w:tc>
        <w:tc>
          <w:tcPr>
            <w:tcW w:w="2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82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Overall, changes in net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sports market seasonality.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 cash provided by (used in) investing activities: </w:t>
      </w:r>
      <w:r>
        <w:rPr>
          <w:rFonts w:ascii="Arial" w:cs="Arial" w:eastAsia="Arial" w:hAnsi="Arial"/>
          <w:sz w:val="18"/>
          <w:szCs w:val="18"/>
          <w:color w:val="auto"/>
        </w:rPr>
        <w:t>Net cash provided by investing activities totaled $12.3 million in the first six months of fiscal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cash used in investing activities of $9.9 million in the first six months of fiscal 2019. Marketable securities, net totaled $22.8 million in the first six months of fiscal 2020 as compared to $2.8 million in the first six months of fiscal 2019. Purchases of property and equipment totaled $9.8 million in the first six months of fiscal 2020 and in the first six months of fiscal 2019. During the first six months of fiscal 2019, we had a net cash outflow of $2.3 million for the acquisition of assets of AJT Systems, Inc.</w:t>
      </w:r>
    </w:p>
    <w:p>
      <w:pPr>
        <w:sectPr>
          <w:pgSz w:w="11900" w:h="16838" w:orient="portrait"/>
          <w:cols w:equalWidth="0" w:num="1">
            <w:col w:w="11420"/>
          </w:cols>
          <w:pgMar w:left="240" w:top="114"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4"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6"/>
          <w:szCs w:val="16"/>
          <w:color w:val="auto"/>
        </w:rPr>
        <w:t>Net cash used in financing activities was $8.3 million for the six months ended November 2, 2019 compared to $6.9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same period one year ago. Principal payments on long-term obligations for the first six months of fiscal 2020 were $1.9 million compared to $0.4 million during the first six months of fiscal 2019, which was mostly related to contingent liability payments. Dividends of $4.5 million, or $0.10 per share, were paid to Daktronics shareholders during the first six months of fiscal 2020, as compared to dividends of $6.3 million, or $0.14 per share, paid to Daktronics shareholders during the first six months of fiscal 2019. During the first six months of fiscal 2020, we repurchased $1.7 million of shares as part of the $40.0 million share repurchase plan authorized by our Board of Directors. There were no share repurchases in the first six months of fiscal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The timing and amounts of working capital changes, dividend payments, stock repurchase program,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impact our liquidity.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Working capital was $126.6 million and $119.6 million at November 2, 2019 and April 27, 2019, respectively.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depending on the amount of custom work and a customer’s delivery needs. We often receive down payments or progress payments on these orders.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$3.9 million of retainage on long-term contracts included in receivables and contract assets as of November 2, 2019, which has an impact on our liquidity. We expect to collect these amounts within one year. When working capital is needed, we have historically financed our cash needs through a combination of cash flow from operations and borrowings under bank credit agreements. During the fourth quarter of fiscal 2019, we violated one of our bank covenants, but we received a waiver from our banking institution for the year ended April 27, 2019.</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15, 2019, we entered into an amendment to extend the maturity date of our credit agreement and a related revolving bank note from November 15, 2019 to November 15, 2022 and to modify certain other terms and financial covenants. The revolving amount of the agreement and note remains at $35.0 million, including up to $15.0 million for commercial and standby letters of credit. The credit agreement is unsecured and requires us to be in compliance with certain financial ratios and other covenants. As of November 2, 2019, there were no advances to us under the loan portion of the line of credit, and the balance of letters of credit outstanding was approximately $9.6 million.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15, 2016, we entered into an amended and restated loan agreement and a related revolving note and continuing and unconditional guaranty agreement with another bank which supported our credit needs outside of the United States. The revolving amount of the loan was $20.0 million, with a maturity date of November 15, 2019. As of November 2, 2019, there were no advances outstanding under the loan agreement. We did not renew this agreement. Therefore, the loan agreement and related revolving note and guaranty expired and terminated according to their terms on November 15, 2019, and we have no continuing obligations or liability under this loan agreement, revolving note, and guaranty.</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sometimes required to obtain bank guarantees or other financial instruments for display installations and we have a global banking relationship to provide such instruments. If we are unable to meet the terms of the arrangement, our customer would draw on the banking arrangement, and the bank would subrogate its loss to Daktronics. As of November 2, 2019, we had $5.6 million of such instruments outstanding.</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November 2, 2019, we had $8.4 million of bonded work outstanding against this line.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and strategic investments. We are projecting capital expenditures to be less than $25 million for fiscal 2020 for purchases of manufacturing equipment for new or enhanced product production, expanded capacity, investments in quality and reliability equipment, and continued information infrastructure investments. We also evaluate and may invest in new technologies or acquire companies aligned with our business strategy.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and strategies in the foreseeable future. If our growth extends beyond current expectations, or if we make significant strategic investments, we may need to utilize and possibly increase our credit facilities or seek other means of financing. We anticipate we will be able to obtain any needed funds under commercially reasonable terms from our current lenders or other sources, although this availability cannot be guaranteed.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material change in our off-balance sheet arrangements and contractual obligations since the end of our 2019 fiscal year on April 27,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Annual Report on Form 10-K for the fiscal year ended April 27,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describe our significant accounting policies in "Note 1. Nature of Business and Summary of Significant Accounting Policies" of the Notes to Consolidated Financial Statements included in our Annual Report on Form 10-K for the fiscal year ended April 27, 2019. We discuss our critical accounting estimates in "Part II, Item 7. Management’s Discussion and Analysis of Financial Condition and Results of Operations" in our Annual Report on Form 10-K for the fiscal year ended April 27, 2019. In the first quarter of fiscal 2020, we adopted new lease guidance, as described in "Note 1. Basis of Presentation" of the Notes to the Condensed Consolidated Financial Statements included elsewhere in this Report. There have been no other significant changes in our significant accounting policies or critical accounting estimates since the end of fiscal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interest rate, foreign currency, and commodity risks as disclosed in our Annual Report on Form 10-K for the fiscal year ended April 27, 2019. There have been no material changes in our exposure to these risks during the first six months of fiscal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November 2, 2019, which is the end of the period covered by this Report. Based upon that evaluation, the Chief Executive Officer and Chief Financial Officer concluded that as of November 2, 2019,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November 2, 2019,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27, 2019.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of common stock during the second quarter of fiscal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may yet be purchased</w:t>
            </w:r>
          </w:p>
        </w:tc>
      </w:tr>
      <w:tr>
        <w:trPr>
          <w:trHeight w:val="216"/>
        </w:trPr>
        <w:tc>
          <w:tcPr>
            <w:tcW w:w="3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Average price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4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under the share</w:t>
            </w:r>
          </w:p>
        </w:tc>
      </w:tr>
      <w:tr>
        <w:trPr>
          <w:trHeight w:val="216"/>
        </w:trPr>
        <w:tc>
          <w:tcPr>
            <w:tcW w:w="3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Total number of</w:t>
            </w: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paid per share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 plans</w:t>
            </w:r>
          </w:p>
        </w:tc>
        <w:tc>
          <w:tcPr>
            <w:tcW w:w="140" w:type="dxa"/>
            <w:vAlign w:val="bottom"/>
          </w:tcPr>
          <w:p>
            <w:pPr>
              <w:spacing w:after="0"/>
              <w:rPr>
                <w:sz w:val="18"/>
                <w:szCs w:val="18"/>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repurchase</w:t>
            </w:r>
          </w:p>
        </w:tc>
      </w:tr>
      <w:tr>
        <w:trPr>
          <w:trHeight w:val="234"/>
        </w:trPr>
        <w:tc>
          <w:tcPr>
            <w:tcW w:w="3140" w:type="dxa"/>
            <w:vAlign w:val="bottom"/>
          </w:tcPr>
          <w:p>
            <w:pPr>
              <w:ind w:left="1320"/>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8"/>
              </w:rPr>
              <w:t>shares purchased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(including fees)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40" w:type="dxa"/>
            <w:vAlign w:val="bottom"/>
          </w:tcPr>
          <w:p>
            <w:pPr>
              <w:spacing w:after="0"/>
              <w:rPr>
                <w:sz w:val="20"/>
                <w:szCs w:val="20"/>
                <w:color w:val="auto"/>
              </w:rPr>
            </w:pPr>
          </w:p>
        </w:tc>
        <w:tc>
          <w:tcPr>
            <w:tcW w:w="16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program(1)</w:t>
            </w:r>
          </w:p>
        </w:tc>
      </w:tr>
      <w:tr>
        <w:trPr>
          <w:trHeight w:val="27"/>
        </w:trPr>
        <w:tc>
          <w:tcPr>
            <w:tcW w:w="3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August 4, 2019 - August 31,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83,158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36,492,884</w:t>
            </w:r>
          </w:p>
        </w:tc>
      </w:tr>
      <w:tr>
        <w:trPr>
          <w:trHeight w:val="250"/>
        </w:trPr>
        <w:tc>
          <w:tcPr>
            <w:tcW w:w="314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83,158</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83,158</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8890</wp:posOffset>
            </wp:positionV>
            <wp:extent cx="960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8890</wp:posOffset>
            </wp:positionV>
            <wp:extent cx="909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 w:lineRule="exact"/>
        <w:rPr>
          <w:sz w:val="20"/>
          <w:szCs w:val="20"/>
          <w:color w:val="auto"/>
        </w:rPr>
      </w:pPr>
    </w:p>
    <w:p>
      <w:pPr>
        <w:ind w:firstLine="8"/>
        <w:spacing w:after="0" w:line="277"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 repurchases described in the above table were made pursuant to the $40.0 million share repurchase program authorized by the Board of Directors on June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-302260</wp:posOffset>
            </wp:positionV>
            <wp:extent cx="960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-302260</wp:posOffset>
            </wp:positionV>
            <wp:extent cx="909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November 27,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96"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9">
        <w:r>
          <w:rPr>
            <w:rFonts w:ascii="Arial" w:cs="Arial" w:eastAsia="Arial" w:hAnsi="Arial"/>
            <w:sz w:val="18"/>
            <w:szCs w:val="18"/>
            <w:u w:val="single" w:color="auto"/>
            <w:color w:val="0000FF"/>
          </w:rPr>
          <w:t>Amended and Restated Articles of Incorporation of the Company. (Incorporated by reference to Exhibit 3.1 of the Current Report on Form 10-Q/A</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(Amendment No. 1) of Daktronics, Inc. filed on December 21, 2018).</w:t>
        </w:r>
      </w:hyperlink>
    </w:p>
    <w:p>
      <w:pPr>
        <w:spacing w:after="0" w:line="224"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r:id="rId20">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20">
        <w:r>
          <w:rPr>
            <w:rFonts w:ascii="Arial" w:cs="Arial" w:eastAsia="Arial" w:hAnsi="Arial"/>
            <w:sz w:val="16"/>
            <w:szCs w:val="16"/>
            <w:u w:val="single" w:color="auto"/>
            <w:color w:val="0000FF"/>
          </w:rPr>
          <w:t>Amended and Restated Bylaws of the Company (Incorporated by reference to Exhibit 3.4 filed with our Annual Report on Form 10-K on June 12,</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22">
        <w:r>
          <w:rPr>
            <w:rFonts w:ascii="Arial" w:cs="Arial" w:eastAsia="Arial" w:hAnsi="Arial"/>
            <w:sz w:val="18"/>
            <w:szCs w:val="18"/>
            <w:u w:val="single" w:color="auto"/>
            <w:color w:val="0000FF"/>
          </w:rPr>
          <w:t>Rights Agreement dated as of November 16, 2018 between Daktronics, Inc. and Equiniti Trust Company, as Rights Agent (Incorporated by</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reference to Exhibit 4.1 of the Current Report on Form 8-K of Daktronics, Inc. filed on November 16, 2018).</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23">
        <w:r>
          <w:rPr>
            <w:rFonts w:ascii="Arial" w:cs="Arial" w:eastAsia="Arial" w:hAnsi="Arial"/>
            <w:sz w:val="18"/>
            <w:szCs w:val="18"/>
            <w:u w:val="single" w:color="auto"/>
            <w:color w:val="0000FF"/>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Exhibit 10.1 filed with our Current Report on Form 8-K filed on November 16,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25">
        <w:r>
          <w:rPr>
            <w:rFonts w:ascii="Arial" w:cs="Arial" w:eastAsia="Arial" w:hAnsi="Arial"/>
            <w:sz w:val="18"/>
            <w:szCs w:val="18"/>
            <w:u w:val="single" w:color="auto"/>
            <w:color w:val="0000FF"/>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filed with our Current Report on Form 8-K filed on November 16, 2016).</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6">
        <w:r>
          <w:rPr>
            <w:rFonts w:ascii="Arial" w:cs="Arial" w:eastAsia="Arial" w:hAnsi="Arial"/>
            <w:sz w:val="18"/>
            <w:szCs w:val="18"/>
            <w:u w:val="single" w:color="auto"/>
            <w:color w:val="0000FF"/>
          </w:rPr>
          <w:t>Second Amendment to Credit Agreement dated as of November 15, 2019 by and between the Company and U.S. Bank National Association</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(Incorporated by reference to Exhibit 10.1 filed with our Current Report on Form 8-K filed on November 15,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Daktronics, Inc. 2015 Stock Incentive Plan ("2015 Plan"). (Incorporated by reference to Exhibit A to the Company's Definitive Proxy Statement on</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Schedule 14A filed on July 14, 2015).</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r:id="rId29">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9">
        <w:r>
          <w:rPr>
            <w:rFonts w:ascii="Arial" w:cs="Arial" w:eastAsia="Arial" w:hAnsi="Arial"/>
            <w:sz w:val="16"/>
            <w:szCs w:val="16"/>
            <w:u w:val="single" w:color="auto"/>
            <w:color w:val="0000FF"/>
          </w:rPr>
          <w:t>Form of Restricted Stock Award Agreement under the 2015 Plan (Incorporated by reference to Exhibit 10.2 filed with our Current Report on Form</w:t>
        </w:r>
      </w:hyperlink>
    </w:p>
    <w:p>
      <w:pPr>
        <w:spacing w:after="0" w:line="23" w:lineRule="exact"/>
        <w:rPr>
          <w:sz w:val="20"/>
          <w:szCs w:val="20"/>
          <w:color w:val="auto"/>
        </w:rPr>
      </w:pPr>
    </w:p>
    <w:p>
      <w:pPr>
        <w:ind w:left="720"/>
        <w:spacing w:after="0"/>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8-K on September 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Form of Non-Qualified Stock Option Agreement Terms and Conditions under the 2015 Plan (Incorporated by reference to Exhibit 10.3 filed with</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our Current Report 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32">
        <w:r>
          <w:rPr>
            <w:rFonts w:ascii="Arial" w:cs="Arial" w:eastAsia="Arial" w:hAnsi="Arial"/>
            <w:sz w:val="18"/>
            <w:szCs w:val="18"/>
            <w:u w:val="single" w:color="auto"/>
            <w:color w:val="0000FF"/>
          </w:rPr>
          <w:t>Form of Incentive Stock Option Terms and Conditions under the 2015 Plan (Incorporated by reference to Exhibit 10.4 filed with our Current Report</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on Form 8-K on September 3,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34">
        <w:r>
          <w:rPr>
            <w:rFonts w:ascii="Arial" w:cs="Arial" w:eastAsia="Arial" w:hAnsi="Arial"/>
            <w:sz w:val="18"/>
            <w:szCs w:val="18"/>
            <w:u w:val="single" w:color="auto"/>
            <w:color w:val="0000FF"/>
          </w:rPr>
          <w:t>Form of Restricted Stock Unit Terms and Conditions under the 2015 Plan (Incorporated by reference to Exhibit 10.5 filed with our Current Report</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on Form 8-K on September 3, 2015).</w:t>
        </w:r>
      </w:hyperlink>
    </w:p>
    <w:p>
      <w:pPr>
        <w:spacing w:after="0" w:line="8" w:lineRule="exact"/>
        <w:rPr>
          <w:rFonts w:ascii="Arial" w:cs="Arial" w:eastAsia="Arial" w:hAnsi="Arial"/>
          <w:sz w:val="18"/>
          <w:szCs w:val="18"/>
          <w:u w:val="single" w:color="auto"/>
          <w:color w:val="0000FF"/>
        </w:rPr>
      </w:pP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39">
        <w:r>
          <w:rPr>
            <w:rFonts w:ascii="Arial" w:cs="Arial" w:eastAsia="Arial" w:hAnsi="Arial"/>
            <w:sz w:val="18"/>
            <w:szCs w:val="18"/>
            <w:u w:val="single" w:color="auto"/>
            <w:color w:val="0000FF"/>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pursuant to Section 302 of the Sarbanes-Oxley Act of 2002.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0">
        <w:r>
          <w:rPr>
            <w:rFonts w:ascii="Arial" w:cs="Arial" w:eastAsia="Arial" w:hAnsi="Arial"/>
            <w:sz w:val="18"/>
            <w:szCs w:val="18"/>
            <w:u w:val="single" w:color="auto"/>
            <w:color w:val="0000FF"/>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pursuant to Section 302 of the Sarbanes-Oxley Act of 2002. (1)</w:t>
        </w:r>
      </w:hyperlink>
    </w:p>
    <w:p>
      <w:pPr>
        <w:spacing w:after="0" w:line="8" w:lineRule="exact"/>
        <w:rPr>
          <w:rFonts w:ascii="Arial" w:cs="Arial" w:eastAsia="Arial" w:hAnsi="Arial"/>
          <w:sz w:val="18"/>
          <w:szCs w:val="18"/>
          <w:u w:val="single" w:color="auto"/>
          <w:color w:val="0000FF"/>
        </w:rPr>
      </w:pPr>
    </w:p>
    <w:p>
      <w:pPr>
        <w:ind w:left="40"/>
        <w:spacing w:after="0"/>
        <w:tabs>
          <w:tab w:leader="none" w:pos="700" w:val="left"/>
        </w:tabs>
        <w:rPr>
          <w:rFonts w:ascii="Arial" w:cs="Arial" w:eastAsia="Arial" w:hAnsi="Arial"/>
          <w:sz w:val="16"/>
          <w:szCs w:val="16"/>
          <w:u w:val="single" w:color="auto"/>
          <w:color w:val="0000FF"/>
        </w:rPr>
      </w:pPr>
      <w:hyperlink w:anchor="page41">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1">
        <w:r>
          <w:rPr>
            <w:rFonts w:ascii="Arial" w:cs="Arial" w:eastAsia="Arial" w:hAnsi="Arial"/>
            <w:sz w:val="16"/>
            <w:szCs w:val="16"/>
            <w:u w:val="single" w:color="auto"/>
            <w:color w:val="0000FF"/>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00" w:val="left"/>
        </w:tabs>
        <w:rPr>
          <w:rFonts w:ascii="Arial" w:cs="Arial" w:eastAsia="Arial" w:hAnsi="Arial"/>
          <w:sz w:val="16"/>
          <w:szCs w:val="16"/>
          <w:u w:val="single" w:color="auto"/>
          <w:color w:val="0000FF"/>
        </w:rPr>
      </w:pPr>
      <w:hyperlink w:anchor="page42">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2">
        <w:r>
          <w:rPr>
            <w:rFonts w:ascii="Arial" w:cs="Arial" w:eastAsia="Arial" w:hAnsi="Arial"/>
            <w:sz w:val="16"/>
            <w:szCs w:val="16"/>
            <w:u w:val="single" w:color="auto"/>
            <w:color w:val="0000FF"/>
          </w:rPr>
          <w:t>Certification of the Chief Financial Officer pursuant to Section 906 of the Sarbanes-Oxley Act of 2002 (18 U.S.C. Section 1350). (1)</w:t>
        </w:r>
      </w:hyperlink>
    </w:p>
    <w:p>
      <w:pPr>
        <w:spacing w:after="0" w:line="63" w:lineRule="exact"/>
        <w:rPr>
          <w:sz w:val="20"/>
          <w:szCs w:val="20"/>
          <w:color w:val="auto"/>
        </w:rPr>
      </w:pPr>
    </w:p>
    <w:p>
      <w:pPr>
        <w:jc w:val="both"/>
        <w:ind w:left="720" w:right="40" w:hanging="685"/>
        <w:spacing w:after="0" w:line="291"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period ended November 2, 2019 formatted in Extensible Business Reporting Language (XBRL): (i) the Condensed Consolidated Balance Sheets, (ii) the Condensed Consolidated Statements of Operations,</w:t>
      </w:r>
    </w:p>
    <w:p>
      <w:pPr>
        <w:ind w:left="720" w:right="40" w:firstLine="4"/>
        <w:spacing w:after="0" w:line="261" w:lineRule="auto"/>
        <w:tabs>
          <w:tab w:leader="none" w:pos="104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Condensed Consolidated Statements of Comprehensive Income, (iv) the Condensed Consolidated Statements of Cash Flows, (v) Notes to Condensed Consolidated Financial Statements, and (vii) document and entity information. (1)</w:t>
      </w:r>
    </w:p>
    <w:p>
      <w:pPr>
        <w:spacing w:after="0" w:line="21" w:lineRule="exact"/>
        <w:rPr>
          <w:rFonts w:ascii="Arial" w:cs="Arial" w:eastAsia="Arial" w:hAnsi="Arial"/>
          <w:sz w:val="18"/>
          <w:szCs w:val="18"/>
          <w:color w:val="auto"/>
        </w:rPr>
      </w:pPr>
    </w:p>
    <w:p>
      <w:pPr>
        <w:ind w:left="1180" w:hanging="358"/>
        <w:spacing w:after="0"/>
        <w:tabs>
          <w:tab w:leader="none" w:pos="1180" w:val="left"/>
        </w:tabs>
        <w:numPr>
          <w:ilvl w:val="2"/>
          <w:numId w:val="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November 2, 2019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11/27/2019</w:t>
      </w:r>
    </w:p>
    <w:p>
      <w:pPr>
        <w:sectPr>
          <w:pgSz w:w="11900" w:h="16838" w:orient="portrait"/>
          <w:cols w:equalWidth="0" w:num="1">
            <w:col w:w="11420"/>
          </w:cols>
          <w:pgMar w:left="240" w:top="55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November 2, 2019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11/27/2019</w:t>
      </w:r>
    </w:p>
    <w:p>
      <w:pPr>
        <w:sectPr>
          <w:pgSz w:w="11900" w:h="16838" w:orient="portrait"/>
          <w:cols w:equalWidth="0" w:num="1">
            <w:col w:w="11420"/>
          </w:cols>
          <w:pgMar w:left="240" w:top="55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November 2, 2019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11/27/2019</w:t>
      </w:r>
    </w:p>
    <w:p>
      <w:pPr>
        <w:sectPr>
          <w:pgSz w:w="11900" w:h="16838" w:orient="portrait"/>
          <w:cols w:equalWidth="0" w:num="1">
            <w:col w:w="11420"/>
          </w:cols>
          <w:pgMar w:left="240" w:top="55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November 2, 2019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11/27/2019</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840"/>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1"/>
    </w:lvl>
    <w:lvl w:ilvl="1">
      <w:lvlJc w:val="left"/>
      <w:lvlText w:val="(%2)"/>
      <w:numFmt w:val="lowerRoman"/>
      <w:start w:val="3"/>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4" Type="http://schemas.openxmlformats.org/officeDocument/2006/relationships/image" Target="media/image13.png"/><Relationship Id="rId27" Type="http://schemas.openxmlformats.org/officeDocument/2006/relationships/image" Target="media/image14.png"/><Relationship Id="rId30" Type="http://schemas.openxmlformats.org/officeDocument/2006/relationships/image" Target="media/image15.png"/><Relationship Id="rId33"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19" Type="http://schemas.openxmlformats.org/officeDocument/2006/relationships/hyperlink" Target="http://www.sec.gov/Archives/edgar/data/915779/000091577918000119/exhibit31.htm" TargetMode="External"/><Relationship Id="rId20" Type="http://schemas.openxmlformats.org/officeDocument/2006/relationships/hyperlink" Target="http://www.sec.gov/Archives/edgar/data/915779/000091577913000026/dakt_exx34x10-kx2013.htm" TargetMode="External"/><Relationship Id="rId22" Type="http://schemas.openxmlformats.org/officeDocument/2006/relationships/hyperlink" Target="http://www.sec.gov/Archives/edgar/data/915779/000091577918000089/dakt_20181116x8-kxex41.htm" TargetMode="External"/><Relationship Id="rId23" Type="http://schemas.openxmlformats.org/officeDocument/2006/relationships/hyperlink" Target="http://www.sec.gov/Archives/edgar/data/915779/000091577916000233/dakt_20161115xex101.htm" TargetMode="External"/><Relationship Id="rId25" Type="http://schemas.openxmlformats.org/officeDocument/2006/relationships/hyperlink" Target="http://www.sec.gov/Archives/edgar/data/915779/000091577916000233/dakt_20161115xex102.htm" TargetMode="External"/><Relationship Id="rId26" Type="http://schemas.openxmlformats.org/officeDocument/2006/relationships/hyperlink" Target="http://www.sec.gov/Archives/edgar/data/915779/000091577919000079/dakt_20191115xex101.htm" TargetMode="External"/><Relationship Id="rId28" Type="http://schemas.openxmlformats.org/officeDocument/2006/relationships/hyperlink" Target="http://www.sec.gov/Archives/edgar/data/915779/000091577915000046/dakt-20150501_defx14a.htm#s4b4ce7db85924a1dba35b799a722a4cd" TargetMode="External"/><Relationship Id="rId29" Type="http://schemas.openxmlformats.org/officeDocument/2006/relationships/hyperlink" Target="http://www.sec.gov/Archives/edgar/data/915779/000091577915000068/dakt_ex102x8-kxsomx2015.htm" TargetMode="External"/><Relationship Id="rId31" Type="http://schemas.openxmlformats.org/officeDocument/2006/relationships/hyperlink" Target="http://www.sec.gov/Archives/edgar/data/915779/000091577915000068/dakt_ex103x8-kxsomx2015.htm" TargetMode="External"/><Relationship Id="rId32" Type="http://schemas.openxmlformats.org/officeDocument/2006/relationships/hyperlink" Target="http://www.sec.gov/Archives/edgar/data/915779/000091577915000068/dakt_ex104x8-kxsomx2015.htm" TargetMode="External"/><Relationship Id="rId34" Type="http://schemas.openxmlformats.org/officeDocument/2006/relationships/hyperlink" Target="http://www.sec.gov/Archives/edgar/data/915779/000091577915000068/dakt_ex105x8-kxsomx2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2019-12-28T01:19:07Z</dcterms:created>
  <dcterms:modified xsi:type="dcterms:W3CDTF">2019-12-28T01:19:07Z</dcterms:modified>
</cp:coreProperties>
</file>