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15" w:lineRule="exact"/>
        <w:rPr>
          <w:sz w:val="24"/>
          <w:szCs w:val="24"/>
          <w:color w:val="auto"/>
        </w:rPr>
      </w:pPr>
    </w:p>
    <w:p>
      <w:pPr>
        <w:ind w:left="4020" w:right="1780" w:hanging="4012"/>
        <w:spacing w:after="0" w:line="282" w:lineRule="auto"/>
        <w:tabs>
          <w:tab w:leader="none" w:pos="30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July 31, 2021</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 w:lineRule="exact"/>
        <w:rPr>
          <w:sz w:val="24"/>
          <w:szCs w:val="24"/>
          <w:color w:val="auto"/>
        </w:rPr>
      </w:pPr>
    </w:p>
    <w:p>
      <w:pPr>
        <w:ind w:left="4120" w:right="1780" w:hanging="4112"/>
        <w:spacing w:after="0" w:line="253" w:lineRule="auto"/>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142875</wp:posOffset>
            </wp:positionV>
            <wp:extent cx="1097280" cy="676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3380" w:type="dxa"/>
            <w:vAlign w:val="bottom"/>
            <w:tcBorders>
              <w:bottom w:val="single" w:sz="8" w:color="auto"/>
            </w:tcBorders>
          </w:tcPr>
          <w:p>
            <w:pPr>
              <w:jc w:val="center"/>
              <w:ind w:left="710"/>
              <w:spacing w:after="0"/>
              <w:rPr>
                <w:sz w:val="20"/>
                <w:szCs w:val="20"/>
                <w:color w:val="auto"/>
              </w:rPr>
            </w:pPr>
            <w:r>
              <w:rPr>
                <w:rFonts w:ascii="Arial" w:cs="Arial" w:eastAsia="Arial" w:hAnsi="Arial"/>
                <w:sz w:val="18"/>
                <w:szCs w:val="18"/>
                <w:b w:val="1"/>
                <w:bCs w:val="1"/>
                <w:color w:val="auto"/>
                <w:w w:val="91"/>
              </w:rPr>
              <w:t>South Dakota</w:t>
            </w:r>
          </w:p>
        </w:tc>
        <w:tc>
          <w:tcPr>
            <w:tcW w:w="8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46-0306862</w:t>
            </w:r>
          </w:p>
        </w:tc>
        <w:tc>
          <w:tcPr>
            <w:tcW w:w="80" w:type="dxa"/>
            <w:vAlign w:val="bottom"/>
          </w:tcPr>
          <w:p>
            <w:pPr>
              <w:spacing w:after="0"/>
              <w:rPr>
                <w:sz w:val="20"/>
                <w:szCs w:val="20"/>
                <w:color w:val="auto"/>
              </w:rPr>
            </w:pPr>
          </w:p>
        </w:tc>
      </w:tr>
      <w:tr>
        <w:trPr>
          <w:trHeight w:val="195"/>
        </w:trPr>
        <w:tc>
          <w:tcPr>
            <w:tcW w:w="3380" w:type="dxa"/>
            <w:vAlign w:val="bottom"/>
          </w:tcPr>
          <w:p>
            <w:pPr>
              <w:jc w:val="center"/>
              <w:ind w:left="710"/>
              <w:spacing w:after="0" w:line="195" w:lineRule="exact"/>
              <w:rPr>
                <w:sz w:val="20"/>
                <w:szCs w:val="20"/>
                <w:color w:val="auto"/>
              </w:rPr>
            </w:pPr>
            <w:r>
              <w:rPr>
                <w:rFonts w:ascii="Arial" w:cs="Arial" w:eastAsia="Arial" w:hAnsi="Arial"/>
                <w:sz w:val="18"/>
                <w:szCs w:val="18"/>
                <w:color w:val="auto"/>
                <w:w w:val="91"/>
              </w:rPr>
              <w:t>(State or Other Jurisdiction of</w:t>
            </w: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3"/>
              </w:rPr>
              <w:t>(I.R.S. Employer Identification No.)</w:t>
            </w:r>
          </w:p>
        </w:tc>
        <w:tc>
          <w:tcPr>
            <w:tcW w:w="80" w:type="dxa"/>
            <w:vAlign w:val="bottom"/>
          </w:tcPr>
          <w:p>
            <w:pPr>
              <w:spacing w:after="0"/>
              <w:rPr>
                <w:sz w:val="16"/>
                <w:szCs w:val="16"/>
                <w:color w:val="auto"/>
              </w:rPr>
            </w:pPr>
          </w:p>
        </w:tc>
      </w:tr>
      <w:tr>
        <w:trPr>
          <w:trHeight w:val="230"/>
        </w:trPr>
        <w:tc>
          <w:tcPr>
            <w:tcW w:w="3380" w:type="dxa"/>
            <w:vAlign w:val="bottom"/>
          </w:tcPr>
          <w:p>
            <w:pPr>
              <w:jc w:val="center"/>
              <w:ind w:left="710"/>
              <w:spacing w:after="0"/>
              <w:rPr>
                <w:sz w:val="20"/>
                <w:szCs w:val="20"/>
                <w:color w:val="auto"/>
              </w:rPr>
            </w:pPr>
            <w:r>
              <w:rPr>
                <w:rFonts w:ascii="Arial" w:cs="Arial" w:eastAsia="Arial" w:hAnsi="Arial"/>
                <w:sz w:val="18"/>
                <w:szCs w:val="18"/>
                <w:color w:val="auto"/>
                <w:w w:val="92"/>
              </w:rPr>
              <w:t>Incorporation or Organization)</w:t>
            </w: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380" w:type="dxa"/>
            <w:vAlign w:val="bottom"/>
          </w:tcPr>
          <w:p>
            <w:pPr>
              <w:jc w:val="center"/>
              <w:ind w:left="730"/>
              <w:spacing w:after="0"/>
              <w:rPr>
                <w:sz w:val="20"/>
                <w:szCs w:val="20"/>
                <w:color w:val="auto"/>
              </w:rPr>
            </w:pPr>
            <w:r>
              <w:rPr>
                <w:rFonts w:ascii="Arial" w:cs="Arial" w:eastAsia="Arial" w:hAnsi="Arial"/>
                <w:sz w:val="18"/>
                <w:szCs w:val="18"/>
                <w:b w:val="1"/>
                <w:bCs w:val="1"/>
                <w:color w:val="auto"/>
                <w:w w:val="92"/>
              </w:rPr>
              <w:t>201 Daktronics Drive</w:t>
            </w:r>
          </w:p>
        </w:tc>
        <w:tc>
          <w:tcPr>
            <w:tcW w:w="800" w:type="dxa"/>
            <w:vAlign w:val="bottom"/>
          </w:tcPr>
          <w:p>
            <w:pPr>
              <w:spacing w:after="0"/>
              <w:rPr>
                <w:sz w:val="24"/>
                <w:szCs w:val="24"/>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w w:val="89"/>
              </w:rPr>
              <w:t>Brookings,</w:t>
            </w:r>
          </w:p>
        </w:tc>
        <w:tc>
          <w:tcPr>
            <w:tcW w:w="1820" w:type="dxa"/>
            <w:vAlign w:val="bottom"/>
            <w:gridSpan w:val="3"/>
          </w:tcPr>
          <w:p>
            <w:pPr>
              <w:ind w:left="840"/>
              <w:spacing w:after="0"/>
              <w:rPr>
                <w:sz w:val="20"/>
                <w:szCs w:val="20"/>
                <w:color w:val="auto"/>
              </w:rPr>
            </w:pPr>
            <w:r>
              <w:rPr>
                <w:rFonts w:ascii="Arial" w:cs="Arial" w:eastAsia="Arial" w:hAnsi="Arial"/>
                <w:sz w:val="18"/>
                <w:szCs w:val="18"/>
                <w:b w:val="1"/>
                <w:bCs w:val="1"/>
                <w:color w:val="auto"/>
              </w:rPr>
              <w:t>SD</w:t>
            </w:r>
          </w:p>
        </w:tc>
        <w:tc>
          <w:tcPr>
            <w:tcW w:w="4000" w:type="dxa"/>
            <w:vAlign w:val="bottom"/>
          </w:tcPr>
          <w:p>
            <w:pPr>
              <w:jc w:val="right"/>
              <w:ind w:right="1750"/>
              <w:spacing w:after="0"/>
              <w:rPr>
                <w:sz w:val="20"/>
                <w:szCs w:val="20"/>
                <w:color w:val="auto"/>
              </w:rPr>
            </w:pPr>
            <w:r>
              <w:rPr>
                <w:rFonts w:ascii="Arial" w:cs="Arial" w:eastAsia="Arial" w:hAnsi="Arial"/>
                <w:sz w:val="18"/>
                <w:szCs w:val="18"/>
                <w:b w:val="1"/>
                <w:bCs w:val="1"/>
                <w:color w:val="auto"/>
              </w:rPr>
              <w:t>57006</w:t>
            </w: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3780" w:type="dxa"/>
            <w:vAlign w:val="bottom"/>
            <w:gridSpan w:val="6"/>
          </w:tcPr>
          <w:p>
            <w:pPr>
              <w:ind w:left="740"/>
              <w:spacing w:after="0"/>
              <w:rPr>
                <w:sz w:val="20"/>
                <w:szCs w:val="20"/>
                <w:color w:val="auto"/>
              </w:rPr>
            </w:pPr>
            <w:r>
              <w:rPr>
                <w:rFonts w:ascii="Arial" w:cs="Arial" w:eastAsia="Arial" w:hAnsi="Arial"/>
                <w:sz w:val="18"/>
                <w:szCs w:val="18"/>
                <w:color w:val="auto"/>
                <w:w w:val="95"/>
              </w:rPr>
              <w:t>(Address of Principal Executive Offices)</w:t>
            </w:r>
          </w:p>
        </w:tc>
        <w:tc>
          <w:tcPr>
            <w:tcW w:w="4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380" w:type="dxa"/>
            <w:vAlign w:val="bottom"/>
          </w:tcPr>
          <w:p>
            <w:pPr>
              <w:spacing w:after="0"/>
              <w:rPr>
                <w:sz w:val="24"/>
                <w:szCs w:val="24"/>
                <w:color w:val="auto"/>
              </w:rPr>
            </w:pPr>
          </w:p>
        </w:tc>
        <w:tc>
          <w:tcPr>
            <w:tcW w:w="3340" w:type="dxa"/>
            <w:vAlign w:val="bottom"/>
            <w:gridSpan w:val="4"/>
          </w:tcPr>
          <w:p>
            <w:pPr>
              <w:jc w:val="center"/>
              <w:ind w:left="1050"/>
              <w:spacing w:after="0"/>
              <w:rPr>
                <w:sz w:val="20"/>
                <w:szCs w:val="20"/>
                <w:color w:val="auto"/>
              </w:rPr>
            </w:pPr>
            <w:r>
              <w:rPr>
                <w:rFonts w:ascii="Arial" w:cs="Arial" w:eastAsia="Arial" w:hAnsi="Arial"/>
                <w:sz w:val="18"/>
                <w:szCs w:val="18"/>
                <w:b w:val="1"/>
                <w:bCs w:val="1"/>
                <w:color w:val="auto"/>
                <w:w w:val="90"/>
              </w:rPr>
              <w:t>(605) 692-0200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7780" w:type="dxa"/>
            <w:vAlign w:val="bottom"/>
            <w:gridSpan w:val="7"/>
          </w:tcPr>
          <w:p>
            <w:pPr>
              <w:jc w:val="center"/>
              <w:ind w:right="3210"/>
              <w:spacing w:after="0"/>
              <w:rPr>
                <w:sz w:val="20"/>
                <w:szCs w:val="20"/>
                <w:color w:val="auto"/>
              </w:rPr>
            </w:pPr>
            <w:r>
              <w:rPr>
                <w:rFonts w:ascii="Arial" w:cs="Arial" w:eastAsia="Arial" w:hAnsi="Arial"/>
                <w:sz w:val="18"/>
                <w:szCs w:val="18"/>
                <w:color w:val="auto"/>
                <w:w w:val="91"/>
              </w:rPr>
              <w:t>(Registrant’s Telephone Number, Including Area Code)</w:t>
            </w:r>
          </w:p>
        </w:tc>
        <w:tc>
          <w:tcPr>
            <w:tcW w:w="80" w:type="dxa"/>
            <w:vAlign w:val="bottom"/>
          </w:tcPr>
          <w:p>
            <w:pPr>
              <w:spacing w:after="0"/>
              <w:rPr>
                <w:sz w:val="20"/>
                <w:szCs w:val="20"/>
                <w:color w:val="auto"/>
              </w:rPr>
            </w:pPr>
          </w:p>
        </w:tc>
      </w:tr>
      <w:tr>
        <w:trPr>
          <w:trHeight w:val="432"/>
        </w:trPr>
        <w:tc>
          <w:tcPr>
            <w:tcW w:w="3380" w:type="dxa"/>
            <w:vAlign w:val="bottom"/>
          </w:tcPr>
          <w:p>
            <w:pPr>
              <w:spacing w:after="0"/>
              <w:rPr>
                <w:sz w:val="24"/>
                <w:szCs w:val="24"/>
                <w:color w:val="auto"/>
              </w:rPr>
            </w:pPr>
          </w:p>
        </w:tc>
        <w:tc>
          <w:tcPr>
            <w:tcW w:w="7780" w:type="dxa"/>
            <w:vAlign w:val="bottom"/>
            <w:gridSpan w:val="7"/>
          </w:tcPr>
          <w:p>
            <w:pPr>
              <w:jc w:val="center"/>
              <w:ind w:right="31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80" w:type="dxa"/>
            <w:vAlign w:val="bottom"/>
          </w:tcPr>
          <w:p>
            <w:pPr>
              <w:spacing w:after="0"/>
              <w:rPr>
                <w:sz w:val="24"/>
                <w:szCs w:val="24"/>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spacing w:after="0"/>
              <w:rPr>
                <w:sz w:val="18"/>
                <w:szCs w:val="18"/>
                <w:color w:val="auto"/>
              </w:rPr>
            </w:pP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09"/>
        </w:trPr>
        <w:tc>
          <w:tcPr>
            <w:tcW w:w="3380" w:type="dxa"/>
            <w:vAlign w:val="bottom"/>
            <w:tcBorders>
              <w:left w:val="single" w:sz="8" w:color="auto"/>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Title of each class</w:t>
            </w: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40" w:type="dxa"/>
            <w:vAlign w:val="bottom"/>
            <w:tcBorders>
              <w:bottom w:val="single" w:sz="8" w:color="auto"/>
            </w:tcBorders>
            <w:gridSpan w:val="2"/>
          </w:tcPr>
          <w:p>
            <w:pPr>
              <w:spacing w:after="0"/>
              <w:rPr>
                <w:sz w:val="18"/>
                <w:szCs w:val="18"/>
                <w:color w:val="auto"/>
              </w:rPr>
            </w:pPr>
          </w:p>
        </w:tc>
        <w:tc>
          <w:tcPr>
            <w:tcW w:w="40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80" w:type="dxa"/>
            <w:vAlign w:val="bottom"/>
            <w:tcBorders>
              <w:bottom w:val="single" w:sz="8" w:color="auto"/>
              <w:right w:val="single" w:sz="8" w:color="auto"/>
            </w:tcBorders>
          </w:tcPr>
          <w:p>
            <w:pPr>
              <w:spacing w:after="0"/>
              <w:rPr>
                <w:sz w:val="18"/>
                <w:szCs w:val="18"/>
                <w:color w:val="auto"/>
              </w:rPr>
            </w:pPr>
          </w:p>
        </w:tc>
      </w:tr>
      <w:tr>
        <w:trPr>
          <w:trHeight w:val="226"/>
        </w:trPr>
        <w:tc>
          <w:tcPr>
            <w:tcW w:w="3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Common Stock, No Par Value</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gridSpan w:val="2"/>
          </w:tcPr>
          <w:p>
            <w:pPr>
              <w:spacing w:after="0"/>
              <w:rPr>
                <w:sz w:val="19"/>
                <w:szCs w:val="19"/>
                <w:color w:val="auto"/>
              </w:rPr>
            </w:pPr>
          </w:p>
        </w:tc>
        <w:tc>
          <w:tcPr>
            <w:tcW w:w="4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Nasdaq Global Select Market</w:t>
            </w:r>
          </w:p>
        </w:tc>
        <w:tc>
          <w:tcPr>
            <w:tcW w:w="80" w:type="dxa"/>
            <w:vAlign w:val="bottom"/>
            <w:tcBorders>
              <w:bottom w:val="single" w:sz="8" w:color="auto"/>
              <w:right w:val="single" w:sz="8" w:color="auto"/>
            </w:tcBorders>
          </w:tcPr>
          <w:p>
            <w:pPr>
              <w:spacing w:after="0"/>
              <w:rPr>
                <w:sz w:val="19"/>
                <w:szCs w:val="19"/>
                <w:color w:val="auto"/>
              </w:rPr>
            </w:pPr>
          </w:p>
        </w:tc>
      </w:tr>
      <w:tr>
        <w:trPr>
          <w:trHeight w:val="190"/>
        </w:trPr>
        <w:tc>
          <w:tcPr>
            <w:tcW w:w="3380" w:type="dxa"/>
            <w:vAlign w:val="bottom"/>
            <w:tcBorders>
              <w:left w:val="single" w:sz="8" w:color="auto"/>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Preferred Stock Purchase Rights</w:t>
            </w:r>
          </w:p>
        </w:tc>
        <w:tc>
          <w:tcPr>
            <w:tcW w:w="80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ind w:right="710"/>
              <w:spacing w:after="0" w:line="189" w:lineRule="exact"/>
              <w:rPr>
                <w:sz w:val="20"/>
                <w:szCs w:val="20"/>
                <w:color w:val="auto"/>
              </w:rPr>
            </w:pPr>
            <w:r>
              <w:rPr>
                <w:rFonts w:ascii="Arial" w:cs="Arial" w:eastAsia="Arial" w:hAnsi="Arial"/>
                <w:sz w:val="18"/>
                <w:szCs w:val="18"/>
                <w:color w:val="auto"/>
              </w:rPr>
              <w:t>DAKT</w:t>
            </w:r>
          </w:p>
        </w:tc>
        <w:tc>
          <w:tcPr>
            <w:tcW w:w="440" w:type="dxa"/>
            <w:vAlign w:val="bottom"/>
            <w:tcBorders>
              <w:bottom w:val="single" w:sz="8" w:color="auto"/>
            </w:tcBorders>
            <w:gridSpan w:val="2"/>
          </w:tcPr>
          <w:p>
            <w:pPr>
              <w:spacing w:after="0"/>
              <w:rPr>
                <w:sz w:val="16"/>
                <w:szCs w:val="16"/>
                <w:color w:val="auto"/>
              </w:rPr>
            </w:pPr>
          </w:p>
        </w:tc>
        <w:tc>
          <w:tcPr>
            <w:tcW w:w="4000" w:type="dxa"/>
            <w:vAlign w:val="bottom"/>
            <w:tcBorders>
              <w:bottom w:val="single" w:sz="8" w:color="auto"/>
            </w:tcBorders>
          </w:tcPr>
          <w:p>
            <w:pPr>
              <w:jc w:val="center"/>
              <w:ind w:right="310"/>
              <w:spacing w:after="0" w:line="189" w:lineRule="exact"/>
              <w:rPr>
                <w:sz w:val="20"/>
                <w:szCs w:val="20"/>
                <w:color w:val="auto"/>
              </w:rPr>
            </w:pPr>
            <w:r>
              <w:rPr>
                <w:rFonts w:ascii="Arial" w:cs="Arial" w:eastAsia="Arial" w:hAnsi="Arial"/>
                <w:sz w:val="18"/>
                <w:szCs w:val="18"/>
                <w:color w:val="auto"/>
                <w:w w:val="90"/>
              </w:rPr>
              <w:t>Nasdaq Global Select Market</w:t>
            </w:r>
          </w:p>
        </w:tc>
        <w:tc>
          <w:tcPr>
            <w:tcW w:w="80" w:type="dxa"/>
            <w:vAlign w:val="bottom"/>
            <w:tcBorders>
              <w:bottom w:val="single" w:sz="8" w:color="auto"/>
              <w:right w:val="single" w:sz="8" w:color="auto"/>
            </w:tcBorders>
          </w:tcPr>
          <w:p>
            <w:pPr>
              <w:spacing w:after="0"/>
              <w:rPr>
                <w:sz w:val="16"/>
                <w:szCs w:val="16"/>
                <w:color w:val="auto"/>
              </w:rPr>
            </w:pPr>
          </w:p>
        </w:tc>
      </w:tr>
    </w:tbl>
    <w:p>
      <w:pPr>
        <w:spacing w:after="0" w:line="19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tcPr>
          <w:p>
            <w:pPr>
              <w:ind w:left="186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400" w:type="dxa"/>
            <w:vAlign w:val="bottom"/>
          </w:tcPr>
          <w:p>
            <w:pPr>
              <w:ind w:left="186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The number of shares of the registrant’s common stock outstanding as of August 30, 2021 was 45,357,234.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40" w:type="dxa"/>
            <w:vAlign w:val="bottom"/>
            <w:gridSpan w:val="2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7"/>
          </w:tcPr>
          <w:p>
            <w:pPr>
              <w:jc w:val="center"/>
              <w:ind w:right="2840"/>
              <w:spacing w:after="0"/>
              <w:rPr>
                <w:sz w:val="20"/>
                <w:szCs w:val="20"/>
                <w:color w:val="auto"/>
              </w:rPr>
            </w:pPr>
            <w:r>
              <w:rPr>
                <w:rFonts w:ascii="Arial" w:cs="Arial" w:eastAsia="Arial" w:hAnsi="Arial"/>
                <w:sz w:val="18"/>
                <w:szCs w:val="18"/>
                <w:b w:val="1"/>
                <w:bCs w:val="1"/>
                <w:color w:val="auto"/>
              </w:rPr>
              <w:t>DAKTRONICS, INC. AND SUBSIDIARIES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0" w:type="dxa"/>
            <w:vAlign w:val="bottom"/>
            <w:gridSpan w:val="7"/>
          </w:tcPr>
          <w:p>
            <w:pPr>
              <w:jc w:val="center"/>
              <w:ind w:right="2840"/>
              <w:spacing w:after="0"/>
              <w:rPr>
                <w:sz w:val="20"/>
                <w:szCs w:val="20"/>
                <w:color w:val="auto"/>
              </w:rPr>
            </w:pPr>
            <w:r>
              <w:rPr>
                <w:rFonts w:ascii="Arial" w:cs="Arial" w:eastAsia="Arial" w:hAnsi="Arial"/>
                <w:sz w:val="18"/>
                <w:szCs w:val="18"/>
                <w:color w:val="auto"/>
                <w:w w:val="93"/>
              </w:rPr>
              <w:t>FORM 10-Q</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0" w:type="dxa"/>
            <w:vAlign w:val="bottom"/>
            <w:gridSpan w:val="7"/>
          </w:tcPr>
          <w:p>
            <w:pPr>
              <w:jc w:val="center"/>
              <w:ind w:right="2840"/>
              <w:spacing w:after="0"/>
              <w:rPr>
                <w:sz w:val="20"/>
                <w:szCs w:val="20"/>
                <w:color w:val="auto"/>
              </w:rPr>
            </w:pPr>
            <w:r>
              <w:rPr>
                <w:rFonts w:ascii="Arial" w:cs="Arial" w:eastAsia="Arial" w:hAnsi="Arial"/>
                <w:sz w:val="18"/>
                <w:szCs w:val="18"/>
                <w:color w:val="auto"/>
                <w:w w:val="90"/>
              </w:rPr>
              <w:t>For the Quarter Ended July 31, 2021</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0" w:type="dxa"/>
            <w:vAlign w:val="bottom"/>
            <w:gridSpan w:val="7"/>
          </w:tcPr>
          <w:p>
            <w:pPr>
              <w:jc w:val="center"/>
              <w:ind w:right="2840"/>
              <w:spacing w:after="0"/>
              <w:rPr>
                <w:sz w:val="20"/>
                <w:szCs w:val="20"/>
                <w:color w:val="auto"/>
              </w:rPr>
            </w:pPr>
            <w:r>
              <w:rPr>
                <w:rFonts w:ascii="Arial" w:cs="Arial" w:eastAsia="Arial" w:hAnsi="Arial"/>
                <w:sz w:val="18"/>
                <w:szCs w:val="18"/>
                <w:b w:val="1"/>
                <w:bCs w:val="1"/>
                <w:color w:val="auto"/>
                <w:w w:val="89"/>
              </w:rPr>
              <w:t>Table of Contents</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92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720" w:type="dxa"/>
            <w:vAlign w:val="bottom"/>
            <w:gridSpan w:val="18"/>
            <w:vMerge w:val="restart"/>
          </w:tcPr>
          <w:p>
            <w:pPr>
              <w:ind w:left="1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600" w:type="dxa"/>
            <w:vAlign w:val="bottom"/>
            <w:gridSpan w:val="5"/>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920" w:type="dxa"/>
            <w:vAlign w:val="bottom"/>
            <w:gridSpan w:val="5"/>
            <w:vMerge w:val="continue"/>
          </w:tcPr>
          <w:p>
            <w:pPr>
              <w:spacing w:after="0"/>
              <w:rPr>
                <w:sz w:val="16"/>
                <w:szCs w:val="16"/>
                <w:color w:val="auto"/>
              </w:rPr>
            </w:pPr>
          </w:p>
        </w:tc>
        <w:tc>
          <w:tcPr>
            <w:tcW w:w="9720" w:type="dxa"/>
            <w:vAlign w:val="bottom"/>
            <w:gridSpan w:val="18"/>
            <w:vMerge w:val="continue"/>
          </w:tcPr>
          <w:p>
            <w:pPr>
              <w:spacing w:after="0"/>
              <w:rPr>
                <w:sz w:val="16"/>
                <w:szCs w:val="16"/>
                <w:color w:val="auto"/>
              </w:rPr>
            </w:pPr>
          </w:p>
        </w:tc>
        <w:tc>
          <w:tcPr>
            <w:tcW w:w="420" w:type="dxa"/>
            <w:vAlign w:val="bottom"/>
            <w:gridSpan w:val="4"/>
          </w:tcPr>
          <w:p>
            <w:pPr>
              <w:jc w:val="center"/>
              <w:ind w:left="130"/>
              <w:spacing w:after="0" w:line="19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3">
              <w:r>
                <w:rPr>
                  <w:rFonts w:ascii="Arial" w:cs="Arial" w:eastAsia="Arial" w:hAnsi="Arial"/>
                  <w:sz w:val="18"/>
                  <w:szCs w:val="18"/>
                  <w:color w:val="0000EE"/>
                  <w:w w:val="83"/>
                </w:rPr>
                <w:t>Item 1.</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10"/>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00" w:type="dxa"/>
            <w:vAlign w:val="bottom"/>
            <w:gridSpan w:val="7"/>
          </w:tcPr>
          <w:p>
            <w:pPr>
              <w:spacing w:after="0"/>
              <w:rPr>
                <w:sz w:val="17"/>
                <w:szCs w:val="17"/>
                <w:color w:val="auto"/>
              </w:rPr>
            </w:pPr>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11"/>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July 31, 2021 and May 1, 2021</w:t>
              </w:r>
            </w:hyperlink>
          </w:p>
        </w:tc>
        <w:tc>
          <w:tcPr>
            <w:tcW w:w="3520" w:type="dxa"/>
            <w:vAlign w:val="bottom"/>
            <w:gridSpan w:val="4"/>
          </w:tcPr>
          <w:p>
            <w:pPr>
              <w:spacing w:after="0"/>
              <w:rPr>
                <w:sz w:val="17"/>
                <w:szCs w:val="17"/>
                <w:color w:val="auto"/>
              </w:rPr>
            </w:pPr>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15"/>
          </w:tcPr>
          <w:p>
            <w:pP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Statements of Operations for the Three Months Ended July 31, 2021 and August 1, 2020</w:t>
              </w:r>
            </w:hyperlink>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 July 31, 2021 and August 1, 2020</w:t>
              </w:r>
            </w:hyperlink>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15"/>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Shareholders' Equity for the Three Months Ended July 31, 2021 and August 1, 2020</w:t>
              </w:r>
            </w:hyperlink>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gridSpan w:val="13"/>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Three Months Ended July 31, 2021 and August 1, 2020</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6</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20" w:type="dxa"/>
            <w:vAlign w:val="bottom"/>
            <w:gridSpan w:val="13"/>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p>
        </w:tc>
        <w:tc>
          <w:tcPr>
            <w:tcW w:w="920" w:type="dxa"/>
            <w:vAlign w:val="bottom"/>
            <w:gridSpan w:val="2"/>
          </w:tcPr>
          <w:p>
            <w:pPr>
              <w:spacing w:after="0"/>
              <w:rPr>
                <w:sz w:val="17"/>
                <w:szCs w:val="17"/>
                <w:color w:val="auto"/>
              </w:rPr>
            </w:pPr>
          </w:p>
        </w:tc>
        <w:tc>
          <w:tcPr>
            <w:tcW w:w="420" w:type="dxa"/>
            <w:vAlign w:val="bottom"/>
            <w:gridSpan w:val="4"/>
          </w:tcPr>
          <w:p>
            <w:pPr>
              <w:jc w:val="center"/>
              <w:ind w:left="130"/>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17">
              <w:r>
                <w:rPr>
                  <w:rFonts w:ascii="Arial" w:cs="Arial" w:eastAsia="Arial" w:hAnsi="Arial"/>
                  <w:sz w:val="18"/>
                  <w:szCs w:val="18"/>
                  <w:color w:val="0000EE"/>
                  <w:w w:val="83"/>
                </w:rPr>
                <w:t>Item 2.</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6460" w:type="dxa"/>
            <w:vAlign w:val="bottom"/>
            <w:gridSpan w:val="14"/>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3160" w:type="dxa"/>
            <w:vAlign w:val="bottom"/>
            <w:gridSpan w:val="3"/>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3.</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1"/>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Quantitative and Qualitative Disclosures About Market Risk</w:t>
              </w:r>
            </w:hyperlink>
          </w:p>
        </w:tc>
        <w:tc>
          <w:tcPr>
            <w:tcW w:w="2100" w:type="dxa"/>
            <w:vAlign w:val="bottom"/>
            <w:gridSpan w:val="3"/>
          </w:tcPr>
          <w:p>
            <w:pPr>
              <w:spacing w:after="0"/>
              <w:rPr>
                <w:sz w:val="17"/>
                <w:szCs w:val="17"/>
                <w:color w:val="auto"/>
              </w:rPr>
            </w:pPr>
          </w:p>
        </w:tc>
        <w:tc>
          <w:tcPr>
            <w:tcW w:w="3160" w:type="dxa"/>
            <w:vAlign w:val="bottom"/>
            <w:gridSpan w:val="3"/>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2"/>
            <w:shd w:val="clear" w:color="auto" w:fill="0000EE"/>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4.</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1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260" w:type="dxa"/>
            <w:vAlign w:val="bottom"/>
            <w:gridSpan w:val="6"/>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gridSpan w:val="2"/>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9620" w:type="dxa"/>
            <w:vAlign w:val="bottom"/>
            <w:gridSpan w:val="17"/>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Other Information</w:t>
              </w:r>
            </w:hyperlink>
          </w:p>
        </w:tc>
        <w:tc>
          <w:tcPr>
            <w:tcW w:w="600" w:type="dxa"/>
            <w:vAlign w:val="bottom"/>
            <w:gridSpan w:val="5"/>
          </w:tcPr>
          <w:p>
            <w:pPr>
              <w:jc w:val="cente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1.</w:t>
              </w:r>
            </w:hyperlink>
          </w:p>
        </w:tc>
        <w:tc>
          <w:tcPr>
            <w:tcW w:w="80" w:type="dxa"/>
            <w:vAlign w:val="bottom"/>
          </w:tcPr>
          <w:p>
            <w:pPr>
              <w:spacing w:after="0"/>
              <w:rPr>
                <w:sz w:val="17"/>
                <w:szCs w:val="17"/>
                <w:color w:val="auto"/>
              </w:rPr>
            </w:pPr>
          </w:p>
        </w:tc>
        <w:tc>
          <w:tcPr>
            <w:tcW w:w="34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5"/>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120" w:type="dxa"/>
            <w:vAlign w:val="bottom"/>
          </w:tcPr>
          <w:p>
            <w:pPr>
              <w:spacing w:after="0"/>
              <w:rPr>
                <w:sz w:val="17"/>
                <w:szCs w:val="17"/>
                <w:color w:val="auto"/>
              </w:rPr>
            </w:pPr>
          </w:p>
        </w:tc>
        <w:tc>
          <w:tcPr>
            <w:tcW w:w="8180" w:type="dxa"/>
            <w:vAlign w:val="bottom"/>
            <w:gridSpan w:val="11"/>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1A.</w:t>
              </w:r>
            </w:hyperlink>
          </w:p>
        </w:tc>
        <w:tc>
          <w:tcPr>
            <w:tcW w:w="9720" w:type="dxa"/>
            <w:vAlign w:val="bottom"/>
            <w:gridSpan w:val="18"/>
          </w:tcPr>
          <w:p>
            <w:pPr>
              <w:ind w:left="100"/>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52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gridSpan w:val="3"/>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w:t>
              </w:r>
            </w:hyperlink>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2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Unregistered Sales of Equity Securities and Use of Proceeds</w:t>
              </w:r>
            </w:hyperlink>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3.</w:t>
              </w:r>
            </w:hyperlink>
          </w:p>
        </w:tc>
        <w:tc>
          <w:tcPr>
            <w:tcW w:w="32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Defaults Upon Senior Securities</w:t>
              </w:r>
            </w:hyperlink>
          </w:p>
        </w:tc>
        <w:tc>
          <w:tcPr>
            <w:tcW w:w="5260" w:type="dxa"/>
            <w:vAlign w:val="bottom"/>
            <w:gridSpan w:val="6"/>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73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4.</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7300" w:type="dxa"/>
            <w:vAlign w:val="bottom"/>
            <w:gridSpan w:val="8"/>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786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5.</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5"/>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Other Information</w:t>
              </w:r>
            </w:hyperlink>
          </w:p>
        </w:tc>
        <w:tc>
          <w:tcPr>
            <w:tcW w:w="440" w:type="dxa"/>
            <w:vAlign w:val="bottom"/>
            <w:gridSpan w:val="3"/>
          </w:tcPr>
          <w:p>
            <w:pPr>
              <w:spacing w:after="0"/>
              <w:rPr>
                <w:sz w:val="17"/>
                <w:szCs w:val="17"/>
                <w:color w:val="auto"/>
              </w:rPr>
            </w:pPr>
          </w:p>
        </w:tc>
        <w:tc>
          <w:tcPr>
            <w:tcW w:w="7860" w:type="dxa"/>
            <w:vAlign w:val="bottom"/>
            <w:gridSpan w:val="9"/>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300" w:type="dxa"/>
            <w:vAlign w:val="bottom"/>
            <w:gridSpan w:val="1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line="196" w:lineRule="exact"/>
              <w:rPr>
                <w:rFonts w:ascii="Arial" w:cs="Arial" w:eastAsia="Arial" w:hAnsi="Arial"/>
                <w:sz w:val="18"/>
                <w:szCs w:val="18"/>
                <w:color w:val="0000EE"/>
                <w:w w:val="83"/>
              </w:rPr>
            </w:pPr>
            <w:hyperlink w:anchor="page23">
              <w:r>
                <w:rPr>
                  <w:rFonts w:ascii="Arial" w:cs="Arial" w:eastAsia="Arial" w:hAnsi="Arial"/>
                  <w:sz w:val="18"/>
                  <w:szCs w:val="18"/>
                  <w:color w:val="0000EE"/>
                  <w:w w:val="83"/>
                </w:rPr>
                <w:t>Item 6.</w:t>
              </w:r>
            </w:hyperlink>
          </w:p>
        </w:tc>
        <w:tc>
          <w:tcPr>
            <w:tcW w:w="42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5"/>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8300" w:type="dxa"/>
            <w:vAlign w:val="bottom"/>
            <w:gridSpan w:val="12"/>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18</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9020" w:type="dxa"/>
            <w:vAlign w:val="bottom"/>
            <w:gridSpan w:val="1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640" w:type="dxa"/>
            <w:vAlign w:val="bottom"/>
            <w:gridSpan w:val="23"/>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Index to Exhibits</w:t>
              </w:r>
            </w:hyperlink>
          </w:p>
        </w:tc>
        <w:tc>
          <w:tcPr>
            <w:tcW w:w="600" w:type="dxa"/>
            <w:vAlign w:val="bottom"/>
            <w:gridSpan w:val="5"/>
          </w:tcPr>
          <w:p>
            <w:pPr>
              <w:jc w:val="cente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19</w:t>
              </w:r>
            </w:hyperlink>
          </w:p>
        </w:tc>
        <w:tc>
          <w:tcPr>
            <w:tcW w:w="0" w:type="dxa"/>
            <w:vAlign w:val="bottom"/>
          </w:tcPr>
          <w:p>
            <w:pPr>
              <w:spacing w:after="0"/>
              <w:rPr>
                <w:sz w:val="1"/>
                <w:szCs w:val="1"/>
                <w:color w:val="auto"/>
              </w:rPr>
            </w:pPr>
          </w:p>
        </w:tc>
      </w:tr>
      <w:tr>
        <w:trPr>
          <w:trHeight w:val="20"/>
        </w:trPr>
        <w:tc>
          <w:tcPr>
            <w:tcW w:w="8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5"/>
          </w:tcPr>
          <w:p>
            <w:pPr>
              <w:spacing w:after="0" w:line="196" w:lineRule="exact"/>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Signatures</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5"/>
          </w:tcPr>
          <w:p>
            <w:pPr>
              <w:jc w:val="cente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c>
          <w:tcPr>
            <w:tcW w:w="0" w:type="dxa"/>
            <w:vAlign w:val="bottom"/>
          </w:tcPr>
          <w:p>
            <w:pPr>
              <w:spacing w:after="0"/>
              <w:rPr>
                <w:sz w:val="1"/>
                <w:szCs w:val="1"/>
                <w:color w:val="auto"/>
              </w:rPr>
            </w:pPr>
          </w:p>
        </w:tc>
      </w:tr>
      <w:tr>
        <w:trPr>
          <w:trHeight w:val="594"/>
        </w:trPr>
        <w:tc>
          <w:tcPr>
            <w:tcW w:w="50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DAKTRONICS, INC. AND SUBSIDIARIES</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7"/>
              </w:rPr>
              <w:t>(in thousands, except per share data)</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74,658</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77,590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2,812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78,497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67,808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84,514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74,356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maturities of long-term receivables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1,462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Income tax receivables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731</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290,555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265,003</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58,682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receivables, less current maturities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1,635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2,083</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26,271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27,403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11,944</w:t>
            </w:r>
          </w:p>
        </w:tc>
      </w:tr>
      <w:tr>
        <w:trPr>
          <w:trHeight w:val="25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396,456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375,164</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57,775</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40,251</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67,507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64,495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30,672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Warranty obligations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10,464</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163,414</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146,620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Long-term warranty obligations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15,395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15,496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contract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long-term obligations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7,848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Long-term income taxes payable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410</w:t>
            </w: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34,861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34,990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no par value, authorized 115,000,000 shares; 46,444,603 and 46,264,576 shares issued at</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July 31, 2021 and May 1, 2021, respectively</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61,172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60,575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47,117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46,595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99,701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96,016</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Treasury Stock, at cost, 1,266,401 and 1,297,409 shares at July 31, 2021 and May 1, 2021, respectively</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198,181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193,554</w:t>
            </w: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396,456</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375,164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28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b w:val="1"/>
                <w:bCs w:val="1"/>
                <w:color w:val="auto"/>
              </w:rPr>
              <w:t>DAKTRONICS, INC. AND SUBSIDIARIES</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color w:val="auto"/>
                <w:w w:val="87"/>
              </w:rPr>
              <w:t>(in thousands, except per share data)</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560" w:type="dxa"/>
            <w:vAlign w:val="bottom"/>
            <w:gridSpan w:val="2"/>
          </w:tcPr>
          <w:p>
            <w:pPr>
              <w:jc w:val="center"/>
              <w:spacing w:after="0"/>
              <w:rPr>
                <w:sz w:val="20"/>
                <w:szCs w:val="20"/>
                <w:color w:val="auto"/>
              </w:rPr>
            </w:pPr>
            <w:r>
              <w:rPr>
                <w:rFonts w:ascii="Arial" w:cs="Arial" w:eastAsia="Arial" w:hAnsi="Arial"/>
                <w:sz w:val="18"/>
                <w:szCs w:val="18"/>
                <w:color w:val="auto"/>
                <w:w w:val="92"/>
              </w:rPr>
              <w:t>(unaudited)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1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w w:val="96"/>
              </w:rPr>
              <w:t>July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12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5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144,732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143,644</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112,544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107,883</w:t>
            </w:r>
          </w:p>
        </w:tc>
      </w:tr>
      <w:tr>
        <w:trPr>
          <w:trHeight w:val="209"/>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35,761</w:t>
            </w: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Selling</w:t>
            </w: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11,556</w:t>
            </w: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w w:val="99"/>
              </w:rPr>
              <w:t>Product design and development</w:t>
            </w:r>
          </w:p>
        </w:tc>
        <w:tc>
          <w:tcPr>
            <w:tcW w:w="5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7,532</w:t>
            </w:r>
          </w:p>
        </w:tc>
      </w:tr>
      <w:tr>
        <w:trPr>
          <w:trHeight w:val="209"/>
        </w:trPr>
        <w:tc>
          <w:tcPr>
            <w:tcW w:w="1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26,528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26,212</w:t>
            </w:r>
          </w:p>
        </w:tc>
      </w:tr>
      <w:tr>
        <w:trPr>
          <w:trHeight w:val="210"/>
        </w:trPr>
        <w:tc>
          <w:tcPr>
            <w:tcW w:w="2820" w:type="dxa"/>
            <w:vAlign w:val="bottom"/>
            <w:gridSpan w:val="2"/>
          </w:tcPr>
          <w:p>
            <w:pPr>
              <w:ind w:left="180"/>
              <w:spacing w:after="0"/>
              <w:rPr>
                <w:sz w:val="20"/>
                <w:szCs w:val="20"/>
                <w:color w:val="auto"/>
              </w:rPr>
            </w:pPr>
            <w:r>
              <w:rPr>
                <w:rFonts w:ascii="Arial" w:cs="Arial" w:eastAsia="Arial" w:hAnsi="Arial"/>
                <w:sz w:val="18"/>
                <w:szCs w:val="18"/>
                <w:b w:val="1"/>
                <w:bCs w:val="1"/>
                <w:color w:val="auto"/>
              </w:rPr>
              <w:t>Operating income</w:t>
            </w:r>
          </w:p>
        </w:tc>
        <w:tc>
          <w:tcPr>
            <w:tcW w:w="5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9,549</w:t>
            </w:r>
          </w:p>
        </w:tc>
      </w:tr>
      <w:tr>
        <w:trPr>
          <w:trHeight w:val="209"/>
        </w:trPr>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Nonoperating (expense) income:</w:t>
            </w: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2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5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09"/>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8,934</w:t>
            </w: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Income tax expense</w:t>
            </w:r>
          </w:p>
        </w:tc>
        <w:tc>
          <w:tcPr>
            <w:tcW w:w="5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1,467</w:t>
            </w:r>
          </w:p>
        </w:tc>
      </w:tr>
      <w:tr>
        <w:trPr>
          <w:trHeight w:val="250"/>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w:t>
            </w:r>
          </w:p>
        </w:tc>
        <w:tc>
          <w:tcPr>
            <w:tcW w:w="5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7,467</w:t>
            </w:r>
          </w:p>
        </w:tc>
      </w:tr>
      <w:tr>
        <w:trPr>
          <w:trHeight w:val="196"/>
        </w:trPr>
        <w:tc>
          <w:tcPr>
            <w:tcW w:w="128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spacing w:after="0"/>
              <w:rPr>
                <w:sz w:val="17"/>
                <w:szCs w:val="17"/>
                <w:color w:val="auto"/>
              </w:rPr>
            </w:pPr>
          </w:p>
        </w:tc>
        <w:tc>
          <w:tcPr>
            <w:tcW w:w="51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Weighted average shares outstanding:</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44,654</w:t>
            </w:r>
          </w:p>
        </w:tc>
      </w:tr>
      <w:tr>
        <w:trPr>
          <w:trHeight w:val="216"/>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44,751</w:t>
            </w:r>
          </w:p>
        </w:tc>
      </w:tr>
      <w:tr>
        <w:trPr>
          <w:trHeight w:val="216"/>
        </w:trPr>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51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0.17</w:t>
            </w:r>
          </w:p>
        </w:tc>
      </w:tr>
      <w:tr>
        <w:trPr>
          <w:trHeight w:val="210"/>
        </w:trPr>
        <w:tc>
          <w:tcPr>
            <w:tcW w:w="2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55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0.17</w:t>
            </w:r>
          </w:p>
        </w:tc>
      </w:tr>
      <w:tr>
        <w:trPr>
          <w:trHeight w:val="210"/>
        </w:trPr>
        <w:tc>
          <w:tcPr>
            <w:tcW w:w="12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5260" w:type="dxa"/>
            <w:vAlign w:val="bottom"/>
            <w:gridSpan w:val="2"/>
          </w:tcPr>
          <w:p>
            <w:pPr>
              <w:jc w:val="center"/>
              <w:ind w:right="1530"/>
              <w:spacing w:after="0"/>
              <w:rPr>
                <w:sz w:val="20"/>
                <w:szCs w:val="20"/>
                <w:color w:val="auto"/>
              </w:rPr>
            </w:pPr>
            <w:r>
              <w:rPr>
                <w:rFonts w:ascii="Arial" w:cs="Arial" w:eastAsia="Arial" w:hAnsi="Arial"/>
                <w:sz w:val="18"/>
                <w:szCs w:val="18"/>
                <w:b w:val="1"/>
                <w:bCs w:val="1"/>
                <w:color w:val="auto"/>
              </w:rPr>
              <w:t>DAKTRONICS, INC. AND SUBSIDIARIES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780" w:type="dxa"/>
            <w:vAlign w:val="bottom"/>
            <w:gridSpan w:val="3"/>
          </w:tcPr>
          <w:p>
            <w:pPr>
              <w:jc w:val="center"/>
              <w:ind w:left="83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60" w:type="dxa"/>
            <w:vAlign w:val="bottom"/>
            <w:gridSpan w:val="2"/>
          </w:tcPr>
          <w:p>
            <w:pPr>
              <w:jc w:val="center"/>
              <w:ind w:right="1510"/>
              <w:spacing w:after="0"/>
              <w:rPr>
                <w:sz w:val="20"/>
                <w:szCs w:val="20"/>
                <w:color w:val="auto"/>
              </w:rPr>
            </w:pPr>
            <w:r>
              <w:rPr>
                <w:rFonts w:ascii="Arial" w:cs="Arial" w:eastAsia="Arial" w:hAnsi="Arial"/>
                <w:sz w:val="18"/>
                <w:szCs w:val="18"/>
                <w:color w:val="auto"/>
                <w:w w:val="89"/>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60" w:type="dxa"/>
            <w:vAlign w:val="bottom"/>
            <w:gridSpan w:val="2"/>
          </w:tcPr>
          <w:p>
            <w:pPr>
              <w:jc w:val="center"/>
              <w:ind w:right="1530"/>
              <w:spacing w:after="0"/>
              <w:rPr>
                <w:sz w:val="20"/>
                <w:szCs w:val="20"/>
                <w:color w:val="auto"/>
              </w:rPr>
            </w:pPr>
            <w:r>
              <w:rPr>
                <w:rFonts w:ascii="Arial" w:cs="Arial" w:eastAsia="Arial" w:hAnsi="Arial"/>
                <w:sz w:val="18"/>
                <w:szCs w:val="18"/>
                <w:color w:val="auto"/>
                <w:w w:val="92"/>
              </w:rPr>
              <w:t>(unaudited)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40" w:type="dxa"/>
            <w:vAlign w:val="bottom"/>
            <w:tcBorders>
              <w:bottom w:val="single" w:sz="8" w:color="auto"/>
            </w:tcBorders>
            <w:gridSpan w:val="5"/>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12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July 31,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1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2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3,685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7,467</w:t>
            </w:r>
          </w:p>
        </w:tc>
      </w:tr>
      <w:tr>
        <w:trPr>
          <w:trHeight w:val="216"/>
        </w:trPr>
        <w:tc>
          <w:tcPr>
            <w:tcW w:w="1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4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38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Cumulative translation adjustments</w:t>
            </w:r>
          </w:p>
        </w:tc>
        <w:tc>
          <w:tcPr>
            <w:tcW w:w="4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1,037</w:t>
            </w:r>
          </w:p>
        </w:tc>
      </w:tr>
      <w:tr>
        <w:trPr>
          <w:trHeight w:val="209"/>
        </w:trPr>
        <w:tc>
          <w:tcPr>
            <w:tcW w:w="3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2"/>
              </w:rPr>
              <w:t>Total other comprehensive (loss) income, net of tax</w:t>
            </w:r>
          </w:p>
        </w:tc>
        <w:tc>
          <w:tcPr>
            <w:tcW w:w="4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1,037</w:t>
            </w:r>
          </w:p>
        </w:tc>
      </w:tr>
      <w:tr>
        <w:trPr>
          <w:trHeight w:val="210"/>
        </w:trPr>
        <w:tc>
          <w:tcPr>
            <w:tcW w:w="38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3,312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8,504</w:t>
            </w:r>
          </w:p>
        </w:tc>
      </w:tr>
      <w:tr>
        <w:trPr>
          <w:trHeight w:val="20"/>
        </w:trPr>
        <w:tc>
          <w:tcPr>
            <w:tcW w:w="1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May 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60,575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46,595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96,016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193,554</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3,685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3,685</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savings plan activity</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597</w:t>
            </w:r>
          </w:p>
        </w:tc>
      </w:tr>
      <w:tr>
        <w:trPr>
          <w:trHeight w:val="203"/>
        </w:trPr>
        <w:tc>
          <w:tcPr>
            <w:tcW w:w="4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Treasury stock reissued</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200</w:t>
            </w:r>
          </w:p>
        </w:tc>
      </w:tr>
      <w:tr>
        <w:trPr>
          <w:trHeight w:val="23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July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61,172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47,117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99,701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198,181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Additional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Retained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120" w:type="dxa"/>
            <w:vAlign w:val="bottom"/>
          </w:tcPr>
          <w:p>
            <w:pPr>
              <w:spacing w:after="0"/>
              <w:rPr>
                <w:sz w:val="17"/>
                <w:szCs w:val="17"/>
                <w:color w:val="auto"/>
              </w:rPr>
            </w:pPr>
          </w:p>
        </w:tc>
        <w:tc>
          <w:tcPr>
            <w:tcW w:w="12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89"/>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3"/>
        </w:trPr>
        <w:tc>
          <w:tcPr>
            <w:tcW w:w="4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Capital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as of May 2,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85,090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176,980</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7,467</w:t>
            </w:r>
          </w:p>
        </w:tc>
      </w:tr>
      <w:tr>
        <w:trPr>
          <w:trHeight w:val="203"/>
        </w:trPr>
        <w:tc>
          <w:tcPr>
            <w:tcW w:w="4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Cumulative translation adjustments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r>
      <w:tr>
        <w:trPr>
          <w:trHeight w:val="203"/>
        </w:trPr>
        <w:tc>
          <w:tcPr>
            <w:tcW w:w="4400" w:type="dxa"/>
            <w:vAlign w:val="bottom"/>
          </w:tcPr>
          <w:p>
            <w:pPr>
              <w:ind w:left="180"/>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539</w:t>
            </w:r>
          </w:p>
        </w:tc>
      </w:tr>
      <w:tr>
        <w:trPr>
          <w:trHeight w:val="203"/>
        </w:trPr>
        <w:tc>
          <w:tcPr>
            <w:tcW w:w="4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reissued</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 as of August 1,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60,010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45,192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92,557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(7,297)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(4,240)</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186,222</w:t>
            </w: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DAKTRONICS, INC. AND SUBSIDIARIES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0"/>
        </w:trPr>
        <w:tc>
          <w:tcPr>
            <w:tcW w:w="1280" w:type="dxa"/>
            <w:vAlign w:val="bottom"/>
          </w:tcPr>
          <w:p>
            <w:pPr>
              <w:spacing w:after="0"/>
              <w:rPr>
                <w:sz w:val="19"/>
                <w:szCs w:val="19"/>
                <w:color w:val="auto"/>
              </w:rPr>
            </w:pPr>
          </w:p>
        </w:tc>
        <w:tc>
          <w:tcPr>
            <w:tcW w:w="710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w w:val="96"/>
              </w:rPr>
              <w:t>July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7,467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4,052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4,337</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sale of property, equipment and other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Equity in loss of affiliates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Provision for doubtful accounts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8,545</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(3,155)</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equipment and other assets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and loans to equity investment</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09"/>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Principal payments on long-term obligations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Net cash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4,293</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40,412</w:t>
            </w: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End of period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77,199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44,705</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for:</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Interest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net of refunds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Demonstration equipment transferred to inventory</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w:t>
            </w: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Contributions of common stock under the ESPP</w:t>
            </w:r>
          </w:p>
        </w:tc>
        <w:tc>
          <w:tcPr>
            <w:tcW w:w="3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NOTES TO THE CONDENSED CONSOLIDATED FINANCIAL STATEMENTS </w:t>
      </w:r>
      <w:r>
        <w:rPr>
          <w:rFonts w:ascii="Arial" w:cs="Arial" w:eastAsia="Arial" w:hAnsi="Arial"/>
          <w:sz w:val="18"/>
          <w:szCs w:val="18"/>
          <w:color w:val="auto"/>
        </w:rPr>
        <w:t>(dollar amounts in thousands, except per share data) (unaudited)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information and disclosures normally included in financial statements prepared in accordance with GAAP have been condensed or omitted. The balance sheet at May 1, 2021,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May 1, 2021,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three months ended July 31, 2021 and August 1, 2020, contained operating results for 13 weeks.</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Restricted cash consists of cash and cash equivalents held in bank deposit accounts to secure issuances of foreign bank guarantees.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370"/>
              <w:spacing w:after="0"/>
              <w:rPr>
                <w:sz w:val="20"/>
                <w:szCs w:val="20"/>
                <w:color w:val="auto"/>
              </w:rPr>
            </w:pPr>
            <w:r>
              <w:rPr>
                <w:rFonts w:ascii="Arial" w:cs="Arial" w:eastAsia="Arial" w:hAnsi="Arial"/>
                <w:sz w:val="18"/>
                <w:szCs w:val="18"/>
                <w:b w:val="1"/>
                <w:bCs w:val="1"/>
                <w:color w:val="auto"/>
              </w:rPr>
              <w:t>August 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74,658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44,609</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5"/>
        </w:trPr>
        <w:tc>
          <w:tcPr>
            <w:tcW w:w="80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Total cash, cash equivalents, and restricted cash shown in the condensed consolidated statement of cash</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77,199</w:t>
            </w:r>
          </w:p>
        </w:tc>
        <w:tc>
          <w:tcPr>
            <w:tcW w:w="100" w:type="dxa"/>
            <w:vAlign w:val="bottom"/>
            <w:vMerge w:val="restart"/>
            <w:shd w:val="clear" w:color="auto" w:fill="CCEEFF"/>
          </w:tcPr>
          <w:p>
            <w:pPr>
              <w:spacing w:after="0"/>
              <w:rPr>
                <w:sz w:val="16"/>
                <w:szCs w:val="16"/>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44,705</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flows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Developments - Coronavirus Pandemic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fiscal 2021, the global spread of the coronavirus pandemic ("COVID-19") and restrictions impacted our business and created significant volatility, uncertainty and global economic disruption. We took proactive steps to solidify our financial position and mitigate any adverse consequences. Our orders and sales decline, in fiscal 2021, indicate the impacts of the pandemic. To align our expenses to the change in the market, we reduced investments in capital assets, reduced executive pay and board member compensation for fiscal 2021, and instituted initiatives to reduce other costs in the business. On April 1, 2020, our board of directors voted to suspend stock repurchases under our share repurchase program and to suspend dividends for the foreseeable future. In addition, throughout fiscal 2021, we temporarily furloughed employees to manage our cost structure to align with decreased demand.</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special voluntary retirement and voluntary exit incentive program ("Offering") and a reduction in force ("RIF") were instituted during the first quarter of fiscal 2021 to adjust our capacity and reduce on-going expenses due to the reduced revenue and uncertainties created by the COVID-19 pandemic. During the first quarter of fiscal 2021, 60 employees agreed to participate in the Offering and completed employment. The approximate cost of this Offering was $931. Under the RIF, employment was terminated with 108 employees with severance totaling $1,426.</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received governmental wage subsidies from various governmental programs related to COVID implications of $77 and $812 during the three months ended July 31, 2021 and August 1, 2020, respectively and recorded as a reduction of compensation expense, which is mostly included in the "Costs of sales" line item in our condensed consolidated statements of operations. We also have elected to defer payments of the employer portion of social security taxes during the payroll tax deferral period, which ended on December 31, 2020. As of July 31, 2021 the total amount of such deferral was $5,122, which is included in the "Accrued expenses" and in the "Other long-term obligations" line items in our condensed consolidated balance sheet. Per the terms of the deferral program, 50 percent of the deferred amount is due on December 31, 2021 with the remaining 50 percent due on December 31, 2022.</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monitor guidance from international and domestic authorities, regarding the COVID-19 pandemic and may take additional actions based on their requirements and recommendations. Since late fiscal 2021, order and quoting activities have increased creating a strong backlog and positive outlook; however, there is no assurance that this trend will continue in future quarters. Supply chain disruptions continue to emerge as a result of several factors including - the pandemic, shipping container shortages, and the changes in global demand. Specifically, we are impacted by the global shortage of semiconductors and related electronic components, other materials needed for production, and freight availability. We expect headwinds in material, labor, freight availability and inflation as the world economies recover, which may cause volatility in our revenue cycles and production costs. While we cannot predict the length or severity of these conditions, it is reasonably possible they will continue to have some impact on our operations during fiscal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significant accounting policies and estimates as described in our Annual Report on Form 10-K for the fiscal year ended May 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ectPr>
          <w:pgSz w:w="11900" w:h="16838" w:orient="portrait"/>
          <w:cols w:equalWidth="0" w:num="1">
            <w:col w:w="11240"/>
          </w:cols>
          <w:pgMar w:left="320" w:top="125" w:right="339" w:bottom="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There are no significant Accounting Standard Updates ("ASU's") issued that were adopted in the three-months ended July 31, 2021.</w:t>
      </w:r>
    </w:p>
    <w:p>
      <w:pPr>
        <w:sectPr>
          <w:pgSz w:w="11900" w:h="16838" w:orient="portrait"/>
          <w:cols w:equalWidth="0" w:num="1">
            <w:col w:w="10139"/>
          </w:cols>
          <w:pgMar w:left="320" w:top="125" w:right="1440" w:bottom="1440" w:gutter="0" w:footer="0" w:header="0"/>
        </w:sectPr>
      </w:pPr>
    </w:p>
    <w:p>
      <w:pPr>
        <w:spacing w:after="0" w:line="24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significant ASU's issued not yet adopted as of July 31,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in Affiliates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aggregate amount of investments accounted for under the equity method was $19,141 and $19,887 at July 31, 2021 and May 1, 2021, respectively. Our proportional share of the respective affiliates' earnings or losses is included in the "Other (expense) income, net" line item in our condensed consolidated statements of operations. For the three months ended July 31, 2021 and August 1, 2020, our share of the losses of our affiliates was $746 and $529, respectively. We purchased services for research and development activities from our equity method investments. The total of these related party transactions was $470 for the three months ended July 31, 2021, which was included in the "Product design and development" line item in in our condensed consolidated statement of operations and $275 of this remains unpaid and is included in the "Accounts payable" line item in our condensed consolidated balance sheet. There were no related party transactions for the three months ended August 1, 2020.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Earnings Per Share ("EPS")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income and common share amounts used in the calculation of basic and diluted EPS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31, 2021 and August 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8"/>
              </w:rPr>
              <w:t>Net income</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1"/>
              </w:rPr>
              <w:t>Per share income</w:t>
            </w: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three months ended July 31, 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3,685</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45,139</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16"/>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3,685</w:t>
            </w:r>
          </w:p>
        </w:tc>
        <w:tc>
          <w:tcPr>
            <w:tcW w:w="12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45,419</w:t>
            </w:r>
          </w:p>
        </w:tc>
        <w:tc>
          <w:tcPr>
            <w:tcW w:w="10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0.08</w:t>
            </w:r>
          </w:p>
        </w:tc>
      </w:tr>
      <w:tr>
        <w:trPr>
          <w:trHeight w:val="20"/>
        </w:trPr>
        <w:tc>
          <w:tcPr>
            <w:tcW w:w="6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For the three months ended August 1, 2020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7,467</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44,654</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16"/>
        </w:trPr>
        <w:tc>
          <w:tcPr>
            <w:tcW w:w="6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Dilution associated with stock compensation plans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7,467</w:t>
            </w:r>
          </w:p>
        </w:tc>
        <w:tc>
          <w:tcPr>
            <w:tcW w:w="1680" w:type="dxa"/>
            <w:vAlign w:val="bottom"/>
            <w:gridSpan w:val="2"/>
          </w:tcPr>
          <w:p>
            <w:pPr>
              <w:jc w:val="right"/>
              <w:ind w:right="10"/>
              <w:spacing w:after="0"/>
              <w:rPr>
                <w:sz w:val="20"/>
                <w:szCs w:val="20"/>
                <w:color w:val="auto"/>
              </w:rPr>
            </w:pPr>
            <w:r>
              <w:rPr>
                <w:rFonts w:ascii="Arial" w:cs="Arial" w:eastAsia="Arial" w:hAnsi="Arial"/>
                <w:sz w:val="18"/>
                <w:szCs w:val="18"/>
                <w:color w:val="auto"/>
              </w:rPr>
              <w:t>44,751</w:t>
            </w:r>
          </w:p>
        </w:tc>
        <w:tc>
          <w:tcPr>
            <w:tcW w:w="72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0.17</w:t>
            </w:r>
          </w:p>
        </w:tc>
      </w:tr>
      <w:tr>
        <w:trPr>
          <w:trHeight w:val="20"/>
        </w:trPr>
        <w:tc>
          <w:tcPr>
            <w:tcW w:w="6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Options outstanding to purchase 1,810 shares of common stock with a weighted average exercise price of $9.52 for the three months ended July 31, 2021 and 2,119 shares of common stock with a weighted average exercise price of $9.96 for the three months ended August 1, 2020 were not included in the computation of diluted earnings per share because the effects would be anti-dilutive.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disaggregation of revenue by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w w:val="95"/>
              </w:rPr>
              <w:t>Three Months Ended July 31, 2021</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Live Events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3,587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41,508</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4,166</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6,541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5,883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61,685</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22,957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5,352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11,545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71,603</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5,037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1,684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11,444</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32,781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27,894</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144,732</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2"/>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26,379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6,829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21,941</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12,019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72,739</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6,402</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45,558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5,953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6,987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7,093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71,993</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32,781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52,387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27,894</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19,112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144,732</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r>
        <w:trPr>
          <w:trHeight w:val="396"/>
        </w:trPr>
        <w:tc>
          <w:tcPr>
            <w:tcW w:w="3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jc w:val="right"/>
              <w:ind w:right="39"/>
              <w:spacing w:after="0"/>
              <w:rPr>
                <w:sz w:val="20"/>
                <w:szCs w:val="20"/>
                <w:color w:val="auto"/>
              </w:rPr>
            </w:pPr>
            <w:r>
              <w:rPr>
                <w:rFonts w:ascii="Arial" w:cs="Arial" w:eastAsia="Arial" w:hAnsi="Arial"/>
                <w:sz w:val="16"/>
                <w:szCs w:val="16"/>
                <w:b w:val="1"/>
                <w:bCs w:val="1"/>
                <w:color w:val="auto"/>
                <w:w w:val="92"/>
              </w:rPr>
              <w:t>Three Months Ended August 1, 2020</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High School</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Arial" w:cs="Arial" w:eastAsia="Arial" w:hAnsi="Arial"/>
                <w:sz w:val="16"/>
                <w:szCs w:val="16"/>
                <w:b w:val="1"/>
                <w:bCs w:val="1"/>
                <w:color w:val="auto"/>
                <w:w w:val="94"/>
              </w:rPr>
              <w:t>Park and</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2"/>
              </w:rPr>
              <w:t>Live Events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1"/>
              </w:rPr>
              <w:t>Recreation</w:t>
            </w: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w w:val="93"/>
              </w:rPr>
              <w:t>Transportation</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International</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Total</w:t>
            </w:r>
          </w:p>
        </w:tc>
      </w:tr>
      <w:tr>
        <w:trPr>
          <w:trHeight w:val="199"/>
        </w:trPr>
        <w:tc>
          <w:tcPr>
            <w:tcW w:w="3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Type of performance obligation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Unique configuration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8,727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41,975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7,668</w:t>
            </w:r>
          </w:p>
        </w:tc>
        <w:tc>
          <w:tcPr>
            <w:tcW w:w="4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7,724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4,012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70,106</w:t>
            </w: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configuration</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22,555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20,688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6,266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8,653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63,581</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Service and other</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9,957</w:t>
            </w:r>
          </w:p>
        </w:tc>
      </w:tr>
      <w:tr>
        <w:trPr>
          <w:trHeight w:val="236"/>
        </w:trPr>
        <w:tc>
          <w:tcPr>
            <w:tcW w:w="3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34,506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28,943</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143,644</w:t>
            </w:r>
          </w:p>
        </w:tc>
      </w:tr>
      <w:tr>
        <w:trPr>
          <w:trHeight w:val="183"/>
        </w:trPr>
        <w:tc>
          <w:tcPr>
            <w:tcW w:w="328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Timing of revenue recognition</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r>
      <w:tr>
        <w:trPr>
          <w:trHeight w:val="203"/>
        </w:trPr>
        <w:tc>
          <w:tcPr>
            <w:tcW w:w="328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Goods/services transferred at a point in time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22,892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19,368</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9,179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64,027</w:t>
            </w:r>
          </w:p>
        </w:tc>
      </w:tr>
      <w:tr>
        <w:trPr>
          <w:trHeight w:val="203"/>
        </w:trPr>
        <w:tc>
          <w:tcPr>
            <w:tcW w:w="3280" w:type="dxa"/>
            <w:vAlign w:val="bottom"/>
          </w:tcPr>
          <w:p>
            <w:pPr>
              <w:ind w:left="180"/>
              <w:spacing w:after="0"/>
              <w:rPr>
                <w:sz w:val="20"/>
                <w:szCs w:val="20"/>
                <w:color w:val="auto"/>
              </w:rPr>
            </w:pPr>
            <w:r>
              <w:rPr>
                <w:rFonts w:ascii="Arial" w:cs="Arial" w:eastAsia="Arial" w:hAnsi="Arial"/>
                <w:sz w:val="16"/>
                <w:szCs w:val="16"/>
                <w:color w:val="auto"/>
              </w:rPr>
              <w:t>Goods/services transferred over time</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11,614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45,260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9,575</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8,124</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5,044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79,617</w:t>
            </w:r>
          </w:p>
        </w:tc>
      </w:tr>
      <w:tr>
        <w:trPr>
          <w:trHeight w:val="216"/>
        </w:trPr>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34,506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51,474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28,943</w:t>
            </w:r>
          </w:p>
        </w:tc>
        <w:tc>
          <w:tcPr>
            <w:tcW w:w="48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14,498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14,223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143,644</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 5. Segment Reporting" for a disaggregation of revenue by geography.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7"/>
              </w:rPr>
              <w:t>The following table reflects the changes in our contract assets and liabilities:</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4"/>
        </w:trPr>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July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May 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w:t>
            </w:r>
          </w:p>
        </w:tc>
      </w:tr>
      <w:tr>
        <w:trPr>
          <w:trHeight w:val="234"/>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38,133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32,799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Contract liabilities - current</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67,507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3,012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 - noncurrent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changes in our contract assets and contract liabilities from May 1, 2021 to July 31, 2021 were due to the timing of billing schedules and revenue recognition, which can vary significantly depending on the contractual payment terms and the seasonality of the sports markets. We had no material impairments of contract assets for the three months ended July 31, 2021.</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in our condensed consolidated balance sheets. Changes in unearned service-type warranty contracts, net were as follows: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contracts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6"/>
          <w:szCs w:val="16"/>
          <w:color w:val="auto"/>
        </w:rPr>
        <w:t>Less: reductions for revenue recognized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Foreign currency translation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July 31,</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ind w:left="960" w:hanging="95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24,590</w:t>
      </w:r>
    </w:p>
    <w:p>
      <w:pPr>
        <w:spacing w:after="0" w:line="2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10,165</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(8,669)</w:t>
      </w:r>
    </w:p>
    <w:p>
      <w:pPr>
        <w:spacing w:after="0" w:line="2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986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2" w:lineRule="exact"/>
        <w:rPr>
          <w:sz w:val="20"/>
          <w:szCs w:val="20"/>
          <w:color w:val="auto"/>
        </w:rPr>
      </w:pPr>
    </w:p>
    <w:p>
      <w:pPr>
        <w:ind w:left="960" w:hanging="953"/>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26,000</w:t>
      </w:r>
    </w:p>
    <w:p>
      <w:pPr>
        <w:spacing w:after="0" w:line="239" w:lineRule="exact"/>
        <w:rPr>
          <w:sz w:val="20"/>
          <w:szCs w:val="20"/>
          <w:color w:val="auto"/>
        </w:rPr>
      </w:pPr>
    </w:p>
    <w:p>
      <w:pPr>
        <w:sectPr>
          <w:pgSz w:w="11900" w:h="16838" w:orient="portrait"/>
          <w:cols w:equalWidth="0" w:num="2">
            <w:col w:w="8960" w:space="720"/>
            <w:col w:w="1560"/>
          </w:cols>
          <w:pgMar w:left="320" w:top="611" w:right="339" w:bottom="1440" w:gutter="0" w:footer="0" w:header="0"/>
          <w:type w:val="continuous"/>
        </w:sectPr>
      </w:pPr>
    </w:p>
    <w:p>
      <w:pPr>
        <w:spacing w:after="0" w:line="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2021 and May 1, 2021, our contracts in progress that were identified as loss contracts were immaterial. For these contracts, the provision for losses is included in the "Accrued expenses" line item in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31, 2021, we recognized revenue of $31,587 related to our contract liabilities as of May 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July 31, 2021, the aggregate amount of the transaction price allocated to the remaining performance obligations was $339,192. We expect approximately $297,849 of our remaining performance obligations to be recognized over the next 12 months, with the remainder recognized thereafter. Remaining performance obligations related to product and service agreements at July 31, 2021 are $285,322 and $53,870,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5. Segment Reporting</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9580" w:type="dxa"/>
            <w:vAlign w:val="bottom"/>
            <w:gridSpan w:val="3"/>
          </w:tcPr>
          <w:p>
            <w:pPr>
              <w:spacing w:after="0"/>
              <w:rPr>
                <w:sz w:val="20"/>
                <w:szCs w:val="20"/>
                <w:color w:val="auto"/>
              </w:rPr>
            </w:pPr>
            <w:r>
              <w:rPr>
                <w:rFonts w:ascii="Arial" w:cs="Arial" w:eastAsia="Arial" w:hAnsi="Arial"/>
                <w:sz w:val="18"/>
                <w:szCs w:val="18"/>
                <w:color w:val="auto"/>
                <w:w w:val="98"/>
              </w:rPr>
              <w:t>The following table sets forth certain financial information for each of our five reporting segments for the periods indicated: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32,781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34,506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51,474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27,894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28,943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19,112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14,223</w:t>
            </w:r>
          </w:p>
        </w:tc>
      </w:tr>
      <w:tr>
        <w:trPr>
          <w:trHeight w:val="209"/>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company net sales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144,732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143,644</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7,742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10,476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3,046</w:t>
            </w:r>
          </w:p>
        </w:tc>
      </w:tr>
      <w:tr>
        <w:trPr>
          <w:trHeight w:val="209"/>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35,761</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Selling</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11,556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7,124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Product design and development</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7,162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7,532</w:t>
            </w:r>
          </w:p>
        </w:tc>
      </w:tr>
      <w:tr>
        <w:trPr>
          <w:trHeight w:val="236"/>
        </w:trPr>
        <w:tc>
          <w:tcPr>
            <w:tcW w:w="80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26,212</w:t>
            </w:r>
          </w:p>
        </w:tc>
      </w:tr>
      <w:tr>
        <w:trPr>
          <w:trHeight w:val="223"/>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9,549</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50"/>
        </w:trPr>
        <w:tc>
          <w:tcPr>
            <w:tcW w:w="8000" w:type="dxa"/>
            <w:vAlign w:val="bottom"/>
          </w:tcPr>
          <w:p>
            <w:pPr>
              <w:ind w:left="18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4,929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8,934</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Live Events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 School Park and Recreation</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Transportation</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Unallocated corporate depreciation</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w:t>
            </w: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123,482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128,069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15,575</w:t>
            </w:r>
          </w:p>
        </w:tc>
      </w:tr>
      <w:tr>
        <w:trPr>
          <w:trHeight w:val="209"/>
        </w:trPr>
        <w:tc>
          <w:tcPr>
            <w:tcW w:w="80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144,732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143,644</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May 1,</w:t>
            </w: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09"/>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 of accumulated depreciation:</w:t>
            </w:r>
          </w:p>
        </w:tc>
        <w:tc>
          <w:tcPr>
            <w:tcW w:w="2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48,450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50,130</w:t>
            </w:r>
          </w:p>
        </w:tc>
        <w:tc>
          <w:tcPr>
            <w:tcW w:w="0" w:type="dxa"/>
            <w:vAlign w:val="bottom"/>
          </w:tcPr>
          <w:p>
            <w:pPr>
              <w:spacing w:after="0"/>
              <w:rPr>
                <w:sz w:val="1"/>
                <w:szCs w:val="1"/>
                <w:color w:val="auto"/>
              </w:rPr>
            </w:pPr>
          </w:p>
        </w:tc>
      </w:tr>
      <w:tr>
        <w:trPr>
          <w:trHeight w:val="216"/>
        </w:trPr>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Outside United States</w:t>
            </w:r>
          </w:p>
        </w:tc>
        <w:tc>
          <w:tcPr>
            <w:tcW w:w="29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7,758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3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56,208</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58,682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980" w:type="dxa"/>
            <w:vAlign w:val="bottom"/>
            <w:vMerge w:val="restart"/>
          </w:tcPr>
          <w:p>
            <w:pPr>
              <w:jc w:val="right"/>
              <w:ind w:right="2190"/>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auto"/>
            </w:tcBorders>
          </w:tcPr>
          <w:p>
            <w:pPr>
              <w:spacing w:after="0"/>
              <w:rPr>
                <w:sz w:val="10"/>
                <w:szCs w:val="10"/>
                <w:color w:val="auto"/>
              </w:rPr>
            </w:pPr>
          </w:p>
        </w:tc>
        <w:tc>
          <w:tcPr>
            <w:tcW w:w="2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811"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We have numerous customers worldwide for sales of our products and services, and no customer accounted for 10 percent or more of net sales; therefore, we are not economically dependent on a limited number of customers for the sale of our products and services.</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have numerous raw material and component suppliers, and no supplier accounts for 10 percent or more of our cost of sales; however, we have a number of single-source suppliers that could limit our supply or cause delays in obtaining raw material and components needed in manufacturing.</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related to each reportable segment for the three months ended July 31,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Live Events</w:t>
            </w:r>
          </w:p>
        </w:tc>
        <w:tc>
          <w:tcPr>
            <w:tcW w:w="12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7"/>
              </w:rPr>
              <w:t>Commercial</w:t>
            </w:r>
          </w:p>
        </w:tc>
        <w:tc>
          <w:tcPr>
            <w:tcW w:w="100" w:type="dxa"/>
            <w:vAlign w:val="bottom"/>
          </w:tcPr>
          <w:p>
            <w:pPr>
              <w:spacing w:after="0"/>
              <w:rPr>
                <w:sz w:val="20"/>
                <w:szCs w:val="20"/>
                <w:color w:val="auto"/>
              </w:rPr>
            </w:pP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Transportation</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6"/>
              </w:rPr>
              <w:t>International</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May 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2,313</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3,464</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5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2,553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8,414</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r>
      <w:tr>
        <w:trPr>
          <w:trHeight w:val="249"/>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July 31, 2021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8,311</w:t>
            </w:r>
          </w:p>
        </w:tc>
      </w:tr>
    </w:tbl>
    <w:p>
      <w:pPr>
        <w:spacing w:after="0" w:line="20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November 2, 2020 and concluded no goodwill impairment existed.</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July 31, 2021, there were no advances under the loan portion of the line of credit, and the balance of letters of credit outstanding was approximately $8,142. As of July 31, 2021, $26,858 of the credit facility remains in place and available.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sometimes required to obtain bank guarantees or other financial instruments for display installations. If we are unable to meet the terms of the arrangement, our customer would draw on the banking arrangement, and the bank would subrogate its loss to Daktronics. As of July 31, 2021, we had $2,514 of such instruments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2021, we were in compliance with all applicable bank loan covenants.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We are a party to legal proceedings and claims which arise during the ordinary course of business. For unresolved legal proceedings or claims,</w:t>
      </w:r>
      <w:r>
        <w:rPr>
          <w:rFonts w:ascii="Arial" w:cs="Arial" w:eastAsia="Arial" w:hAnsi="Arial"/>
          <w:sz w:val="18"/>
          <w:szCs w:val="18"/>
          <w:i w:val="1"/>
          <w:iCs w:val="1"/>
          <w:color w:val="auto"/>
        </w:rPr>
        <w:t xml:space="preserve"> </w:t>
      </w:r>
      <w:r>
        <w:rPr>
          <w:rFonts w:ascii="Arial" w:cs="Arial" w:eastAsia="Arial" w:hAnsi="Arial"/>
          <w:sz w:val="18"/>
          <w:szCs w:val="18"/>
          <w:color w:val="auto"/>
        </w:rPr>
        <w:t>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ectPr>
          <w:pgSz w:w="11900" w:h="16838" w:orient="portrait"/>
          <w:cols w:equalWidth="0" w:num="1">
            <w:col w:w="11240"/>
          </w:cols>
          <w:pgMar w:left="320" w:top="611" w:right="339" w:bottom="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Changes in our warranty obligation for the three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Beginning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Warranties issued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 made during the period</w:t>
      </w:r>
    </w:p>
    <w:p>
      <w:pPr>
        <w:spacing w:after="0" w:line="9" w:lineRule="exact"/>
        <w:rPr>
          <w:sz w:val="20"/>
          <w:szCs w:val="20"/>
          <w:color w:val="auto"/>
        </w:rPr>
      </w:pPr>
    </w:p>
    <w:p>
      <w:pPr>
        <w:ind w:right="840" w:firstLine="324"/>
        <w:spacing w:after="0" w:line="323" w:lineRule="auto"/>
        <w:rPr>
          <w:sz w:val="20"/>
          <w:szCs w:val="20"/>
          <w:color w:val="auto"/>
        </w:rPr>
      </w:pPr>
      <w:r>
        <w:rPr>
          <w:rFonts w:ascii="Arial" w:cs="Arial" w:eastAsia="Arial" w:hAnsi="Arial"/>
          <w:sz w:val="18"/>
          <w:szCs w:val="18"/>
          <w:color w:val="auto"/>
        </w:rPr>
        <w:t>Changes in accrued warranty obligations for pre-existing warranties during the period, including expirations Ending accrued warranty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62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July 31,</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25,960</w:t>
      </w:r>
    </w:p>
    <w:p>
      <w:pPr>
        <w:spacing w:after="0" w:line="22"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2,110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(1,470)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86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960" w:hanging="953"/>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25,381</w:t>
      </w:r>
    </w:p>
    <w:p>
      <w:pPr>
        <w:spacing w:after="0" w:line="265" w:lineRule="exact"/>
        <w:rPr>
          <w:sz w:val="20"/>
          <w:szCs w:val="20"/>
          <w:color w:val="auto"/>
        </w:rPr>
      </w:pPr>
    </w:p>
    <w:p>
      <w:pPr>
        <w:sectPr>
          <w:pgSz w:w="11900" w:h="16838" w:orient="portrait"/>
          <w:cols w:equalWidth="0" w:num="2">
            <w:col w:w="8960" w:space="720"/>
            <w:col w:w="1560"/>
          </w:cols>
          <w:pgMar w:left="320" w:top="611" w:right="339" w:bottom="0" w:gutter="0" w:footer="0" w:header="0"/>
          <w:type w:val="continuous"/>
        </w:sectPr>
      </w:pPr>
    </w:p>
    <w:p>
      <w:pPr>
        <w:jc w:val="both"/>
        <w:spacing w:after="0" w:line="291" w:lineRule="auto"/>
        <w:rPr>
          <w:sz w:val="20"/>
          <w:szCs w:val="20"/>
          <w:color w:val="auto"/>
        </w:rPr>
      </w:pPr>
      <w:r>
        <w:rPr>
          <w:rFonts w:ascii="Arial" w:cs="Arial" w:eastAsia="Arial" w:hAnsi="Arial"/>
          <w:sz w:val="16"/>
          <w:szCs w:val="16"/>
          <w:i w:val="1"/>
          <w:iCs w:val="1"/>
          <w:color w:val="auto"/>
        </w:rPr>
        <w:t xml:space="preserve">Performance guarantees: </w:t>
      </w:r>
      <w:r>
        <w:rPr>
          <w:rFonts w:ascii="Arial" w:cs="Arial" w:eastAsia="Arial" w:hAnsi="Arial"/>
          <w:sz w:val="16"/>
          <w:szCs w:val="16"/>
          <w:color w:val="auto"/>
        </w:rPr>
        <w:t>We have entered into standby letters of credit, bank guarantees and surety bonds with financial institutions relating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 of our future performance on contracts, primarily construction-type contracts. As of July 31, 2021, we had outstanding letters of credit, bank guarantees and surety bonds in the amount of $8,142, $2,514 and $50,336,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July 31, 2021, we were not aware of any indemnification claim from a customer.</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Our effective tax rate for the three months ended July 31, 2021 was 25.2 percent as compared to 16.4 percent for the three months ended August 1, 2020. The difference in rates are primarily driven by estimated tax credits and other permanent items proportionate to estimated pre-tax earnings in fiscal 2022 compared to similar estimated value of tax credits and other permanent items proportionate to lower estimated pre-tax earnings in fiscal 2021.</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operate both domestically and internationally and as of July 31, 2021, undistributed earnings of our foreign subsidiaries were considered to be reinvested indefinitely. Additionally, we had $654 of unrecognized tax benefits which would reduce our effective tax rate if recognized.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11" w:right="339" w:bottom="0" w:gutter="0" w:footer="0" w:header="0"/>
          <w:type w:val="continuous"/>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10. Fair Value Measurement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July 31, 2021 and May 1, 2021 according to the valuation techniques we used to determine their fair values. There have been no transfers of assets or liabilities among the fair value hierarchies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3"/>
              </w:rPr>
              <w:t>Fair Value Measurements</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July 31, 2021</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74,658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74,658</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9"/>
        </w:trPr>
        <w:tc>
          <w:tcPr>
            <w:tcW w:w="59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77,199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77,111</w:t>
            </w:r>
          </w:p>
        </w:tc>
      </w:tr>
      <w:tr>
        <w:trPr>
          <w:trHeight w:val="20"/>
        </w:trPr>
        <w:tc>
          <w:tcPr>
            <w:tcW w:w="5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May 1, 2021</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77,590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77,590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2,812</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Derivatives - asset position</w:t>
            </w:r>
          </w:p>
        </w:tc>
        <w:tc>
          <w:tcPr>
            <w:tcW w:w="1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Derivatives - liability position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59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80,402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79,782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the Level 3 contingent liabilities, both short- and long-term, for the three months ended July 31, 2021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contingent consideration as of May 1, 2021</w:t>
            </w:r>
          </w:p>
        </w:tc>
        <w:tc>
          <w:tcPr>
            <w:tcW w:w="31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Additions</w:t>
            </w:r>
          </w:p>
        </w:tc>
        <w:tc>
          <w:tcPr>
            <w:tcW w:w="2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2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Interest</w:t>
            </w:r>
          </w:p>
        </w:tc>
        <w:tc>
          <w:tcPr>
            <w:tcW w:w="25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49"/>
        </w:trPr>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Acquisition-related contingent consideration as of July 31, 2021</w:t>
            </w:r>
          </w:p>
        </w:tc>
        <w:tc>
          <w:tcPr>
            <w:tcW w:w="2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valuation techniques used by us to value our financial instruments since the end of fiscal 2021. For additional information, see our Annual Report on Form 10-K for the fiscal year ended May 1, 2021 for the methods and assumptions used to estimate the fair value of each class of financial instrument.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The MD&amp;A provides a narrative analysis explaining the reasons for material changes in the Company’s (i) financial condition from the most recent fiscal year-end, May 1, 2021 and (ii) results of operations during the current fiscal period(s) as compared to the corresponding period(s) of the preceding fiscal year.</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including the MD&amp;A section,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 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us. Any or all of our forward-looking statements in this report and in any public statements we make could be materially different from actual results. Accordingly, we wish to caution investors that any forward-looking statements made by or on behalf of us are subject to uncertainties and other factors that could cause actual results to differ materially from such statements.</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also wish to caution investors that other factors might in the future prove to be important in affecting our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We undertake no obligation to update publicly or revise any forward-looking statements, whether as a result of new information, future events or otherwise.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MD&amp;A should be read in conjunction with the Consolidated Financial Statements and related Notes included in Item 1 of Part I of this Quarterly Report on Form 10-Q and our Annual Report on Form 10-K for the fiscal year ended May 1, 2021 (including the information presented therein under Risk Factors), as well other publicly available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principally in the design, market, and manufacture of a wide range of integrated electronic display systems and related products which are sold in a variety of markets throughout the world and the rendering of related maintenance and professional services. We focus our sales and marketing efforts on markets, geographical regions and products. Our five business segments consist of four domestic business units and the International business unit. The four domestic business units include Commercial, Live Events, High School Park and Recreation, and Transportation, all of which include the geographic territories of the United States and Canada.</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selected financial data should be read in conjunction with our Form 10-K for the year ended May 1, 2021 and the consolidated financial statements, including the notes to consolidated financial statements therein.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CORONAVIRUS ("COVID-19") PANDEMIC</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continue to monitor guidance from international and domestic authorities, regarding the COVID-19 pandemic and may take additional actions based on their requirements and recommendations. Since late fiscal 2021, order and quoting activities have increased creating a strong backlog and positive outlook; however, there is no assurance that this trend will continue in future quarters. Supply chain disruptions continue to emerge as a result of several factors including - the pandemic, shipping container shortages, and the changes in global demand. Specifically, we are impacted by the global shortage of semiconductors and related electronic components, other materials needed for production, and freight availability. We expect headwinds in material, labor, freight availability and inflation as the world economies recover, which may cause volatility in our revenue cycles and production costs. While we cannot predict the length or severity of these conditions, it is reasonably possible they will continue to have some impact on our operations during fiscal 2022.</w:t>
      </w:r>
    </w:p>
    <w:p>
      <w:pPr>
        <w:spacing w:after="0" w:line="166"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Refer to the COVID-19 related risk factors disclosed in Item 1A of Part I in our Annual Report on Form 10-K for the fiscal year ended May 1,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JULY 31, 2021 AND AUGUST 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Order Backlog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Backlog represents the dollar value of orders for integrated electronic display systems and related products and services which are expected to be recognized in net sales in the future. Orders are contractually binding purchase commitments from customers. Orders are included in backlog when we are in receipt of an executed contract and any required deposits or security and have not yet been recognized into net sales. Certain orders for which we have received binding letters of intent or contracts will not be included in backlog until all required contractual documents and deposits are received. Orders and backlog are not measures defined by accounting principles generally accepted in the United States of America ("GAAP"), and our methodology for determining orders and backlog may vary from the methodology used by other companies in determining their orders and backlog amounts.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Order and backlog levels provide management and investors additional details surrounding the results of our business activities in the marketplace and highlights fluctuations caused by seasonality and our large project business. Management uses orders to evaluate market share and performance in the competitive environment. Management uses backlog information for capacity and resource planning. We believe order information is useful to investors because it provides an indication of our market share and provides an indication of future revenues.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order backlog as of July 31, 2021 was $285 million as compared to $192 million as of August 1, 2020 and $251 million at the end of fourth quarter of fiscal 2021. We expect to fulfill the backlog as of July 31, 2021 within the next 24 months. The timing of backlog may be impacted by project delays resulting from the COVID-19 pandemic and supply chain delays.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information regarding net sales for the three months ended July 31, 2021 and August 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1"/>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w w:val="99"/>
              </w:rPr>
              <w:t>July 31,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10"/>
              <w:spacing w:after="0" w:line="191" w:lineRule="exact"/>
              <w:rPr>
                <w:sz w:val="20"/>
                <w:szCs w:val="20"/>
                <w:color w:val="auto"/>
              </w:rPr>
            </w:pPr>
            <w:r>
              <w:rPr>
                <w:rFonts w:ascii="Arial" w:cs="Arial" w:eastAsia="Arial" w:hAnsi="Arial"/>
                <w:sz w:val="18"/>
                <w:szCs w:val="18"/>
                <w:b w:val="1"/>
                <w:bCs w:val="1"/>
                <w:color w:val="auto"/>
                <w:w w:val="90"/>
              </w:rPr>
              <w:t>August 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310"/>
              <w:spacing w:after="0" w:line="191" w:lineRule="exact"/>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6"/>
                <w:szCs w:val="16"/>
                <w:color w:val="auto"/>
              </w:rPr>
            </w:pPr>
          </w:p>
        </w:tc>
        <w:tc>
          <w:tcPr>
            <w:tcW w:w="1320" w:type="dxa"/>
            <w:vAlign w:val="bottom"/>
          </w:tcPr>
          <w:p>
            <w:pPr>
              <w:jc w:val="right"/>
              <w:ind w:right="390"/>
              <w:spacing w:after="0" w:line="191" w:lineRule="exact"/>
              <w:rPr>
                <w:sz w:val="20"/>
                <w:szCs w:val="20"/>
                <w:color w:val="auto"/>
              </w:rPr>
            </w:pPr>
            <w:r>
              <w:rPr>
                <w:rFonts w:ascii="Arial" w:cs="Arial" w:eastAsia="Arial" w:hAnsi="Arial"/>
                <w:sz w:val="18"/>
                <w:szCs w:val="18"/>
                <w:b w:val="1"/>
                <w:bCs w:val="1"/>
                <w:color w:val="auto"/>
              </w:rPr>
              <w:t>Percent</w:t>
            </w: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32,781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34,506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(1,725)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52,387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(13.4)</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19,112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14,223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4,889</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34.4</w:t>
            </w:r>
          </w:p>
        </w:tc>
      </w:tr>
      <w:tr>
        <w:trPr>
          <w:trHeight w:val="250"/>
        </w:trPr>
        <w:tc>
          <w:tcPr>
            <w:tcW w:w="1080" w:type="dxa"/>
            <w:vAlign w:val="bottom"/>
            <w:shd w:val="clear" w:color="auto" w:fill="CCEEFF"/>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144,732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143,644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196"/>
        </w:trPr>
        <w:tc>
          <w:tcPr>
            <w:tcW w:w="594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b w:val="1"/>
                <w:bCs w:val="1"/>
                <w:color w:val="auto"/>
              </w:rPr>
              <w:t>Orders:</w:t>
            </w: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38,329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12,796</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49,686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41,860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7,826</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18.7</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45,711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17,612</w:t>
            </w:r>
          </w:p>
        </w:tc>
        <w:tc>
          <w:tcPr>
            <w:tcW w:w="1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62.7</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21,345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8,256</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63.1</w:t>
            </w:r>
          </w:p>
        </w:tc>
      </w:tr>
      <w:tr>
        <w:trPr>
          <w:trHeight w:val="216"/>
        </w:trPr>
        <w:tc>
          <w:tcPr>
            <w:tcW w:w="59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26,675</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13,572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13,103</w:t>
            </w: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96.5</w:t>
            </w: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181,746</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122,153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59,593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48.8%</w:t>
            </w:r>
          </w:p>
        </w:tc>
      </w:tr>
      <w:tr>
        <w:trPr>
          <w:trHeight w:val="20"/>
        </w:trPr>
        <w:tc>
          <w:tcPr>
            <w:tcW w:w="10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Each business unit's order volume was higher in the first quarter of fiscal 2022 reflecting the recovery from the impact of the global pandemic among our customers. High School Park and Recreation performed well throughout the pandemic and continues to perform well as we emerge from the pandemic driven by the adoption of video displays at the high school level. The increase also was created by several multimillion-dollar orders ("large orders"). During the quarter, we were awarded a number of arena and stadium projects in both International and Live Events and had increased activity in the Commercial and International digital billboard markets. Large orders create volatility in comparisons between quarters.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increased in our International business unit, and decreased in the Commercial, High School Park and Recreation, and Transportation business units. Net sales were relatively flat in our Live Events business unit. Material supply shortages are creating an increase in lead times and extending the timing of converting some orders to sales in the near-term.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Gross Profit and Contribution Margin</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10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July 31, 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ind w:left="480"/>
              <w:spacing w:after="0"/>
              <w:rPr>
                <w:sz w:val="20"/>
                <w:szCs w:val="20"/>
                <w:color w:val="auto"/>
              </w:rPr>
            </w:pPr>
            <w:r>
              <w:rPr>
                <w:rFonts w:ascii="Arial" w:cs="Arial" w:eastAsia="Arial" w:hAnsi="Arial"/>
                <w:sz w:val="18"/>
                <w:szCs w:val="18"/>
                <w:b w:val="1"/>
                <w:bCs w:val="1"/>
                <w:color w:val="auto"/>
              </w:rPr>
              <w:t>August 1, 2020</w:t>
            </w:r>
          </w:p>
        </w:tc>
      </w:tr>
      <w:tr>
        <w:trPr>
          <w:trHeight w:val="191"/>
        </w:trPr>
        <w:tc>
          <w:tcPr>
            <w:tcW w:w="108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87"/>
              </w:rPr>
              <w:t>As a Percent</w:t>
            </w:r>
          </w:p>
        </w:tc>
      </w:t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of Net Sales</w:t>
            </w: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Commercial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7,178</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7,742</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w w:val="90"/>
              </w:rPr>
              <w:t>22.4%</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8,582</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9,354</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18.2</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High School Park and Recreation</w:t>
            </w: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9,509</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10,476</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36.2</w:t>
            </w:r>
          </w:p>
        </w:tc>
      </w:tr>
      <w:tr>
        <w:trPr>
          <w:trHeight w:val="216"/>
        </w:trPr>
        <w:tc>
          <w:tcPr>
            <w:tcW w:w="5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5,143</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35.5</w:t>
            </w:r>
          </w:p>
        </w:tc>
      </w:tr>
      <w:tr>
        <w:trPr>
          <w:trHeight w:val="216"/>
        </w:trPr>
        <w:tc>
          <w:tcPr>
            <w:tcW w:w="5940" w:type="dxa"/>
            <w:vAlign w:val="bottom"/>
            <w:gridSpan w:val="2"/>
          </w:tcPr>
          <w:p>
            <w:pPr>
              <w:ind w:left="1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3,168</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3,046</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21.4</w:t>
            </w:r>
          </w:p>
        </w:tc>
      </w:tr>
      <w:tr>
        <w:trPr>
          <w:trHeight w:val="249"/>
        </w:trPr>
        <w:tc>
          <w:tcPr>
            <w:tcW w:w="108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32,188</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0"/>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35,761</w:t>
            </w: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w w:val="90"/>
              </w:rPr>
              <w:t>24.9%</w:t>
            </w: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gross profit percentage in all the business units is primarily related to increased input costs including material, freight, tariffs and staffing levels to increase capacity for the higher order volumes. Gross profit was also impacted by sales mix differences between periods. During the first quarter we had more large project sales which generally have lower gross profit because of the competitive nature of large projects and lower service revenue as a percentage of sales makeup. During the first quarter of fiscal 2021, we earned a higher rate of gross profit on our service agreements due to reduced stand ready services conducted during the quarter. This was due to lower on-site demand as events were not being held through the various pandemic shutdowns.</w:t>
      </w:r>
    </w:p>
    <w:p>
      <w:pPr>
        <w:sectPr>
          <w:pgSz w:w="11900" w:h="16838" w:orient="portrait"/>
          <w:cols w:equalWidth="0" w:num="1">
            <w:col w:w="11240"/>
          </w:cols>
          <w:pgMar w:left="320" w:top="125" w:right="339" w:bottom="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Total warranty as a percent of sales for the three months ended July 31, 2021 compared to the same period one year ago declined to 1.2 percent from 2.1 percent,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July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August 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Contribution Margin:</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Commercial</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Live Events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6,328</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7,138</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High School Park and Recreation</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6,765</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7,915</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Transportation</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2,854</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4,381</w:t>
            </w:r>
          </w:p>
        </w:tc>
        <w:tc>
          <w:tcPr>
            <w:tcW w:w="1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International</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929</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599</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20,393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Contribution margin </w:t>
      </w:r>
      <w:r>
        <w:rPr>
          <w:rFonts w:ascii="Arial" w:cs="Arial" w:eastAsia="Arial" w:hAnsi="Arial"/>
          <w:sz w:val="18"/>
          <w:szCs w:val="18"/>
          <w:color w:val="auto"/>
        </w:rPr>
        <w:t>is a non-GAAP measure and consists of gross profit less selling expenses. Selling expenses consist primarily of personnel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travel and 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Contribution margin is impacted by the previously discussed sales levels and gross margin changes. Each business unit's contribution margin was impacted by changes in selling expense which included an increase in personnel related expenses, increases in travel and entertainment, marketing, and convention related expenses offset by a $0.4 million bad debt recovery in the International business unit. Marketing and sales expenses increased as order activity increased and travel restrictions were lifted.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from non-GAAP contribution margin to operating margin GAAP measure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July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42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August 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0" w:type="dxa"/>
            <w:vAlign w:val="bottom"/>
          </w:tcPr>
          <w:p>
            <w:pPr>
              <w:spacing w:after="0"/>
              <w:rPr>
                <w:sz w:val="1"/>
                <w:szCs w:val="1"/>
                <w:color w:val="auto"/>
              </w:rPr>
            </w:pPr>
          </w:p>
        </w:tc>
      </w:tr>
      <w:tr>
        <w:trPr>
          <w:trHeight w:val="207"/>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Contribution margin</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20,393</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(3,812)</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24,205</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7,571</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440" w:type="dxa"/>
            <w:vAlign w:val="bottom"/>
            <w:gridSpan w:val="2"/>
          </w:tcPr>
          <w:p>
            <w:pPr>
              <w:jc w:val="right"/>
              <w:ind w:right="1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7,124</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Product design and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7,162</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4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7,532</w:t>
            </w:r>
          </w:p>
        </w:tc>
        <w:tc>
          <w:tcPr>
            <w:tcW w:w="1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32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5,660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(3,889)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9,549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in the first quarter of fiscal 2022 increased as compared to the same period one year ago primarily due to increases in personnel related expenses.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Product design and development expenses in the first quarter of fiscal 2022 as compared to the same period one year ago declined for decreased spend for professional services.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Other Income and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July 31, 2021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120" w:type="dxa"/>
            <w:vAlign w:val="bottom"/>
          </w:tcPr>
          <w:p>
            <w:pPr>
              <w:spacing w:after="0"/>
              <w:rPr>
                <w:sz w:val="18"/>
                <w:szCs w:val="18"/>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Percent</w:t>
            </w: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August 1, 2020</w:t>
            </w:r>
          </w:p>
        </w:tc>
        <w:tc>
          <w:tcPr>
            <w:tcW w:w="0" w:type="dxa"/>
            <w:vAlign w:val="bottom"/>
          </w:tcPr>
          <w:p>
            <w:pPr>
              <w:spacing w:after="0"/>
              <w:rPr>
                <w:sz w:val="1"/>
                <w:szCs w:val="1"/>
                <w:color w:val="auto"/>
              </w:rPr>
            </w:pPr>
          </w:p>
        </w:tc>
      </w:tr>
      <w:tr>
        <w:trPr>
          <w:trHeight w:val="191"/>
        </w:trPr>
        <w:tc>
          <w:tcPr>
            <w:tcW w:w="10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1"/>
              </w:rPr>
              <w:t>As a Percent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190"/>
              <w:spacing w:after="0" w:line="191" w:lineRule="exact"/>
              <w:rPr>
                <w:sz w:val="20"/>
                <w:szCs w:val="20"/>
                <w:color w:val="auto"/>
              </w:rPr>
            </w:pPr>
            <w:r>
              <w:rPr>
                <w:rFonts w:ascii="Arial" w:cs="Arial" w:eastAsia="Arial" w:hAnsi="Arial"/>
                <w:sz w:val="18"/>
                <w:szCs w:val="18"/>
                <w:b w:val="1"/>
                <w:bCs w:val="1"/>
                <w:color w:val="auto"/>
                <w:w w:val="93"/>
              </w:rPr>
              <w:t>As a Percent</w:t>
            </w:r>
          </w:p>
        </w:tc>
        <w:tc>
          <w:tcPr>
            <w:tcW w:w="0" w:type="dxa"/>
            <w:vAlign w:val="bottom"/>
          </w:tcPr>
          <w:p>
            <w:pPr>
              <w:spacing w:after="0"/>
              <w:rPr>
                <w:sz w:val="1"/>
                <w:szCs w:val="1"/>
                <w:color w:val="auto"/>
              </w:rPr>
            </w:pPr>
          </w:p>
        </w:tc>
      </w:tr>
      <w:tr>
        <w:trPr>
          <w:trHeight w:val="207"/>
        </w:trPr>
        <w:tc>
          <w:tcPr>
            <w:tcW w:w="31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of Net Sales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Change</w:t>
            </w:r>
          </w:p>
        </w:tc>
        <w:tc>
          <w:tcPr>
            <w:tcW w:w="120" w:type="dxa"/>
            <w:vAlign w:val="bottom"/>
          </w:tcPr>
          <w:p>
            <w:pPr>
              <w:spacing w:after="0"/>
              <w:rPr>
                <w:sz w:val="18"/>
                <w:szCs w:val="18"/>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8"/>
                <w:szCs w:val="18"/>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18"/>
                <w:szCs w:val="18"/>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of Net Sales</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 income, net</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137</w:t>
            </w:r>
          </w:p>
        </w:tc>
        <w:tc>
          <w:tcPr>
            <w:tcW w:w="1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0.1%</w:t>
            </w:r>
          </w:p>
        </w:tc>
        <w:tc>
          <w:tcPr>
            <w:tcW w:w="2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125</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1041.7%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12</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(868)</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change in interest income and expense, net for the first quarter of fiscal 2022 compared to the same period one year ago was primarily due to the reduction of interest expense as we have no outstanding drawings on the line of credit this year as compared to $15.0 million last year.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(expense) income, net: </w:t>
      </w:r>
      <w:r>
        <w:rPr>
          <w:rFonts w:ascii="Arial" w:cs="Arial" w:eastAsia="Arial" w:hAnsi="Arial"/>
          <w:sz w:val="18"/>
          <w:szCs w:val="18"/>
          <w:color w:val="auto"/>
        </w:rPr>
        <w:t>The change in other income and expense, net for the first quarter of fiscal 2022 as compared to the same period one year ago</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losses recorded for equity method affiliates and foreign currency volatility.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recorded an effective tax rate of 25.2 percent for the first quarter of fiscal 2022 as compared to 16.4 percent for the first quarter of fiscal 2021. The difference in tax rates are primarily driven by estimated tax credits and other permanent items proportionate to estimated pre-tax earnings in fiscal 2022 compared to similar estimated value of tax credits and other permanent items proportionate to lower estimated pre-tax earnings in fiscal 2021.</w:t>
      </w:r>
    </w:p>
    <w:p>
      <w:pPr>
        <w:sectPr>
          <w:pgSz w:w="11900" w:h="16838" w:orient="portrait"/>
          <w:cols w:equalWidth="0" w:num="1">
            <w:col w:w="11240"/>
          </w:cols>
          <w:pgMar w:left="320" w:top="108" w:right="339"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provided by: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Effect of exchange rate changes on cash</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Net (decrease) increase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50"/>
              <w:spacing w:after="0" w:line="191" w:lineRule="exact"/>
              <w:rPr>
                <w:sz w:val="20"/>
                <w:szCs w:val="20"/>
                <w:color w:val="auto"/>
              </w:rPr>
            </w:pPr>
            <w:r>
              <w:rPr>
                <w:rFonts w:ascii="Arial" w:cs="Arial" w:eastAsia="Arial" w:hAnsi="Arial"/>
                <w:sz w:val="18"/>
                <w:szCs w:val="18"/>
                <w:b w:val="1"/>
                <w:bCs w:val="1"/>
                <w:color w:val="auto"/>
              </w:rPr>
              <w:t>July 31,</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August 1,</w:t>
            </w: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Percent</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Change</w:t>
            </w:r>
          </w:p>
        </w:tc>
      </w:tr>
      <w:tr>
        <w:trPr>
          <w:trHeight w:val="411"/>
        </w:trPr>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(1,019)</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8,545</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(111.9)%</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(3,561)</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(48.0)</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(481)</w:t>
            </w:r>
          </w:p>
        </w:tc>
        <w:tc>
          <w:tcPr>
            <w:tcW w:w="1760" w:type="dxa"/>
            <w:vAlign w:val="bottom"/>
            <w:gridSpan w:val="2"/>
          </w:tcPr>
          <w:p>
            <w:pPr>
              <w:jc w:val="right"/>
              <w:ind w:right="70"/>
              <w:spacing w:after="0"/>
              <w:rPr>
                <w:sz w:val="20"/>
                <w:szCs w:val="20"/>
                <w:color w:val="auto"/>
              </w:rPr>
            </w:pPr>
            <w:r>
              <w:rPr>
                <w:rFonts w:ascii="Arial" w:cs="Arial" w:eastAsia="Arial" w:hAnsi="Arial"/>
                <w:sz w:val="18"/>
                <w:szCs w:val="18"/>
                <w:color w:val="auto"/>
              </w:rPr>
              <w:t>(72.6)</w:t>
            </w:r>
          </w:p>
        </w:tc>
      </w:tr>
      <w:tr>
        <w:trPr>
          <w:trHeight w:val="210"/>
        </w:trPr>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4,293</w:t>
            </w:r>
          </w:p>
        </w:tc>
        <w:tc>
          <w:tcPr>
            <w:tcW w:w="1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(174.6)%</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-719455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-445135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-162560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40" w:space="720"/>
            <w:col w:w="4980"/>
          </w:cols>
          <w:pgMar w:left="320" w:top="823" w:right="339" w:bottom="0" w:gutter="0" w:footer="0" w:header="0"/>
        </w:sectPr>
      </w:pPr>
    </w:p>
    <w:p>
      <w:pPr>
        <w:spacing w:after="0" w:line="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Cash decreased by $3.2 million for the first three months of fiscal 2022 primarily due to increases in accounts receivable, inventory, and contract assets as we had more in process coming out of the pandemic timeframe as compared to an increase of $4.3 million in the first three months of fiscal 2021.</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Net cash (used in) provided by operating activities: </w:t>
      </w:r>
      <w:r>
        <w:rPr>
          <w:rFonts w:ascii="Arial" w:cs="Arial" w:eastAsia="Arial" w:hAnsi="Arial"/>
          <w:sz w:val="17"/>
          <w:szCs w:val="17"/>
          <w:color w:val="auto"/>
        </w:rPr>
        <w:t>Net cash used in operating activities was $1.0 million for the first three months of fiscal 2022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net cash provided by operating activities of $8.5 million in the first three months of fiscal 2021. The $9.5 million decrease in cash provided by operating activities was primarily the result of changes in net operating assets and liabilities and a decrease of $3.8 million in net income.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The changes in operating assets and liabilities consisted of the following:</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Three Months Ended</w:t>
            </w:r>
          </w:p>
        </w:tc>
      </w:tr>
      <w:tr>
        <w:trPr>
          <w:trHeight w:val="191"/>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50"/>
              <w:spacing w:after="0" w:line="191" w:lineRule="exact"/>
              <w:rPr>
                <w:sz w:val="20"/>
                <w:szCs w:val="20"/>
                <w:color w:val="auto"/>
              </w:rPr>
            </w:pPr>
            <w:r>
              <w:rPr>
                <w:rFonts w:ascii="Arial" w:cs="Arial" w:eastAsia="Arial" w:hAnsi="Arial"/>
                <w:sz w:val="18"/>
                <w:szCs w:val="18"/>
                <w:b w:val="1"/>
                <w:bCs w:val="1"/>
                <w:color w:val="auto"/>
              </w:rPr>
              <w:t>July 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370"/>
              <w:spacing w:after="0" w:line="191" w:lineRule="exact"/>
              <w:rPr>
                <w:sz w:val="20"/>
                <w:szCs w:val="20"/>
                <w:color w:val="auto"/>
              </w:rPr>
            </w:pPr>
            <w:r>
              <w:rPr>
                <w:rFonts w:ascii="Arial" w:cs="Arial" w:eastAsia="Arial" w:hAnsi="Arial"/>
                <w:sz w:val="18"/>
                <w:szCs w:val="18"/>
                <w:b w:val="1"/>
                <w:bCs w:val="1"/>
                <w:color w:val="auto"/>
              </w:rPr>
              <w:t>August 1,</w:t>
            </w:r>
          </w:p>
        </w:tc>
      </w:tr>
      <w:tr>
        <w:trPr>
          <w:trHeight w:val="234"/>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(10,412)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(15,514)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receivables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5,826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2,122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receivables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Investment in affiliates and other assets</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(decrease):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17,352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 obligations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Long-term warranty obligations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Long-term marketing obligations and other payables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Net cash used in investing activities totaled $1.9 million in the first three months of fiscal 2022 compared to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used in investing activities of $3.6 million in the first three months of fiscal 2021. Purchases of property and equipment totaled $1.3 million in the first three months of fiscal 2022 compared to $3.2 million in the first three months of fiscal 2021. Purchases of and loans to an equity investment totaled $0.7 million in the first three months of fiscal 2022 as compared to $0.5 million in the first three months of fiscal 2021.</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$0.2 million for the three compared to $0.2 million in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due to principal payments on long-term obligations.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Resources Discussion: </w:t>
      </w:r>
      <w:r>
        <w:rPr>
          <w:rFonts w:ascii="Arial" w:cs="Arial" w:eastAsia="Arial" w:hAnsi="Arial"/>
          <w:sz w:val="18"/>
          <w:szCs w:val="18"/>
          <w:color w:val="auto"/>
        </w:rPr>
        <w:t>The timing and amounts of working capital changes, dividend payments, stock repurchase program, and</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spending impact our liquidity.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Working capital was $127.1 million and $118.4 million at July 31, 2021 and May 1, 2021,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 We expect to use cash in operations as our business grows to pre-pandemic levels.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had $7.1 million of retainage on long-term contracts included in receivables and contract assets as of July 31, 2021, which has an impact on our liquidity. We expect to collect these amounts within one year. We have historically financed our cash needs through a combination of cash flow from operations and borrowings under bank credit agreements.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COVID-19 response, our Board of Directors suspended dividends and share repurchases for the foreseeable future. The future reinstatement of dividends and share repurchases cannot be predicted and is at the discretion of the Board of Directors. Future dividends are also impacted by the limitations imposed in our credit facility as further described in "Note 7. Financing Agreements" of the Notes to the Condensed Consolidated Financial Statements included elsewhere in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0" w:gutter="0" w:footer="0" w:header="0"/>
          <w:type w:val="continuous"/>
        </w:sectPr>
      </w:pPr>
    </w:p>
    <w:bookmarkStart w:id="21" w:name="page22"/>
    <w:bookmarkEnd w:id="21"/>
    <w:p>
      <w:pPr>
        <w:jc w:val="both"/>
        <w:spacing w:after="0" w:line="286" w:lineRule="auto"/>
        <w:rPr>
          <w:sz w:val="20"/>
          <w:szCs w:val="20"/>
          <w:color w:val="auto"/>
        </w:rPr>
      </w:pPr>
      <w:r>
        <w:rPr>
          <w:rFonts w:ascii="Arial" w:cs="Arial" w:eastAsia="Arial" w:hAnsi="Arial"/>
          <w:sz w:val="17"/>
          <w:szCs w:val="17"/>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July 31, 2021, we had $2.5 million of such instruments outstanding.</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July 31, 2021, we had $50.3 million of bonded work outstanding against this line.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 growth and profitability improvement strategies depend on investments in capital expenditures and strategic investments. We are projecting capital expenditures to be approximately $25 million for fiscal 2022. Projected capital expenditures include manufacturing equipment for new or enhanced product production, expanded capacity, investments in quality and reliability equipment, and continued information infrastructure investments. During fiscal 2022, we may choose to invest additional capital in our investments in affiliates to support further development in microLED and other technologies. We also evaluate and may invest in new technologies or acquire companies aligned with our business strategy.</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 audiovisual industry fundamentals will drive long-term growth for our business; however, for the near-term outlook, we expect our customers may continue to have disruptions and may continue to reduce or increase their spend on audiovisual systems and related services as they work through the economic and business implications of COVID-19 and related supply chain challenges. While it is difficult to estimate the longevity and severity of the COVID-19 pandemic impact to the economy and to our financial position, operating results, and cash flows, we believe our working capital available from all sources will be adequate to meet the cash requirements of our operations and strategies in the foreseeable future. If the pandemic impact or long-term growth extends beyond current expectations, or if we make significant strategic investments, we may need to utilize and possibly increase our credit facilities or seek other means of financing.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describe our significant accounting policies in "Note 1. Nature of Business and Summary of Significant Accounting Policies" of the Notes to Consolidated Financial Statements included in our Annual Report on Form 10-K for the fiscal year ended May 1, 2021. We discuss our critical accounting estimates in "Part II, Item 7. Management’s Discussion and Analysis of Financial Condition and Results of Operations" in our Annual Report on Form 10-K for the fiscal year ended May 1, 2021. There have been no significant changes in our significant accounting policies or critical accounting estimates since the end of fiscal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interest rate, foreign currency, and commodity risks as disclosed in our Annual Report on Form 10-K for the fiscal year ended May 1, 2021. There have been no material changes in our exposure to these risks during the first three months of fiscal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July 31, 2021, which is the end of the period covered by this Report. Based upon that evaluation, the Chief Executive Officer and Chief Financial Officer concluded that as of July 31, 2021, our disclosure controls and procedures were effective.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July 31, 2021, there was no change in our internal control over financial reporting which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May 1, 2021.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31, 2021, we did not repurchase any shares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list of exhibits required to be filed as part of this report is set forth in the Index of Exhibits, which immediately precedes such exhibits, and is incorporated herein by reference.</w:t>
      </w:r>
    </w:p>
    <w:p>
      <w:pPr>
        <w:sectPr>
          <w:pgSz w:w="11900" w:h="16838" w:orient="portrait"/>
          <w:cols w:equalWidth="0" w:num="1">
            <w:col w:w="11240"/>
          </w:cols>
          <w:pgMar w:left="320" w:top="125" w:right="339" w:bottom="817"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17"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170" w:lineRule="exact"/>
        <w:rPr>
          <w:sz w:val="20"/>
          <w:szCs w:val="20"/>
          <w:color w:val="auto"/>
        </w:rPr>
      </w:pPr>
    </w:p>
    <w:p>
      <w:pPr>
        <w:ind w:left="680" w:hanging="674"/>
        <w:spacing w:after="0" w:line="258" w:lineRule="auto"/>
        <w:tabs>
          <w:tab w:leader="none" w:pos="660" w:val="left"/>
        </w:tabs>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3.1</w:t>
        </w:r>
      </w:hyperlink>
      <w:r>
        <w:rPr>
          <w:rFonts w:ascii="Arial" w:cs="Arial" w:eastAsia="Arial" w:hAnsi="Arial"/>
          <w:sz w:val="18"/>
          <w:szCs w:val="18"/>
          <w:u w:val="single" w:color="auto"/>
          <w:color w:val="0000EE"/>
        </w:rPr>
        <w:tab/>
      </w:r>
      <w:hyperlink r:id="rId40">
        <w:r>
          <w:rPr>
            <w:rFonts w:ascii="Arial" w:cs="Arial" w:eastAsia="Arial" w:hAnsi="Arial"/>
            <w:sz w:val="18"/>
            <w:szCs w:val="18"/>
            <w:u w:val="single" w:color="auto"/>
            <w:color w:val="0000EE"/>
          </w:rPr>
          <w:t>Amended and Restated Articles of Incorporation of the Company. (Incorporated by reference to Exhibit 3.1 of the Current Report on Form 10-</w:t>
        </w:r>
      </w:hyperlink>
      <w:hyperlink r:id="rId40">
        <w:r>
          <w:rPr>
            <w:rFonts w:ascii="Arial" w:cs="Arial" w:eastAsia="Arial" w:hAnsi="Arial"/>
            <w:sz w:val="18"/>
            <w:szCs w:val="18"/>
            <w:u w:val="single" w:color="auto"/>
            <w:color w:val="0000EE"/>
          </w:rPr>
          <w:t>Q/A (Amendment No. 1) of Daktronics, Inc. filed on December 21, 2018).</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tabs>
          <w:tab w:leader="none" w:pos="660" w:val="left"/>
        </w:tabs>
        <w:rPr>
          <w:rFonts w:ascii="Arial" w:cs="Arial" w:eastAsia="Arial" w:hAnsi="Arial"/>
          <w:sz w:val="16"/>
          <w:szCs w:val="16"/>
          <w:u w:val="single" w:color="auto"/>
          <w:color w:val="0000EE"/>
        </w:rPr>
      </w:pPr>
      <w:hyperlink r:id="rId42">
        <w:r>
          <w:rPr>
            <w:rFonts w:ascii="Arial" w:cs="Arial" w:eastAsia="Arial" w:hAnsi="Arial"/>
            <w:sz w:val="18"/>
            <w:szCs w:val="18"/>
            <w:u w:val="single" w:color="auto"/>
            <w:color w:val="0000EE"/>
          </w:rPr>
          <w:t>3.2</w:t>
        </w:r>
      </w:hyperlink>
      <w:r>
        <w:rPr>
          <w:rFonts w:ascii="Arial" w:cs="Arial" w:eastAsia="Arial" w:hAnsi="Arial"/>
          <w:sz w:val="18"/>
          <w:szCs w:val="18"/>
          <w:u w:val="single" w:color="auto"/>
          <w:color w:val="0000EE"/>
        </w:rPr>
        <w:tab/>
      </w:r>
      <w:hyperlink r:id="rId42">
        <w:r>
          <w:rPr>
            <w:rFonts w:ascii="Arial" w:cs="Arial" w:eastAsia="Arial" w:hAnsi="Arial"/>
            <w:sz w:val="16"/>
            <w:szCs w:val="16"/>
            <w:u w:val="single" w:color="auto"/>
            <w:color w:val="0000EE"/>
          </w:rPr>
          <w:t>Amended and Restated Bylaws of the Company (Incorporated by reference to Exhibit 3.4 filed with our Annual Report on Form 10-K on June 12,</w:t>
        </w:r>
      </w:hyperlink>
    </w:p>
    <w:p>
      <w:pPr>
        <w:spacing w:after="0" w:line="9" w:lineRule="exact"/>
        <w:rPr>
          <w:sz w:val="20"/>
          <w:szCs w:val="20"/>
          <w:color w:val="auto"/>
        </w:rPr>
      </w:pPr>
    </w:p>
    <w:p>
      <w:pPr>
        <w:ind w:left="680"/>
        <w:spacing w:after="0"/>
        <w:rPr>
          <w:rFonts w:ascii="Arial" w:cs="Arial" w:eastAsia="Arial" w:hAnsi="Arial"/>
          <w:sz w:val="18"/>
          <w:szCs w:val="18"/>
          <w:u w:val="single" w:color="auto"/>
          <w:color w:val="0000EE"/>
        </w:rPr>
      </w:pPr>
      <w:hyperlink r:id="rId42">
        <w:r>
          <w:rPr>
            <w:rFonts w:ascii="Arial" w:cs="Arial" w:eastAsia="Arial" w:hAnsi="Arial"/>
            <w:sz w:val="18"/>
            <w:szCs w:val="18"/>
            <w:u w:val="single" w:color="auto"/>
            <w:color w:val="0000EE"/>
          </w:rPr>
          <w:t>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44">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r:id="rId44">
        <w:r>
          <w:rPr>
            <w:rFonts w:ascii="Arial" w:cs="Arial" w:eastAsia="Arial" w:hAnsi="Arial"/>
            <w:sz w:val="18"/>
            <w:szCs w:val="18"/>
            <w:u w:val="single" w:color="auto"/>
            <w:color w:val="0000EE"/>
          </w:rPr>
          <w:t>Rights Agreement dated as of November 16, 2018 between Daktronics, Inc. and Equiniti Trust Company, as Rights Agent (Incorporated by</w:t>
        </w:r>
      </w:hyperlink>
      <w:r>
        <w:rPr>
          <w:rFonts w:ascii="Arial" w:cs="Arial" w:eastAsia="Arial" w:hAnsi="Arial"/>
          <w:sz w:val="18"/>
          <w:szCs w:val="18"/>
          <w:u w:val="single" w:color="auto"/>
          <w:color w:val="0000EE"/>
        </w:rPr>
        <w:t xml:space="preserve"> </w:t>
      </w:r>
      <w:hyperlink r:id="rId44">
        <w:r>
          <w:rPr>
            <w:rFonts w:ascii="Arial" w:cs="Arial" w:eastAsia="Arial" w:hAnsi="Arial"/>
            <w:sz w:val="18"/>
            <w:szCs w:val="18"/>
            <w:u w:val="single" w:color="auto"/>
            <w:color w:val="0000EE"/>
          </w:rPr>
          <w:t>reference to Exhibit 4.1 of the Current Report on Form 8-K of Daktronics, Inc. filed on November 16, 2018).</w:t>
        </w:r>
      </w:hyperlink>
    </w:p>
    <w:p>
      <w:pPr>
        <w:spacing w:after="0" w:line="1" w:lineRule="exact"/>
        <w:rPr>
          <w:rFonts w:ascii="Arial" w:cs="Arial" w:eastAsia="Arial" w:hAnsi="Arial"/>
          <w:sz w:val="18"/>
          <w:szCs w:val="18"/>
          <w:u w:val="single" w:color="auto"/>
          <w:color w:val="0000EE"/>
        </w:rPr>
      </w:pP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45">
        <w:r>
          <w:rPr>
            <w:rFonts w:ascii="Arial" w:cs="Arial" w:eastAsia="Arial" w:hAnsi="Arial"/>
            <w:sz w:val="18"/>
            <w:szCs w:val="18"/>
            <w:u w:val="single" w:color="auto"/>
            <w:color w:val="0000EE"/>
          </w:rPr>
          <w:t>Credit Agreement dated November 15, 2016 by and between the Company and U.S. Bank National Association (Incorporated by reference to</w:t>
        </w:r>
      </w:hyperlink>
      <w:r>
        <w:rPr>
          <w:rFonts w:ascii="Arial" w:cs="Arial" w:eastAsia="Arial" w:hAnsi="Arial"/>
          <w:sz w:val="18"/>
          <w:szCs w:val="18"/>
          <w:u w:val="single" w:color="auto"/>
          <w:color w:val="0000EE"/>
        </w:rPr>
        <w:t xml:space="preserve"> </w:t>
      </w:r>
      <w:hyperlink r:id="rId45">
        <w:r>
          <w:rPr>
            <w:rFonts w:ascii="Arial" w:cs="Arial" w:eastAsia="Arial" w:hAnsi="Arial"/>
            <w:sz w:val="18"/>
            <w:szCs w:val="18"/>
            <w:u w:val="single" w:color="auto"/>
            <w:color w:val="0000EE"/>
          </w:rPr>
          <w:t>Exhibit 10.1 filed with our Current Report on Form 8-K filed on November 16, 2016).</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r:id="rId47">
        <w:r>
          <w:rPr>
            <w:rFonts w:ascii="Arial" w:cs="Arial" w:eastAsia="Arial" w:hAnsi="Arial"/>
            <w:sz w:val="18"/>
            <w:szCs w:val="18"/>
            <w:u w:val="single" w:color="auto"/>
            <w:color w:val="0000EE"/>
          </w:rPr>
          <w:t>Revolving Note dated November 15, 2016 issued by the Company to U.S. Bank National Association (Incorporated by reference to Exhibit 10.2</w:t>
        </w:r>
      </w:hyperlink>
      <w:r>
        <w:rPr>
          <w:rFonts w:ascii="Arial" w:cs="Arial" w:eastAsia="Arial" w:hAnsi="Arial"/>
          <w:sz w:val="18"/>
          <w:szCs w:val="18"/>
          <w:u w:val="single" w:color="auto"/>
          <w:color w:val="0000EE"/>
        </w:rPr>
        <w:t xml:space="preserve"> </w:t>
      </w:r>
      <w:hyperlink r:id="rId47">
        <w:r>
          <w:rPr>
            <w:rFonts w:ascii="Arial" w:cs="Arial" w:eastAsia="Arial" w:hAnsi="Arial"/>
            <w:sz w:val="18"/>
            <w:szCs w:val="18"/>
            <w:u w:val="single" w:color="auto"/>
            <w:color w:val="0000EE"/>
          </w:rPr>
          <w:t>filed with our Current Report on Form 8-K filed on November 16, 2016).</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48">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r:id="rId48">
        <w:r>
          <w:rPr>
            <w:rFonts w:ascii="Arial" w:cs="Arial" w:eastAsia="Arial" w:hAnsi="Arial"/>
            <w:sz w:val="18"/>
            <w:szCs w:val="18"/>
            <w:u w:val="single" w:color="auto"/>
            <w:color w:val="0000EE"/>
          </w:rPr>
          <w:t>Second Amendment to Credit Agreement dated as of November 15, 2019 by and between the Company and U.S. Bank National Association</w:t>
        </w:r>
      </w:hyperlink>
      <w:r>
        <w:rPr>
          <w:rFonts w:ascii="Arial" w:cs="Arial" w:eastAsia="Arial" w:hAnsi="Arial"/>
          <w:sz w:val="18"/>
          <w:szCs w:val="18"/>
          <w:u w:val="single" w:color="auto"/>
          <w:color w:val="0000EE"/>
        </w:rPr>
        <w:t xml:space="preserve"> </w:t>
      </w:r>
      <w:hyperlink r:id="rId48">
        <w:r>
          <w:rPr>
            <w:rFonts w:ascii="Arial" w:cs="Arial" w:eastAsia="Arial" w:hAnsi="Arial"/>
            <w:sz w:val="18"/>
            <w:szCs w:val="18"/>
            <w:u w:val="single" w:color="auto"/>
            <w:color w:val="0000EE"/>
          </w:rPr>
          <w:t>(Incorporated by reference to Exhibit 10.1 filed with our Current Report on Form 8-K filed on November 15, 2019).</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65" w:lineRule="auto"/>
        <w:tabs>
          <w:tab w:leader="none" w:pos="660" w:val="left"/>
        </w:tabs>
        <w:rPr>
          <w:rFonts w:ascii="Arial" w:cs="Arial" w:eastAsia="Arial" w:hAnsi="Arial"/>
          <w:sz w:val="17"/>
          <w:szCs w:val="17"/>
          <w:u w:val="single" w:color="auto"/>
          <w:color w:val="0000EE"/>
        </w:rPr>
      </w:pPr>
      <w:hyperlink r:id="rId50">
        <w:r>
          <w:rPr>
            <w:rFonts w:ascii="Arial" w:cs="Arial" w:eastAsia="Arial" w:hAnsi="Arial"/>
            <w:sz w:val="18"/>
            <w:szCs w:val="18"/>
            <w:u w:val="single" w:color="auto"/>
            <w:color w:val="0000EE"/>
          </w:rPr>
          <w:t>10.4</w:t>
        </w:r>
      </w:hyperlink>
      <w:r>
        <w:rPr>
          <w:rFonts w:ascii="Arial" w:cs="Arial" w:eastAsia="Arial" w:hAnsi="Arial"/>
          <w:sz w:val="18"/>
          <w:szCs w:val="18"/>
          <w:u w:val="single" w:color="auto"/>
          <w:color w:val="0000EE"/>
        </w:rPr>
        <w:tab/>
      </w:r>
      <w:hyperlink r:id="rId50">
        <w:r>
          <w:rPr>
            <w:rFonts w:ascii="Arial" w:cs="Arial" w:eastAsia="Arial" w:hAnsi="Arial"/>
            <w:sz w:val="17"/>
            <w:szCs w:val="17"/>
            <w:u w:val="single" w:color="auto"/>
            <w:color w:val="0000EE"/>
          </w:rPr>
          <w:t>Third Amendment to Credit Agreement dated as of August 28, 2020 by and between the Company and U.S. Bank National Association</w:t>
        </w:r>
      </w:hyperlink>
      <w:r>
        <w:rPr>
          <w:rFonts w:ascii="Arial" w:cs="Arial" w:eastAsia="Arial" w:hAnsi="Arial"/>
          <w:sz w:val="17"/>
          <w:szCs w:val="17"/>
          <w:u w:val="single" w:color="auto"/>
          <w:color w:val="0000EE"/>
        </w:rPr>
        <w:t xml:space="preserve"> </w:t>
      </w:r>
      <w:hyperlink r:id="rId50">
        <w:r>
          <w:rPr>
            <w:rFonts w:ascii="Arial" w:cs="Arial" w:eastAsia="Arial" w:hAnsi="Arial"/>
            <w:sz w:val="17"/>
            <w:szCs w:val="17"/>
            <w:u w:val="single" w:color="auto"/>
            <w:color w:val="0000EE"/>
          </w:rPr>
          <w:t>(Incorporated by reference to Exhibit 10.4 filed with our Current Report on Form 10-Q of Daktronics, Inc. filed on August 28, 2020).</w:t>
        </w:r>
      </w:hyperlink>
    </w:p>
    <w:p>
      <w:pPr>
        <w:ind w:left="680" w:right="780" w:hanging="674"/>
        <w:spacing w:after="0" w:line="265" w:lineRule="auto"/>
        <w:tabs>
          <w:tab w:leader="none" w:pos="660" w:val="left"/>
        </w:tabs>
        <w:rPr>
          <w:rFonts w:ascii="Arial" w:cs="Arial" w:eastAsia="Arial" w:hAnsi="Arial"/>
          <w:sz w:val="17"/>
          <w:szCs w:val="17"/>
          <w:u w:val="single" w:color="auto"/>
          <w:color w:val="0000EE"/>
        </w:rPr>
      </w:pPr>
      <w:hyperlink r:id="rId51">
        <w:r>
          <w:rPr>
            <w:rFonts w:ascii="Arial" w:cs="Arial" w:eastAsia="Arial" w:hAnsi="Arial"/>
            <w:sz w:val="18"/>
            <w:szCs w:val="18"/>
            <w:u w:val="single" w:color="auto"/>
            <w:color w:val="0000EE"/>
          </w:rPr>
          <w:t>10.5</w:t>
        </w:r>
      </w:hyperlink>
      <w:r>
        <w:rPr>
          <w:rFonts w:ascii="Arial" w:cs="Arial" w:eastAsia="Arial" w:hAnsi="Arial"/>
          <w:sz w:val="18"/>
          <w:szCs w:val="18"/>
          <w:u w:val="single" w:color="auto"/>
          <w:color w:val="0000EE"/>
        </w:rPr>
        <w:tab/>
      </w:r>
      <w:hyperlink r:id="rId51">
        <w:r>
          <w:rPr>
            <w:rFonts w:ascii="Arial" w:cs="Arial" w:eastAsia="Arial" w:hAnsi="Arial"/>
            <w:sz w:val="17"/>
            <w:szCs w:val="17"/>
            <w:u w:val="single" w:color="auto"/>
            <w:color w:val="0000EE"/>
          </w:rPr>
          <w:t>Fourth Amendment to Credit Agreement dated as of March 11, 2021 by and between the Company and U.S. Bank National Association</w:t>
        </w:r>
      </w:hyperlink>
      <w:r>
        <w:rPr>
          <w:rFonts w:ascii="Arial" w:cs="Arial" w:eastAsia="Arial" w:hAnsi="Arial"/>
          <w:sz w:val="17"/>
          <w:szCs w:val="17"/>
          <w:u w:val="single" w:color="auto"/>
          <w:color w:val="0000EE"/>
        </w:rPr>
        <w:t xml:space="preserve"> </w:t>
      </w:r>
      <w:hyperlink r:id="rId51">
        <w:r>
          <w:rPr>
            <w:rFonts w:ascii="Arial" w:cs="Arial" w:eastAsia="Arial" w:hAnsi="Arial"/>
            <w:sz w:val="17"/>
            <w:szCs w:val="17"/>
            <w:u w:val="single" w:color="auto"/>
            <w:color w:val="0000EE"/>
          </w:rPr>
          <w:t>(Incorporated by reference to Exhibit 10.5 filed with our Annual Report on Form 10-K on June 11, 2021).</w:t>
        </w:r>
      </w:hyperlink>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10.6</w:t>
        </w:r>
      </w:hyperlink>
      <w:r>
        <w:rPr>
          <w:rFonts w:ascii="Arial" w:cs="Arial" w:eastAsia="Arial" w:hAnsi="Arial"/>
          <w:sz w:val="18"/>
          <w:szCs w:val="18"/>
          <w:u w:val="single" w:color="auto"/>
          <w:color w:val="0000EE"/>
        </w:rPr>
        <w:tab/>
      </w:r>
      <w:hyperlink r:id="rId52">
        <w:r>
          <w:rPr>
            <w:rFonts w:ascii="Arial" w:cs="Arial" w:eastAsia="Arial" w:hAnsi="Arial"/>
            <w:sz w:val="18"/>
            <w:szCs w:val="18"/>
            <w:u w:val="single" w:color="auto"/>
            <w:color w:val="0000EE"/>
          </w:rPr>
          <w:t>Security Agreement dated as of August 28, 2020 by and between the Company and U.S. Bank National Association (Incorporated by reference to</w:t>
        </w:r>
      </w:hyperlink>
      <w:r>
        <w:rPr>
          <w:rFonts w:ascii="Arial" w:cs="Arial" w:eastAsia="Arial" w:hAnsi="Arial"/>
          <w:sz w:val="18"/>
          <w:szCs w:val="18"/>
          <w:u w:val="single" w:color="auto"/>
          <w:color w:val="0000EE"/>
        </w:rPr>
        <w:t xml:space="preserve"> </w:t>
      </w:r>
      <w:hyperlink r:id="rId52">
        <w:r>
          <w:rPr>
            <w:rFonts w:ascii="Arial" w:cs="Arial" w:eastAsia="Arial" w:hAnsi="Arial"/>
            <w:sz w:val="18"/>
            <w:szCs w:val="18"/>
            <w:u w:val="single" w:color="auto"/>
            <w:color w:val="0000EE"/>
          </w:rPr>
          <w:t>Exhibit 10.5 filed with our Current Report on Form 10-Q of Daktronics, Inc. filed on August 28,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10.7</w:t>
        </w:r>
      </w:hyperlink>
      <w:r>
        <w:rPr>
          <w:rFonts w:ascii="Arial" w:cs="Arial" w:eastAsia="Arial" w:hAnsi="Arial"/>
          <w:sz w:val="18"/>
          <w:szCs w:val="18"/>
          <w:u w:val="single" w:color="auto"/>
          <w:color w:val="0000EE"/>
        </w:rPr>
        <w:tab/>
      </w:r>
      <w:hyperlink r:id="rId54">
        <w:r>
          <w:rPr>
            <w:rFonts w:ascii="Arial" w:cs="Arial" w:eastAsia="Arial" w:hAnsi="Arial"/>
            <w:sz w:val="18"/>
            <w:szCs w:val="18"/>
            <w:u w:val="single" w:color="auto"/>
            <w:color w:val="0000EE"/>
          </w:rPr>
          <w:t>Daktronics, Inc. 2020 Stock Incentive Plan ("2020 Plan") (Incorporated by reference to Exhibit A to the Company's Definitive Proxy Statement</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on Schedule 14A filed on July 16, 2020).</w:t>
        </w:r>
      </w:hyperlink>
    </w:p>
    <w:p>
      <w:pPr>
        <w:spacing w:after="0" w:line="1" w:lineRule="exact"/>
        <w:rPr>
          <w:rFonts w:ascii="Arial" w:cs="Arial" w:eastAsia="Arial" w:hAnsi="Arial"/>
          <w:sz w:val="18"/>
          <w:szCs w:val="18"/>
          <w:u w:val="single" w:color="auto"/>
          <w:color w:val="0000EE"/>
        </w:rPr>
      </w:pP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10.8</w:t>
        </w:r>
      </w:hyperlink>
      <w:r>
        <w:rPr>
          <w:rFonts w:ascii="Arial" w:cs="Arial" w:eastAsia="Arial" w:hAnsi="Arial"/>
          <w:sz w:val="18"/>
          <w:szCs w:val="18"/>
          <w:u w:val="single" w:color="auto"/>
          <w:color w:val="0000EE"/>
        </w:rPr>
        <w:tab/>
      </w:r>
      <w:hyperlink r:id="rId55">
        <w:r>
          <w:rPr>
            <w:rFonts w:ascii="Arial" w:cs="Arial" w:eastAsia="Arial" w:hAnsi="Arial"/>
            <w:sz w:val="18"/>
            <w:szCs w:val="18"/>
            <w:u w:val="single" w:color="auto"/>
            <w:color w:val="0000EE"/>
          </w:rPr>
          <w:t>Form of Restricted Stock Award Agreement under the 2020 Plan (Incorporated by reference to Exhibit 10.2 filed with our Current Report on</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Form 8-K on September 3,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r:id="rId57">
        <w:r>
          <w:rPr>
            <w:rFonts w:ascii="Arial" w:cs="Arial" w:eastAsia="Arial" w:hAnsi="Arial"/>
            <w:sz w:val="18"/>
            <w:szCs w:val="18"/>
            <w:u w:val="single" w:color="auto"/>
            <w:color w:val="0000EE"/>
          </w:rPr>
          <w:t>10.9</w:t>
        </w:r>
      </w:hyperlink>
      <w:r>
        <w:rPr>
          <w:rFonts w:ascii="Arial" w:cs="Arial" w:eastAsia="Arial" w:hAnsi="Arial"/>
          <w:sz w:val="18"/>
          <w:szCs w:val="18"/>
          <w:u w:val="single" w:color="auto"/>
          <w:color w:val="0000EE"/>
        </w:rPr>
        <w:tab/>
      </w:r>
      <w:hyperlink r:id="rId57">
        <w:r>
          <w:rPr>
            <w:rFonts w:ascii="Arial" w:cs="Arial" w:eastAsia="Arial" w:hAnsi="Arial"/>
            <w:sz w:val="18"/>
            <w:szCs w:val="18"/>
            <w:u w:val="single" w:color="auto"/>
            <w:color w:val="0000EE"/>
          </w:rPr>
          <w:t>Form of Non-Qualified Stock Option Agreement Terms and Conditions under the 2020 Plan (Incorporated by reference to Exhibit 10.3 filed with</w:t>
        </w:r>
      </w:hyperlink>
      <w:r>
        <w:rPr>
          <w:rFonts w:ascii="Arial" w:cs="Arial" w:eastAsia="Arial" w:hAnsi="Arial"/>
          <w:sz w:val="18"/>
          <w:szCs w:val="18"/>
          <w:u w:val="single" w:color="auto"/>
          <w:color w:val="0000EE"/>
        </w:rPr>
        <w:t xml:space="preserve"> </w:t>
      </w:r>
      <w:hyperlink r:id="rId57">
        <w:r>
          <w:rPr>
            <w:rFonts w:ascii="Arial" w:cs="Arial" w:eastAsia="Arial" w:hAnsi="Arial"/>
            <w:sz w:val="18"/>
            <w:szCs w:val="18"/>
            <w:u w:val="single" w:color="auto"/>
            <w:color w:val="0000EE"/>
          </w:rPr>
          <w:t>our Current Report on Form 8-K on September 3, 2020).</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58">
        <w:r>
          <w:rPr>
            <w:rFonts w:ascii="Arial" w:cs="Arial" w:eastAsia="Arial" w:hAnsi="Arial"/>
            <w:sz w:val="18"/>
            <w:szCs w:val="18"/>
            <w:u w:val="single" w:color="auto"/>
            <w:color w:val="0000EE"/>
          </w:rPr>
          <w:t>10.10</w:t>
        </w:r>
      </w:hyperlink>
      <w:r>
        <w:rPr>
          <w:rFonts w:ascii="Arial" w:cs="Arial" w:eastAsia="Arial" w:hAnsi="Arial"/>
          <w:sz w:val="18"/>
          <w:szCs w:val="18"/>
          <w:u w:val="single" w:color="auto"/>
          <w:color w:val="0000EE"/>
        </w:rPr>
        <w:tab/>
      </w:r>
      <w:hyperlink r:id="rId58">
        <w:r>
          <w:rPr>
            <w:rFonts w:ascii="Arial" w:cs="Arial" w:eastAsia="Arial" w:hAnsi="Arial"/>
            <w:sz w:val="18"/>
            <w:szCs w:val="18"/>
            <w:u w:val="single" w:color="auto"/>
            <w:color w:val="0000EE"/>
          </w:rPr>
          <w:t>Form of Incentive Stock Option Terms and Conditions under the 2020 Plan (Incorporated by reference to Exhibit 10.4 filed with our Current</w:t>
        </w:r>
      </w:hyperlink>
      <w:r>
        <w:rPr>
          <w:rFonts w:ascii="Arial" w:cs="Arial" w:eastAsia="Arial" w:hAnsi="Arial"/>
          <w:sz w:val="18"/>
          <w:szCs w:val="18"/>
          <w:u w:val="single" w:color="auto"/>
          <w:color w:val="0000EE"/>
        </w:rPr>
        <w:t xml:space="preserve"> </w:t>
      </w:r>
      <w:hyperlink r:id="rId58">
        <w:r>
          <w:rPr>
            <w:rFonts w:ascii="Arial" w:cs="Arial" w:eastAsia="Arial" w:hAnsi="Arial"/>
            <w:sz w:val="18"/>
            <w:szCs w:val="18"/>
            <w:u w:val="single" w:color="auto"/>
            <w:color w:val="0000EE"/>
          </w:rPr>
          <w:t>Report on Form 8-K on September 3, 2020).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hanging="674"/>
        <w:spacing w:after="0" w:line="250" w:lineRule="auto"/>
        <w:tabs>
          <w:tab w:leader="none" w:pos="660" w:val="left"/>
        </w:tabs>
        <w:rPr>
          <w:rFonts w:ascii="Arial" w:cs="Arial" w:eastAsia="Arial" w:hAnsi="Arial"/>
          <w:sz w:val="18"/>
          <w:szCs w:val="18"/>
          <w:u w:val="single" w:color="auto"/>
          <w:color w:val="0000EE"/>
        </w:rPr>
      </w:pPr>
      <w:hyperlink r:id="rId60">
        <w:r>
          <w:rPr>
            <w:rFonts w:ascii="Arial" w:cs="Arial" w:eastAsia="Arial" w:hAnsi="Arial"/>
            <w:sz w:val="18"/>
            <w:szCs w:val="18"/>
            <w:u w:val="single" w:color="auto"/>
            <w:color w:val="0000EE"/>
          </w:rPr>
          <w:t>10.11</w:t>
        </w:r>
      </w:hyperlink>
      <w:r>
        <w:rPr>
          <w:rFonts w:ascii="Arial" w:cs="Arial" w:eastAsia="Arial" w:hAnsi="Arial"/>
          <w:sz w:val="18"/>
          <w:szCs w:val="18"/>
          <w:u w:val="single" w:color="auto"/>
          <w:color w:val="0000EE"/>
        </w:rPr>
        <w:tab/>
      </w:r>
      <w:hyperlink r:id="rId60">
        <w:r>
          <w:rPr>
            <w:rFonts w:ascii="Arial" w:cs="Arial" w:eastAsia="Arial" w:hAnsi="Arial"/>
            <w:sz w:val="18"/>
            <w:szCs w:val="18"/>
            <w:u w:val="single" w:color="auto"/>
            <w:color w:val="0000EE"/>
          </w:rPr>
          <w:t>Form of Restricted Stock Unit Terms and Conditions under the 2020 Plan (Incorporated by reference to Exhibit 10.5 filed with our Current Report</w:t>
        </w:r>
      </w:hyperlink>
      <w:r>
        <w:rPr>
          <w:rFonts w:ascii="Arial" w:cs="Arial" w:eastAsia="Arial" w:hAnsi="Arial"/>
          <w:sz w:val="18"/>
          <w:szCs w:val="18"/>
          <w:u w:val="single" w:color="auto"/>
          <w:color w:val="0000EE"/>
        </w:rPr>
        <w:t xml:space="preserve"> </w:t>
      </w:r>
      <w:hyperlink r:id="rId60">
        <w:r>
          <w:rPr>
            <w:rFonts w:ascii="Arial" w:cs="Arial" w:eastAsia="Arial" w:hAnsi="Arial"/>
            <w:sz w:val="18"/>
            <w:szCs w:val="18"/>
            <w:u w:val="single" w:color="auto"/>
            <w:color w:val="0000EE"/>
          </w:rPr>
          <w:t>on Form 8-K on September 3, 2020).</w:t>
        </w:r>
      </w:hyperlink>
    </w:p>
    <w:p>
      <w:pPr>
        <w:spacing w:after="0" w:line="1" w:lineRule="exact"/>
        <w:rPr>
          <w:rFonts w:ascii="Arial" w:cs="Arial" w:eastAsia="Arial" w:hAnsi="Arial"/>
          <w:sz w:val="18"/>
          <w:szCs w:val="18"/>
          <w:u w:val="single" w:color="auto"/>
          <w:color w:val="0000EE"/>
        </w:rPr>
      </w:pPr>
    </w:p>
    <w:p>
      <w:pPr>
        <w:ind w:left="680" w:hanging="674"/>
        <w:spacing w:after="0" w:line="250" w:lineRule="auto"/>
        <w:tabs>
          <w:tab w:leader="none" w:pos="660" w:val="left"/>
        </w:tabs>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26">
        <w:r>
          <w:rPr>
            <w:rFonts w:ascii="Arial" w:cs="Arial" w:eastAsia="Arial" w:hAnsi="Arial"/>
            <w:sz w:val="18"/>
            <w:szCs w:val="18"/>
            <w:u w:val="single" w:color="auto"/>
            <w:color w:val="0000EE"/>
          </w:rPr>
          <w:t>Certification of the Chief Executive Officer required by Rule 13a-14(a) or Rule 15d-14(a) under the Securities Exchange Act of 1934, as adopted</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pursuant to Section 302 of the Sarbanes-Oxley Act of 2002. (1)</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680" w:right="20" w:hanging="674"/>
        <w:spacing w:after="0" w:line="250" w:lineRule="auto"/>
        <w:tabs>
          <w:tab w:leader="none" w:pos="660" w:val="left"/>
        </w:tabs>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27">
        <w:r>
          <w:rPr>
            <w:rFonts w:ascii="Arial" w:cs="Arial" w:eastAsia="Arial" w:hAnsi="Arial"/>
            <w:sz w:val="18"/>
            <w:szCs w:val="18"/>
            <w:u w:val="single" w:color="auto"/>
            <w:color w:val="0000EE"/>
          </w:rPr>
          <w:t>Certification of the Chief Financial Officer required by Rule 13a-14(a) or Rule 15d-14(a) under the Securities Exchange Act of 1934, as adopted</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pursuant to Section 302 of the Sarbanes-Oxley Act of 2002. (1)</w:t>
        </w:r>
      </w:hyperlink>
    </w:p>
    <w:p>
      <w:pPr>
        <w:spacing w:after="0" w:line="1" w:lineRule="exact"/>
        <w:rPr>
          <w:rFonts w:ascii="Arial" w:cs="Arial" w:eastAsia="Arial" w:hAnsi="Arial"/>
          <w:sz w:val="18"/>
          <w:szCs w:val="18"/>
          <w:u w:val="single" w:color="auto"/>
          <w:color w:val="0000EE"/>
        </w:rPr>
      </w:pPr>
    </w:p>
    <w:p>
      <w:pPr>
        <w:spacing w:after="0"/>
        <w:tabs>
          <w:tab w:leader="none" w:pos="660" w:val="left"/>
        </w:tabs>
        <w:rPr>
          <w:rFonts w:ascii="Arial" w:cs="Arial" w:eastAsia="Arial" w:hAnsi="Arial"/>
          <w:sz w:val="16"/>
          <w:szCs w:val="16"/>
          <w:u w:val="single" w:color="auto"/>
          <w:color w:val="0000EE"/>
        </w:rPr>
      </w:pPr>
      <w:hyperlink w:anchor="page28">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28">
        <w:r>
          <w:rPr>
            <w:rFonts w:ascii="Arial" w:cs="Arial" w:eastAsia="Arial" w:hAnsi="Arial"/>
            <w:sz w:val="16"/>
            <w:szCs w:val="16"/>
            <w:u w:val="single" w:color="auto"/>
            <w:color w:val="0000EE"/>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tabs>
          <w:tab w:leader="none" w:pos="660" w:val="left"/>
        </w:tabs>
        <w:rPr>
          <w:rFonts w:ascii="Arial" w:cs="Arial" w:eastAsia="Arial" w:hAnsi="Arial"/>
          <w:sz w:val="16"/>
          <w:szCs w:val="16"/>
          <w:u w:val="single" w:color="auto"/>
          <w:color w:val="0000EE"/>
        </w:rPr>
      </w:pPr>
      <w:hyperlink w:anchor="page29">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29">
        <w:r>
          <w:rPr>
            <w:rFonts w:ascii="Arial" w:cs="Arial" w:eastAsia="Arial" w:hAnsi="Arial"/>
            <w:sz w:val="16"/>
            <w:szCs w:val="16"/>
            <w:u w:val="single" w:color="auto"/>
            <w:color w:val="0000EE"/>
          </w:rPr>
          <w:t>Certification of the Chief Financial Officer pursuant to Section 906 of the Sarbanes-Oxley Act of 2002 (18 U.S.C. Section 1350). (1)</w:t>
        </w:r>
      </w:hyperlink>
    </w:p>
    <w:p>
      <w:pPr>
        <w:spacing w:after="0" w:line="9" w:lineRule="exact"/>
        <w:rPr>
          <w:sz w:val="20"/>
          <w:szCs w:val="20"/>
          <w:color w:val="auto"/>
        </w:rPr>
      </w:pPr>
    </w:p>
    <w:p>
      <w:pPr>
        <w:ind w:left="680" w:hanging="674"/>
        <w:spacing w:after="0" w:line="250" w:lineRule="auto"/>
        <w:rPr>
          <w:sz w:val="20"/>
          <w:szCs w:val="20"/>
          <w:color w:val="auto"/>
        </w:rPr>
      </w:pPr>
      <w:r>
        <w:rPr>
          <w:rFonts w:ascii="Arial" w:cs="Arial" w:eastAsia="Arial" w:hAnsi="Arial"/>
          <w:sz w:val="18"/>
          <w:szCs w:val="18"/>
          <w:color w:val="auto"/>
        </w:rPr>
        <w:t>101.INS Inline XBRL Instance Document (the instance document does not appear in the Interactive Data File because its XBRL tags are embedded within the Inline XBRL document)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101.SCHInline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101.CALInline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101.DEFInline XBRL Taxonomy Extension Definition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101.LABInline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9"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(1)Filed herewith electronically.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440"/>
        <w:spacing w:after="0"/>
        <w:rPr>
          <w:sz w:val="20"/>
          <w:szCs w:val="20"/>
          <w:color w:val="auto"/>
        </w:rPr>
      </w:pPr>
      <w:r>
        <w:rPr>
          <w:rFonts w:ascii="Arial" w:cs="Arial" w:eastAsia="Arial" w:hAnsi="Arial"/>
          <w:sz w:val="18"/>
          <w:szCs w:val="18"/>
          <w:u w:val="single" w:color="auto"/>
          <w:color w:val="auto"/>
        </w:rPr>
        <w:t>/s/ Sheila M. Anderson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Daktronics, Inc.</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Date: September 1,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31, 2021 of Daktronics,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Reece A. Kurtenbach</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Reece A. Kurtenbach</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 2021</w:t>
      </w:r>
    </w:p>
    <w:p>
      <w:pPr>
        <w:sectPr>
          <w:pgSz w:w="11900" w:h="16838" w:orient="portrait"/>
          <w:cols w:equalWidth="0" w:num="1">
            <w:col w:w="11240"/>
          </w:cols>
          <w:pgMar w:left="320" w:top="341"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July 31, 2021 of Daktronics,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3"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hanging="324"/>
        <w:spacing w:after="0" w:line="308" w:lineRule="auto"/>
        <w:tabs>
          <w:tab w:leader="none" w:pos="98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Sheila M. Anderson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4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 2021</w:t>
      </w:r>
    </w:p>
    <w:p>
      <w:pPr>
        <w:sectPr>
          <w:pgSz w:w="11900" w:h="16838" w:orient="portrait"/>
          <w:cols w:equalWidth="0" w:num="1">
            <w:col w:w="11240"/>
          </w:cols>
          <w:pgMar w:left="320" w:top="34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31, 2021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Reece A. Kurtenbach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Reece A. Kurtenbach</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 2021</w:t>
      </w:r>
    </w:p>
    <w:p>
      <w:pPr>
        <w:sectPr>
          <w:pgSz w:w="11900" w:h="16838" w:orient="portrait"/>
          <w:cols w:equalWidth="0" w:num="1">
            <w:col w:w="11240"/>
          </w:cols>
          <w:pgMar w:left="320" w:top="34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July 31, 2021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Sheila M. Anderson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Sheila M. Anderson</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00"/>
        <w:spacing w:after="0"/>
        <w:tabs>
          <w:tab w:leader="none" w:pos="7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1, 2021</w:t>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4"/>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3" Type="http://schemas.openxmlformats.org/officeDocument/2006/relationships/image" Target="media/image34.png"/><Relationship Id="rId46" Type="http://schemas.openxmlformats.org/officeDocument/2006/relationships/image" Target="media/image35.png"/><Relationship Id="rId49" Type="http://schemas.openxmlformats.org/officeDocument/2006/relationships/image" Target="media/image36.png"/><Relationship Id="rId53" Type="http://schemas.openxmlformats.org/officeDocument/2006/relationships/image" Target="media/image37.png"/><Relationship Id="rId56" Type="http://schemas.openxmlformats.org/officeDocument/2006/relationships/image" Target="media/image38.png"/><Relationship Id="rId59"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40" Type="http://schemas.openxmlformats.org/officeDocument/2006/relationships/hyperlink" Target="http://www.sec.gov/Archives/edgar/data/915779/000091577918000119/exhibit31.htm" TargetMode="External"/><Relationship Id="rId42" Type="http://schemas.openxmlformats.org/officeDocument/2006/relationships/hyperlink" Target="http://www.sec.gov/Archives/edgar/data/915779/000091577913000026/dakt_exx34x10-kx2013.htm" TargetMode="External"/><Relationship Id="rId44" Type="http://schemas.openxmlformats.org/officeDocument/2006/relationships/hyperlink" Target="http://www.sec.gov/Archives/edgar/data/915779/000091577918000089/dakt_20181116x8-kxex41.htm" TargetMode="External"/><Relationship Id="rId45" Type="http://schemas.openxmlformats.org/officeDocument/2006/relationships/hyperlink" Target="http://www.sec.gov/Archives/edgar/data/915779/000091577916000233/dakt_20161115xex101.htm" TargetMode="External"/><Relationship Id="rId47" Type="http://schemas.openxmlformats.org/officeDocument/2006/relationships/hyperlink" Target="http://www.sec.gov/Archives/edgar/data/915779/000091577916000233/dakt_20161115xex102.htm" TargetMode="External"/><Relationship Id="rId48" Type="http://schemas.openxmlformats.org/officeDocument/2006/relationships/hyperlink" Target="http://www.sec.gov/Archives/edgar/data/915779/000091577919000079/dakt_20191115xex101.htm" TargetMode="External"/><Relationship Id="rId50" Type="http://schemas.openxmlformats.org/officeDocument/2006/relationships/hyperlink" Target="http://www.sec.gov/Archives/edgar/data/915779/000091577920000052/dakt20200801q1ex104.htm" TargetMode="External"/><Relationship Id="rId51" Type="http://schemas.openxmlformats.org/officeDocument/2006/relationships/hyperlink" Target="http://www.sec.gov/Archives/edgar/data/915779/000143774921014600/ex_246991.htm" TargetMode="External"/><Relationship Id="rId52" Type="http://schemas.openxmlformats.org/officeDocument/2006/relationships/hyperlink" Target="http://www.sec.gov/Archives/edgar/data/915779/000091577920000052/dakt20200801q1ex105.htm" TargetMode="External"/><Relationship Id="rId54" Type="http://schemas.openxmlformats.org/officeDocument/2006/relationships/hyperlink" Target="http://www.sec.gov/Archives/edgar/data/915779/000091577920000033/dakt-20200502_defx14a.htm" TargetMode="External"/><Relationship Id="rId55" Type="http://schemas.openxmlformats.org/officeDocument/2006/relationships/hyperlink" Target="http://www.sec.gov/Archives/edgar/data/915779/000091577920000054/daktex1028-ksom2020.htm" TargetMode="External"/><Relationship Id="rId57" Type="http://schemas.openxmlformats.org/officeDocument/2006/relationships/hyperlink" Target="http://www.sec.gov/Archives/edgar/data/915779/000091577920000054/daktex1038-ksom2020.htm" TargetMode="External"/><Relationship Id="rId58" Type="http://schemas.openxmlformats.org/officeDocument/2006/relationships/hyperlink" Target="http://www.sec.gov/Archives/edgar/data/915779/000091577920000054/daktex1048-ksom2020.htm" TargetMode="External"/><Relationship Id="rId60" Type="http://schemas.openxmlformats.org/officeDocument/2006/relationships/hyperlink" Target="http://www.sec.gov/Archives/edgar/data/915779/000091577920000054/daktex1058-ksom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2021-09-01T15:53:56Z</dcterms:created>
  <dcterms:modified xsi:type="dcterms:W3CDTF">2021-09-01T15:53:56Z</dcterms:modified>
</cp:coreProperties>
</file>