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September 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94" w:type="dxa"/>
        <w:jc w:val="left"/>
        <w:tblInd w:w="0" w:type="dxa"/>
        <w:tblLayout w:type="fixed"/>
        <w:tblCellMar>
          <w:top w:w="28" w:type="dxa"/>
          <w:left w:w="28" w:type="dxa"/>
          <w:bottom w:w="28" w:type="dxa"/>
          <w:right w:w="28" w:type="dxa"/>
        </w:tblCellMar>
      </w:tblPr>
      <w:tblGrid>
        <w:gridCol w:w="889"/>
        <w:gridCol w:w="781"/>
        <w:gridCol w:w="789"/>
        <w:gridCol w:w="394"/>
        <w:gridCol w:w="394"/>
        <w:gridCol w:w="398"/>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Effective September 1, 2026, Daktronics,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entered into an Amendment No. 1 to Credit Agreement (“</w:t>
      </w:r>
      <w:r>
        <w:rPr>
          <w:rFonts w:ascii="Times New Roman;serif" w:hAnsi="Times New Roman;serif"/>
          <w:b/>
          <w:i/>
          <w:color w:val="000000"/>
          <w:sz w:val="20"/>
        </w:rPr>
        <w:t>Amendment No. 1</w:t>
      </w:r>
      <w:r>
        <w:rPr>
          <w:color w:val="000000"/>
        </w:rPr>
        <w:t>”</w:t>
      </w:r>
      <w:r>
        <w:rPr>
          <w:rFonts w:ascii="Times New Roman;serif" w:hAnsi="Times New Roman;serif"/>
          <w:b w:val="false"/>
          <w:color w:val="000000"/>
          <w:sz w:val="20"/>
        </w:rPr>
        <w:t>) with JPMorgan Chase Bank, N.A., as agent (the “</w:t>
      </w:r>
      <w:r>
        <w:rPr>
          <w:rFonts w:ascii="Times New Roman;serif" w:hAnsi="Times New Roman;serif"/>
          <w:b/>
          <w:i/>
          <w:color w:val="000000"/>
          <w:sz w:val="20"/>
        </w:rPr>
        <w:t>Agent</w:t>
      </w:r>
      <w:r>
        <w:rPr>
          <w:color w:val="000000"/>
        </w:rPr>
        <w:t>”</w:t>
      </w:r>
      <w:r>
        <w:rPr>
          <w:rFonts w:ascii="Times New Roman;serif" w:hAnsi="Times New Roman;serif"/>
          <w:b w:val="false"/>
          <w:color w:val="000000"/>
          <w:sz w:val="20"/>
        </w:rPr>
        <w:t>) the Lenders (as defined in the Credit Agreement), and the other Loan Parties (as defined in the Credit Agreement), which amended that certain Credit Agreement, dated November 26, 2025 (the “</w:t>
      </w:r>
      <w:r>
        <w:rPr>
          <w:rFonts w:ascii="Times New Roman;serif" w:hAnsi="Times New Roman;serif"/>
          <w:b/>
          <w:i/>
          <w:color w:val="000000"/>
          <w:sz w:val="20"/>
        </w:rPr>
        <w:t>Credit Agreement</w:t>
      </w:r>
      <w:r>
        <w:rPr>
          <w:color w:val="000000"/>
        </w:rPr>
        <w:t>”</w:t>
      </w:r>
      <w:r>
        <w:rPr>
          <w:rFonts w:ascii="Times New Roman;serif" w:hAnsi="Times New Roman;serif"/>
          <w:b w:val="false"/>
          <w:color w:val="000000"/>
          <w:sz w:val="20"/>
        </w:rPr>
        <w:t>), by and among the Company, the Agent, the Lenders, and the other Loan Parties thereto. Amendment No. 1 amended the Credit agreement to allow the Company to transfer certain non-material patents obtained in connection with the Company’s previous acquisition of a display business from X Display Company Technology Limited, pursuant to the terms and conditions of the acquisition documents, for consideration less than 75% of fair market value. The foregoing summary of the terms and conditions of Amendment No. 1 does not purport to be complete and is qualified in its entirety by reference to the complete text of Amendment No. 1, a copy of which will be filed with the Company’s Quarterly Report on Form 10-Q for the quarter ending October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pPr>
      <w:r>
        <w:rPr>
          <w:rFonts w:ascii="Times New Roman;serif" w:hAnsi="Times New Roman;serif"/>
          <w:b w:val="false"/>
          <w:color w:val="000000"/>
          <w:sz w:val="20"/>
        </w:rPr>
        <w:t>On September 2, 2026, the Company issued a press release announcing its financial results for the fiscal quarter ended August 1, 2026 and related material information (the “</w:t>
      </w:r>
      <w:r>
        <w:rPr>
          <w:rFonts w:ascii="Times New Roman;serif" w:hAnsi="Times New Roman;serif"/>
          <w:b/>
          <w:i/>
          <w:color w:val="000000"/>
          <w:sz w:val="20"/>
        </w:rPr>
        <w:t>Release</w:t>
      </w:r>
      <w:r>
        <w:rPr>
          <w:color w:val="000000"/>
        </w:rPr>
        <w:t>”</w:t>
      </w:r>
      <w:r>
        <w:rPr>
          <w:rFonts w:ascii="Times New Roman;serif" w:hAnsi="Times New Roman;serif"/>
          <w:b w:val="false"/>
          <w:color w:val="000000"/>
          <w:sz w:val="20"/>
        </w:rPr>
        <w:t>). A copy of the Release is attached to this Current Report on Form 8-K (this “</w:t>
      </w:r>
      <w:r>
        <w:rPr>
          <w:rFonts w:ascii="Times New Roman;serif" w:hAnsi="Times New Roman;serif"/>
          <w:b/>
          <w:i/>
          <w:color w:val="000000"/>
          <w:sz w:val="20"/>
        </w:rPr>
        <w:t>Report</w:t>
      </w:r>
      <w:r>
        <w:rPr>
          <w:color w:val="000000"/>
        </w:rPr>
        <w:t>”</w:t>
      </w:r>
      <w:r>
        <w:rPr>
          <w:rFonts w:ascii="Times New Roman;serif" w:hAnsi="Times New Roman;serif"/>
          <w:b w:val="false"/>
          <w:color w:val="000000"/>
          <w:sz w:val="20"/>
        </w:rPr>
        <w:t>) as Exhibit 99.1 and incorporated herein by reference.</w:t>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 2026, the Board approved an increase in the base salary for our President and Chief Executive Officer, Ramesh Jayaraman. Mr. Jayaraman’s base salary increased to $600,000 annually, effective September 13, 2026. The Board also approved a corresponding increase in Mr. Jayaraman’s target compensation under the fiscal 2027 cash incentive previously disclosed on the Company’s Form 8-K filed July 17, 2026. Under the approved increase, Mr. Jayaraman’s target percentage under the fiscal 2027 cash incentive will be 100% of his $600,000 base salary.</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On September 2, 2026, the Company posted supplemental investor materials, including a slide presentation, on its </w:t>
      </w:r>
      <w:r>
        <w:rPr>
          <w:rFonts w:ascii="Times New Roman;serif" w:hAnsi="Times New Roman;serif"/>
          <w:b w:val="false"/>
          <w:i/>
          <w:color w:val="000000"/>
          <w:sz w:val="20"/>
        </w:rPr>
        <w:t>investor.daktronics.com</w:t>
      </w:r>
      <w:r>
        <w:rPr>
          <w:color w:val="000000"/>
        </w:rPr>
        <w:t xml:space="preserve"> </w:t>
      </w:r>
      <w:r>
        <w:rPr>
          <w:rFonts w:ascii="Times New Roman;serif" w:hAnsi="Times New Roman;serif"/>
          <w:b w:val="false"/>
          <w:color w:val="000000"/>
          <w:sz w:val="20"/>
        </w:rPr>
        <w:t>website. The Company announces material information to the public about the Company, its products and services and other matters through a variety of means, including filings with the SEC, press releases, public conference calls, webcasts, the investor relations section of its website (</w:t>
      </w:r>
      <w:r>
        <w:rPr>
          <w:rFonts w:ascii="Times New Roman;serif" w:hAnsi="Times New Roman;serif"/>
          <w:b w:val="false"/>
          <w:i/>
          <w:color w:val="000000"/>
          <w:sz w:val="20"/>
        </w:rPr>
        <w:t>investor.daktronics.com</w:t>
      </w:r>
      <w:r>
        <w:rPr>
          <w:rFonts w:ascii="Times New Roman;serif" w:hAnsi="Times New Roman;serif"/>
          <w:b w:val="false"/>
          <w:color w:val="000000"/>
          <w:sz w:val="20"/>
        </w:rPr>
        <w:t>), its social media accounts, and its Chief Executive Officer’s social media accounts in order to achieve broad, non-exclusionary distribution of information to the public and for complying with its disclosure obligations under Regulation FD.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September 1, 2026, the Board voted to terminate the Company’s existing program to repurchase outstanding shares of the Company’s common stock (the “</w:t>
      </w:r>
      <w:r>
        <w:rPr>
          <w:rFonts w:ascii="Times New Roman;serif" w:hAnsi="Times New Roman;serif"/>
          <w:b/>
          <w:i/>
          <w:color w:val="000000"/>
          <w:sz w:val="20"/>
        </w:rPr>
        <w:t>Fiscal 2017 Repurchase Program</w:t>
      </w:r>
      <w:r>
        <w:rPr>
          <w:color w:val="000000"/>
        </w:rPr>
        <w:t>”</w:t>
      </w:r>
      <w:r>
        <w:rPr>
          <w:rFonts w:ascii="Times New Roman;serif" w:hAnsi="Times New Roman;serif"/>
          <w:b w:val="false"/>
          <w:color w:val="000000"/>
          <w:sz w:val="20"/>
        </w:rPr>
        <w:t>), which had been established and expanded through a series of Board authorizations beginning in fiscal 2017, and to implement a new program authorizing repurchases of outstanding shares of the Company’s common stock (the “</w:t>
      </w:r>
      <w:r>
        <w:rPr>
          <w:rFonts w:ascii="Times New Roman;serif" w:hAnsi="Times New Roman;serif"/>
          <w:b/>
          <w:i/>
          <w:color w:val="000000"/>
          <w:sz w:val="20"/>
        </w:rPr>
        <w:t>Fiscal 2027 Repurchase Program</w:t>
      </w:r>
      <w:r>
        <w:rPr>
          <w:color w:val="000000"/>
        </w:rPr>
        <w:t>”</w:t>
      </w:r>
      <w:r>
        <w:rPr>
          <w:rFonts w:ascii="Times New Roman;serif" w:hAnsi="Times New Roman;serif"/>
          <w:b w:val="false"/>
          <w:color w:val="000000"/>
          <w:sz w:val="20"/>
        </w:rPr>
        <w:t>). The total amount authorized for repurchases under the Fiscal 2027 Repurchase Program is $34.5 million. The termination of the Fiscal 2017 Repurchase Program and adoption of the Fiscal 2027 Repurchase Program is intended primarily to simplify the administration and disclosure of the Company’s repurchase authority and not to materially alter the amount of repurchase authority previously available to the Company or the Company’s capital allocation strategy. As such, the amount authorized for repurchases under the Fiscal 2027 Repurchase Program is substantially equivalent to the amount of repurchase authorization that remained available to the Company under the Fiscal 2017 Repurchase Program at the time of its termination.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 repurchases under the Fiscal 2027 Repurchase Program may occur from time to time in open market purchases, private transactions, or other transactions. The timing, volume, and nature of share repurchases will be at the sole discretion of the Company’s management and will be dependent on market conditions, applicable securities laws and other legal requirements, business considerations, and other factors. The Fiscal 2027 Repurchase Program does not require the Company to repurchase a certain amount of shares and does not have a fixed expiration date and may be suspended, discontinued, or terminated at any time. Under the Fiscal 2027 Repurchase Program, the Company may conduct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76" w:before="0" w:after="0"/>
        <w:jc w:val="both"/>
        <w:rPr/>
      </w:pPr>
      <w:r>
        <w:rPr>
          <w:rFonts w:ascii="Times New Roman;serif" w:hAnsi="Times New Roman;serif"/>
          <w:b w:val="false"/>
          <w:color w:val="000000"/>
          <w:sz w:val="20"/>
        </w:rPr>
        <w:t>repurchases in accordance with all applicable securities laws and regulations, including Rule 10b5-1 and Rule 10b-18 under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No assurance can be given that any particular number of shares of common stock will be repurchased.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(d)Exhibits. </w:t>
      </w:r>
    </w:p>
    <w:tbl>
      <w:tblPr>
        <w:tblW w:w="10205" w:type="dxa"/>
        <w:jc w:val="left"/>
        <w:tblInd w:w="0" w:type="dxa"/>
        <w:tblLayout w:type="fixed"/>
        <w:tblCellMar>
          <w:top w:w="28" w:type="dxa"/>
          <w:left w:w="28" w:type="dxa"/>
          <w:bottom w:w="28" w:type="dxa"/>
          <w:right w:w="28" w:type="dxa"/>
        </w:tblCellMar>
      </w:tblPr>
      <w:tblGrid>
        <w:gridCol w:w="384"/>
        <w:gridCol w:w="337"/>
        <w:gridCol w:w="340"/>
        <w:gridCol w:w="109"/>
        <w:gridCol w:w="109"/>
        <w:gridCol w:w="109"/>
        <w:gridCol w:w="2581"/>
        <w:gridCol w:w="2581"/>
        <w:gridCol w:w="3655"/>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Exhibit Description</w:t>
            </w:r>
          </w:p>
        </w:tc>
      </w:tr>
      <w:tr>
        <w:trPr/>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pPr>
            <w:hyperlink w:anchor="dakt-20260801x8kex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left"/>
              <w:rPr/>
            </w:pPr>
            <w:hyperlink w:anchor="dakt-20260801x8kexx991.htm">
              <w:r>
                <w:rPr>
                  <w:rStyle w:val="InternetLink"/>
                  <w:rFonts w:ascii="Times New Roman;serif" w:hAnsi="Times New Roman;serif"/>
                  <w:b w:val="false"/>
                  <w:color w:val="0000FF"/>
                  <w:sz w:val="20"/>
                  <w:u w:val="single"/>
                </w:rPr>
                <w:t>Press Release dated September 2, 2026, issued by Daktronics, Inc. regarding first quarter fiscal 2027 results.</w:t>
              </w:r>
            </w:hyperlink>
          </w:p>
        </w:tc>
      </w:tr>
      <w:tr>
        <w:trPr/>
        <w:tc>
          <w:tcPr>
            <w:tcW w:w="1061"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40" w:after="283"/>
        <w:jc w:val="left"/>
        <w:rPr/>
      </w:pPr>
      <w:r>
        <w:rPr/>
      </w:r>
    </w:p>
    <w:p>
      <w:pPr>
        <w:pStyle w:val="TextBody"/>
        <w:bidi w:val="0"/>
        <w:spacing w:lineRule="auto" w:line="268" w:before="0" w:after="0"/>
        <w:jc w:val="both"/>
        <w:rPr/>
      </w:pPr>
      <w:r>
        <w:rPr>
          <w:rFonts w:ascii="Times New Roman;serif" w:hAnsi="Times New Roman;serif"/>
          <w:b w:val="false"/>
          <w:color w:val="000000"/>
          <w:sz w:val="20"/>
        </w:rPr>
        <w:t>The information contained in Items 2.02, 7.01, and 9.01 of this Report, including the Release, shall not be deemed “filed” for purposes of Section 18 of the Exchange Act, or otherwise subject to liability under that section, nor shall such information be deemed incorporated by reference in any filing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or the Exchange Act, regardless of any general incorporation language in such a filing,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in Items 2.02, 7.01, 8.01, and 9.01 of this Report and the exhibit hereto may contain "forward-looking statements" within the meaning of Section 27A of the Securities Act and Section 21E of the Exchange Act and such statements are subject to the safe harbor created by those sections and the Private Securities Litigation Reform Act of 1995, as amended. Such statements are made based on the current beliefs and expectations of the Company's management and are subject to significant risks and uncertainties. Actual results or events may differ from those anticipated by forward-looking statements. Please refer to the Safe Harbor Statement at the end of the attached press release and various disclosures by the Company in its press releases, investor materials, stockholder reports, and filings with the SEC for information concerning risks, uncertainties, and other factors that may affect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82" w:type="dxa"/>
        <w:jc w:val="left"/>
        <w:tblInd w:w="0" w:type="dxa"/>
        <w:tblLayout w:type="fixed"/>
        <w:tblCellMar>
          <w:top w:w="28" w:type="dxa"/>
          <w:left w:w="28" w:type="dxa"/>
          <w:bottom w:w="28" w:type="dxa"/>
          <w:right w:w="28" w:type="dxa"/>
        </w:tblCellMar>
      </w:tblPr>
      <w:tblGrid>
        <w:gridCol w:w="764"/>
        <w:gridCol w:w="673"/>
        <w:gridCol w:w="677"/>
        <w:gridCol w:w="326"/>
        <w:gridCol w:w="326"/>
        <w:gridCol w:w="326"/>
        <w:gridCol w:w="1512"/>
        <w:gridCol w:w="1512"/>
        <w:gridCol w:w="216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and Principal Accounting Officer) </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September 2,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both"/>
        <w:rPr/>
      </w:pPr>
      <w:r>
        <w:rPr/>
        <w:drawing>
          <wp:inline distT="0" distB="0" distL="0" distR="0">
            <wp:extent cx="1428750" cy="8763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28750" cy="87630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Daktronics, Inc. Announces Fiscal 2027 First Quarter Results</w:t>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Earnings per share of $0.40, up 21.2%, on 7.1% sales growth and 10.6% operating margin</w:t>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Product backlog entering Q2 of $311 million, 6th consecutive quarter backlog exceeded $300 million</w:t>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Quarter-end cash balance of $155 million</w:t>
      </w:r>
    </w:p>
    <w:p>
      <w:pPr>
        <w:pStyle w:val="TextBody"/>
        <w:bidi w:val="0"/>
        <w:spacing w:before="0" w:after="0"/>
        <w:jc w:val="both"/>
        <w:rPr/>
      </w:pPr>
      <w:r>
        <w:rPr/>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BROOKINGS, S.D., Sept. 2, 2026 – Daktronics, Inc. (NASDAQ: DAKT) (“Daktronics” or the “Company”), a recognized industry leader in digital display and control system technology, today reported results for its fiscal 2027 first quarter, ended August 1, 2026. The first quarter of fiscal 2027 reflects a 13-week reporting period, compared with a 14-week reporting period in the prior-year first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Fiscal 2027 Q1 Financial Highlights: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Sales of $234.6 million, 7.1% growth from $219.0 million in the first quarter of fiscal 2026, despite one less week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income of $24.9 million, 7.2% growth from $23.3 million in the first quarter of fiscal 2026, operating margin of 10.6%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Diluted earnings per share (“EPS”) of $0.40, up 21.2% from $0.33 in the first quarter of fiscal 2026, representing the highest quarterly diluted EPS in the past 12 quarters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cash flow of $31.4 million, compared to $26.1 million in the first quarter of fiscal 2026, resulting in period-end cash balance of $154.6 million net of $4.4 million share repurchases</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New orders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products and services of $191.8 million, compared to $238.5 million in the first quarter of fiscal 2026, reflecting the timing of a few substantial orders expected to be booked in the second quarter of fiscal 2027</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Product backlog</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$311.3 million</w:t>
      </w:r>
      <w:r>
        <w:rPr>
          <w:color w:val="000000"/>
        </w:rPr>
        <w:t xml:space="preserve"> </w:t>
      </w:r>
      <w:r>
        <w:rPr>
          <w:rFonts w:ascii="Times New Roman;serif" w:hAnsi="Times New Roman;serif"/>
          <w:b w:val="false"/>
          <w:color w:val="000000"/>
          <w:sz w:val="20"/>
        </w:rPr>
        <w:t>for the quarter, compared to $360.3 million at the end of the first quarter of fiscal 2026, marking the sixth consecutive quarter-end with product backlog</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exceeding $300 million</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Ramesh Jayaraman, Daktronics’ President and Chief Executive Officer, said, “Fiscal 2027 began on a strong note as we continued to drive momentum in sales, operating income, and EPS, maintaining our focus on executing the growth and operational excellence initiatives laid out in our long-term plan. During Q1, we continued to advance our strategic priorities, strengthen customer engagement across our core markets, and build upon a healthy sales pipeline. We delivered 21.2 percent year-over-year increase in EPS on 7.1 percent sales growth and operating margin of 10.6 percent, reflecting the ongoing, successful execution of our planned business growth and operational excellence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Tracking to Three-Year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continued to execute across its growth, operational excellence, and capital deployment pillars in support of its fiscal 2028 targets. Progress during the quarter included the following strategic initiatives.</w:t>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val="false"/>
          <w:i/>
          <w:color w:val="000000"/>
          <w:sz w:val="20"/>
        </w:rPr>
        <w:t>Growth.</w:t>
      </w:r>
      <w:r>
        <w:rPr>
          <w:color w:val="000000"/>
        </w:rPr>
        <w:t xml:space="preserve"> </w:t>
      </w:r>
      <w:r>
        <w:rPr>
          <w:rFonts w:ascii="Times New Roman;serif" w:hAnsi="Times New Roman;serif"/>
          <w:b w:val="false"/>
          <w:color w:val="000000"/>
          <w:sz w:val="20"/>
        </w:rPr>
        <w:t>Core markets and the sales pipeline remained strong during the quarter. The Company advanced targeted vertical market expansion initiatives and invested in software and service offerings that enhance customer value and support recurring revenue growth. A diversified product backlog</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$311.3 million</w:t>
      </w:r>
      <w:r>
        <w:rPr>
          <w:color w:val="000000"/>
        </w:rPr>
        <w:t xml:space="preserve"> </w:t>
      </w:r>
      <w:r>
        <w:rPr>
          <w:rFonts w:ascii="Times New Roman;serif" w:hAnsi="Times New Roman;serif"/>
          <w:b w:val="false"/>
          <w:color w:val="000000"/>
          <w:sz w:val="20"/>
        </w:rPr>
        <w:t xml:space="preserve">reflects continued demand across key business segments. </w:t>
      </w:r>
    </w:p>
    <w:p>
      <w:pPr>
        <w:pStyle w:val="TextBody"/>
        <w:bidi w:val="0"/>
        <w:spacing w:before="0" w:after="2"/>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00405"/>
                <wp:effectExtent l="0" t="0" r="0" b="0"/>
                <wp:wrapNone/>
                <wp:docPr id="7" name="Frame5"/>
                <a:graphic xmlns:a="http://schemas.openxmlformats.org/drawingml/2006/main">
                  <a:graphicData uri="http://schemas.microsoft.com/office/word/2010/wordprocessingShape">
                    <wps:wsp>
                      <wps:cNvSpPr txBox="1"/>
                      <wps:spPr>
                        <a:xfrm>
                          <a:off x="0" y="0"/>
                          <a:ext cx="6480175" cy="700405"/>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14"/>
                              </w:rPr>
                            </w:pPr>
                            <w:r>
                              <w:rPr>
                                <w:rFonts w:ascii="Times New Roman;serif" w:hAnsi="Times New Roman;serif"/>
                                <w:b w:val="false"/>
                                <w:color w:val="000000"/>
                                <w:sz w:val="14"/>
                              </w:rPr>
                              <w:t>(1) 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14"/>
                        </w:rPr>
                      </w:pPr>
                      <w:r>
                        <w:rPr>
                          <w:rFonts w:ascii="Times New Roman;serif" w:hAnsi="Times New Roman;serif"/>
                          <w:b w:val="false"/>
                          <w:color w:val="000000"/>
                          <w:sz w:val="14"/>
                        </w:rPr>
                        <w:t>(1) 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txbxContent>
                </v:textbox>
                <w10:wrap type="none"/>
              </v:rect>
            </w:pict>
          </mc:Fallback>
        </mc:AlternateContent>
      </w:r>
    </w:p>
    <w:p>
      <w:pPr>
        <w:pStyle w:val="TextBody"/>
        <w:bidi w:val="0"/>
        <w:spacing w:lineRule="auto" w:line="288" w:before="0" w:after="2"/>
        <w:jc w:val="both"/>
        <w:rPr/>
      </w:pPr>
      <w:r>
        <w:rPr>
          <w:rFonts w:ascii="Times New Roman;serif" w:hAnsi="Times New Roman;serif"/>
          <w:b w:val="false"/>
          <w:i/>
          <w:color w:val="000000"/>
          <w:sz w:val="20"/>
        </w:rPr>
        <w:t>Operational Excellence.</w:t>
      </w:r>
      <w:r>
        <w:rPr>
          <w:color w:val="000000"/>
        </w:rPr>
        <w:t xml:space="preserve"> </w:t>
      </w:r>
      <w:r>
        <w:rPr>
          <w:rFonts w:ascii="Times New Roman;serif" w:hAnsi="Times New Roman;serif"/>
          <w:b w:val="false"/>
          <w:color w:val="000000"/>
          <w:sz w:val="20"/>
        </w:rPr>
        <w:t>Manufacturing and supply chain initiatives improved efficiency, increased flexibility, and supported long-term margin expansion. Key initiatives included the ramp-up of manufacturing operations in Mexico, procurement optimization efforts, automation investments, and ongoing lean simplification initiatives across the supply chain.</w:t>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val="false"/>
          <w:i/>
          <w:color w:val="000000"/>
          <w:sz w:val="20"/>
        </w:rPr>
        <w:t>Capital Deployment.</w:t>
      </w:r>
      <w:r>
        <w:rPr>
          <w:color w:val="000000"/>
        </w:rPr>
        <w:t xml:space="preserve"> </w:t>
      </w:r>
      <w:r>
        <w:rPr>
          <w:rFonts w:ascii="Times New Roman;serif" w:hAnsi="Times New Roman;serif"/>
          <w:b w:val="false"/>
          <w:color w:val="000000"/>
          <w:sz w:val="20"/>
        </w:rPr>
        <w:t>Capital allocation remained focused on long-term value creation through investments in plant network improvements and automation designed to enhance operational efficiency and support future growth. The Company also continued returning capital to shareholders through share repurchases, including $4.4 million executed during the first quarter.</w:t>
      </w:r>
    </w:p>
    <w:p>
      <w:pPr>
        <w:pStyle w:val="TextBody"/>
        <w:bidi w:val="0"/>
        <w:spacing w:before="0" w:after="2"/>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Supported by the execution of our strategic initiatives, our pipeline remains robust. At the same time, our operational improvements are making us leaner and smarter every quarter,” said Mr. Jayaraman. “We also continue to evaluate acquisition and disciplined capital deployment opportunities in complementary products/solutions, verticals, and geographies that can enhance our organic growth strategy. We are tracking well toward our fiscal 2028 targets of 7-10% revenue CAGR, 10-12% operating margin, and 17-20% ROIC. None of this would be possible without the trust of our customers and the dedication of our team, and I am grateful for both.”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First Quarter Results</w:t>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Top line growth was solid again this quarter, with net sales increasing 7.1 percent compared to the first quarter of fiscal 2026, despite one less week this quarter,” said Acting Chief Financial Officer Howard Atkins. The increase was led by strong net sales in the Transportation, Live Events, and International business units.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rose to $71.6 million or 30.5 percent gross profit margin in the first quarter of fiscal 2027, compared with 29.7 percent gross profit margin a year earlier. The increase in gross profit margin included the receipt of tariff refunds in the first quarter, partially offset by higher memory and other price-sensitive input costs.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Orders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first quarter of fiscal 2027 were $191.8 million compared to $238.5 million in the first quarter of fiscal 2026. Q1 orders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do not include a few substantial transactions negotiated in Q1, which are expected to book in Q2 as the final purchase orders are received. At $311.3 million, backlog</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remained above $300 million for the sixth consecutive quarter.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were $46.7 million in the first quarter of fiscal 2027, compared to $41.8 million for the first quarter of fiscal 2026. The first quarter of fiscal 2027 included $0.8 million of expenses associated with the acquired XDC display business and microLED development activities, $0.7 million in consulting expenses in support of the operational excellence initiatives, and a $2.0 million commission on a large International project completed during the quarter.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margin was 10.6 percent for the first quarter of both fiscal 2027 and fiscal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(expense), net increased for the first quarter of fiscal 2027 compared to the same period a year ago on our higher-average cash balance, which reached $154.6 million as of August 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August 1, 2026, the effective tax rate was 24.3 percent compared to an effective tax rate of 25.9 percent for the three months ended August 2, 2025. The decrease in the effective tax rate was primarily attributable to valuation allowances recorded in fiscal 2026 which did not recur in fiscal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for the first quarter of fiscal 2027 was $19.4 million, compared to a net income of $16.5 million for the first quarter of fiscal 2026. The increase reflects higher gross profit and operating income compared to the prior-year period.</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August 1, 2026, earnings per diluted share was $0.40 compared to $0.33 in the same period last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Balance Sheet and Cash Flow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totaled $154.6 million at August 1, 2026, and $10.5 million of total current and long-term debt was outstanding as of that date. The increase in cash compared to the prior year primarily reflected strong operating earnings and continued focus on working capital management efficiency. At the end of the fiscal 2027 first quarter, the </w:t>
      </w: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00405"/>
                <wp:effectExtent l="0" t="0" r="0" b="0"/>
                <wp:wrapNone/>
                <wp:docPr id="8" name="Frame6"/>
                <a:graphic xmlns:a="http://schemas.openxmlformats.org/drawingml/2006/main">
                  <a:graphicData uri="http://schemas.microsoft.com/office/word/2010/wordprocessingShape">
                    <wps:wsp>
                      <wps:cNvSpPr txBox="1"/>
                      <wps:spPr>
                        <a:xfrm>
                          <a:off x="0" y="0"/>
                          <a:ext cx="6480175" cy="700405"/>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14"/>
                              </w:rPr>
                            </w:pPr>
                            <w:r>
                              <w:rPr>
                                <w:rFonts w:ascii="Times New Roman;serif" w:hAnsi="Times New Roman;serif"/>
                                <w:b w:val="false"/>
                                <w:color w:val="000000"/>
                                <w:sz w:val="14"/>
                              </w:rPr>
                              <w:t>(1) 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14"/>
                        </w:rPr>
                      </w:pPr>
                      <w:r>
                        <w:rPr>
                          <w:rFonts w:ascii="Times New Roman;serif" w:hAnsi="Times New Roman;serif"/>
                          <w:b w:val="false"/>
                          <w:color w:val="000000"/>
                          <w:sz w:val="14"/>
                        </w:rPr>
                        <w:t>(1) 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working capital ratio was 2.2 to 1. Accounts receivable as of August 1, 2026 was $154.7 million compared to $118.6 million at the end of fiscal 2026, reflecting higher sales volume and timing of customer billings and collections.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three months of fiscal 2027, Daktronics generated $31.4 million of cash from operations and used $4.1 million for purchases of property and equipment. The Company repurchased 225.5 thousand shares of common stock in the first three months of fiscal 2027 at the volume-weighted average price of $19.56, equaling $4.4 million of share repurchases under the $40 million share repurchase authority approved by the Board of Directors in June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$71.5 million senior credit facility that includes a cash flow</w:t>
        <w:noBreakHyphen/>
        <w:t xml:space="preserve">backed revolving line of credit. As of August 1, 2026, there were no advances under the loan portion of the line of credit, and the balance of letters of credit outstanding was $1.9 million. </w:t>
      </w:r>
    </w:p>
    <w:p>
      <w:pPr>
        <w:pStyle w:val="TextBody"/>
        <w:bidi w:val="0"/>
        <w:spacing w:before="0" w:after="0"/>
        <w:jc w:val="both"/>
        <w:rPr/>
      </w:pPr>
      <w:r>
        <w:rPr/>
      </w:r>
    </w:p>
    <w:p>
      <w:pPr>
        <w:pStyle w:val="TextBody"/>
        <w:bidi w:val="0"/>
        <w:spacing w:lineRule="auto" w:line="288" w:before="0" w:after="2"/>
        <w:jc w:val="both"/>
        <w:rPr/>
      </w:pPr>
      <w:r>
        <w:rPr>
          <w:rFonts w:ascii="Times New Roman;serif" w:hAnsi="Times New Roman;serif"/>
          <w:b/>
          <w:color w:val="000000"/>
          <w:sz w:val="20"/>
        </w:rPr>
        <w:t>Webcast Information</w:t>
      </w:r>
      <w:r>
        <w:rPr>
          <w:color w:val="000000"/>
        </w:rPr>
        <w:t xml:space="preserve"> </w:t>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The Company will host a conference call and webcast to discuss its financial results today at 10:00 a.m. (Central Time). This call will be broadcast live at http://investor.daktronics.com where related presentation materials will also be posted prior to the conference call. A webcast will be available for replay shortly after the event.</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About Daktronics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Daktronics has strong leadership positions in, and is the world’s largest supplier of large-screen video displays, electronic scoreboards, LED text and graphics displays, and related control systems. The Company excels in the control of display systems, including those that require integration of multiple complex displays showing real-time information, graphics, animation, and video. Daktronics designs, manufactures, markets and services display systems for customers around the world in four domestic business units: Live Events, Commercial, High School Park and Recreation, and Transportation, and one International business unit. For more information, visit the Company's website at: www.daktronics.com.</w:t>
      </w:r>
    </w:p>
    <w:p>
      <w:pPr>
        <w:pStyle w:val="TextBody"/>
        <w:bidi w:val="0"/>
        <w:spacing w:before="0" w:after="0"/>
        <w:jc w:val="both"/>
        <w:rPr/>
      </w:pPr>
      <w:r>
        <w:rPr/>
      </w:r>
    </w:p>
    <w:p>
      <w:pPr>
        <w:pStyle w:val="TextBody"/>
        <w:bidi w:val="0"/>
        <w:spacing w:lineRule="auto" w:line="288" w:before="0" w:after="2"/>
        <w:jc w:val="both"/>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Cautionary Notice: This press release contains certain statements that may be considered forward-looking statements within the meaning of Section 27A of the Securities Act of 1933, as amended, and Section 21E of the Securities Exchange Act of 1934, as amended, and such statements are subject to the safe harbor created by those sections and the Private Securities Litigation Reform Act of 1995, as amended.</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All statements, other than historical facts, included or incorporated in this release could be deemed forward-looking statements, particularly statements that reflect our expectations or beliefs of Daktronics, Inc. (the “Company,” “Daktronics,” “we,” or “us”) concerning future events or our future financial performance. You are cautioned not to place undue reliance on forward-looking statements, which are often characterized by discussions of strategy, plans, or intentions or by the use of words such as “may,” “would,” “could,” “should,” “will,” “expect,” “estimate,” “anticipate,” “believe,” “plan,” “forecast,” “project,” “outlook,” “focus,” “goal,” “target,” “transform,” “expand,” “grow,” “predict,” “potential,” “continue,” or “intend,” the negative or other variants of such terms, or other comparable terminology. The Company cautions that these forward-looking statements are subject to risks and uncertainties that could cause actual results to differ materially from our expectations as a result of various factors, including, but not limited to, changes in economic and market conditions, management of growth, timing and magnitude of future contracts, orders, and capital investment projects, fluctuations in margins, the introduction of new products and technology, the impact of adverse weather conditions, increased regulation, the imposition of tariffs or other trade restrictions, the availability and costs of raw materials, components, and shipping services, geopolitical and governmental actions, expansion into new geographical markets, the Company’s recent leadership transition, transformation initiatives, future strategy, and other risks, trends, and uncertainties described more fully in the Company’s Annual Report on Form 10-K for its 2026 fiscal year (the “Form 10-K”) and in other reports filed with or furnished to the U.S. Securities and Exchange Commission (the "SEC") by the Company. You should carefully consider the trends, risks, and uncertainties described in this press release, the Form 10-K, other reports filed with or furnished to the SEC by the Company, and other press releases and stockholders reports of the Company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made in the context of information available as of the date of this press release and are based on our current expectations, forecasts, estimates, and assumptions. The Company disclaims any obligation to update or revise any forward-looking statements to reflect actual results or circumstances or events occurring after this release </w:t>
      </w: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0405"/>
                <wp:effectExtent l="0" t="0" r="0" b="0"/>
                <wp:wrapNone/>
                <wp:docPr id="9" name="Frame7"/>
                <a:graphic xmlns:a="http://schemas.openxmlformats.org/drawingml/2006/main">
                  <a:graphicData uri="http://schemas.microsoft.com/office/word/2010/wordprocessingShape">
                    <wps:wsp>
                      <wps:cNvSpPr txBox="1"/>
                      <wps:spPr>
                        <a:xfrm>
                          <a:off x="0" y="0"/>
                          <a:ext cx="6480175" cy="700405"/>
                        </a:xfrm>
                        <a:prstGeom prst="rect"/>
                        <a:solidFill>
                          <a:srgbClr val="FFFFFF"/>
                        </a:solidFill>
                      </wps:spPr>
                      <wps:txbx>
                        <w:txbxContent>
                          <w:p>
                            <w:pPr>
                              <w:pStyle w:val="TextBody"/>
                              <w:bidi w:val="0"/>
                              <w:spacing w:before="0" w:after="2"/>
                              <w:jc w:val="both"/>
                              <w:rPr/>
                            </w:pPr>
                            <w:r>
                              <w:rPr/>
                            </w:r>
                            <w:r>
                              <w:br w:type="page"/>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14"/>
                              </w:rPr>
                            </w:pPr>
                            <w:r>
                              <w:rPr>
                                <w:rFonts w:ascii="Times New Roman;serif" w:hAnsi="Times New Roman;serif"/>
                                <w:b w:val="false"/>
                                <w:color w:val="000000"/>
                                <w:sz w:val="14"/>
                              </w:rPr>
                              <w:t>(1) 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14"/>
                        </w:rPr>
                      </w:pPr>
                      <w:r>
                        <w:rPr>
                          <w:rFonts w:ascii="Times New Roman;serif" w:hAnsi="Times New Roman;serif"/>
                          <w:b w:val="false"/>
                          <w:color w:val="000000"/>
                          <w:sz w:val="14"/>
                        </w:rPr>
                        <w:t>(1) Orders and backlog metrics are operating measures not defined by GAAP,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txbxContent>
                </v:textbox>
                <w10:wrap type="none"/>
              </v:rect>
            </w:pict>
          </mc:Fallback>
        </mc:AlternateContent>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affecting the forward-looking statements except as may be required by applicable law. All forward-looking statements attributable to us or persons acting on our behalf are expressly qualified in their entirety by this cautionary statement.</w:t>
      </w:r>
    </w:p>
    <w:p>
      <w:pPr>
        <w:pStyle w:val="TextBody"/>
        <w:bidi w:val="0"/>
        <w:spacing w:before="0" w:after="0"/>
        <w:jc w:val="both"/>
        <w:rPr/>
      </w:pPr>
      <w:r>
        <w:rPr/>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END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more information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Howard I. Atkins, Acting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Tel (605) 692-0200</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Investor@daktronics.com</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Alliance Advisors IR</w:t>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Carolyn Capaccio / Jody Burfening </w:t>
      </w:r>
    </w:p>
    <w:p>
      <w:pPr>
        <w:pStyle w:val="TextBody"/>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DAKTIRTeam@allianceadvisors.com</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MEDIA RELATIONS</w:t>
      </w:r>
    </w:p>
    <w:p>
      <w:pPr>
        <w:pStyle w:val="TextBody"/>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mediarelations@daktronics.com</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Daktronics, Inc. and Subsidiaries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09" w:type="dxa"/>
        <w:jc w:val="left"/>
        <w:tblInd w:w="0" w:type="dxa"/>
        <w:tblLayout w:type="fixed"/>
        <w:tblCellMar>
          <w:top w:w="28" w:type="dxa"/>
          <w:left w:w="28" w:type="dxa"/>
          <w:bottom w:w="28" w:type="dxa"/>
          <w:right w:w="28" w:type="dxa"/>
        </w:tblCellMar>
      </w:tblPr>
      <w:tblGrid>
        <w:gridCol w:w="1164"/>
        <w:gridCol w:w="1017"/>
        <w:gridCol w:w="1028"/>
        <w:gridCol w:w="211"/>
        <w:gridCol w:w="826"/>
        <w:gridCol w:w="109"/>
        <w:gridCol w:w="109"/>
        <w:gridCol w:w="109"/>
        <w:gridCol w:w="109"/>
        <w:gridCol w:w="211"/>
        <w:gridCol w:w="826"/>
        <w:gridCol w:w="109"/>
        <w:gridCol w:w="109"/>
        <w:gridCol w:w="109"/>
        <w:gridCol w:w="109"/>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Product design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Fiscal 2027 is a 52-week year and fiscal 2026 was a 53-week year. As a result, the three months ended August 1, 2026, includes 13 weeks of operating results, whereas the three months ended August 2, 2025, includes 14 weeks of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Daktronics, Inc. and Subsidiaries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089" w:type="dxa"/>
        <w:jc w:val="left"/>
        <w:tblInd w:w="0" w:type="dxa"/>
        <w:tblLayout w:type="fixed"/>
        <w:tblCellMar>
          <w:top w:w="28" w:type="dxa"/>
          <w:left w:w="28" w:type="dxa"/>
          <w:bottom w:w="28" w:type="dxa"/>
          <w:right w:w="28" w:type="dxa"/>
        </w:tblCellMar>
      </w:tblPr>
      <w:tblGrid>
        <w:gridCol w:w="1596"/>
        <w:gridCol w:w="1410"/>
        <w:gridCol w:w="1419"/>
        <w:gridCol w:w="211"/>
        <w:gridCol w:w="826"/>
        <w:gridCol w:w="109"/>
        <w:gridCol w:w="109"/>
        <w:gridCol w:w="109"/>
        <w:gridCol w:w="109"/>
        <w:gridCol w:w="211"/>
        <w:gridCol w:w="82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118,590 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447,982 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Long-term receivables, 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Right of use, investment in affiliates,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554,412 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Daktronics, Inc. and Subsidiaries</w:t>
      </w:r>
    </w:p>
    <w:p>
      <w:pPr>
        <w:pStyle w:val="TextBody"/>
        <w:bidi w:val="0"/>
        <w:spacing w:lineRule="auto" w:line="288" w:before="0" w:after="0"/>
        <w:jc w:val="center"/>
        <w:rPr/>
      </w:pPr>
      <w:r>
        <w:rPr>
          <w:rFonts w:ascii="Times New Roman;serif" w:hAnsi="Times New Roman;serif"/>
          <w:b/>
          <w:color w:val="000000"/>
          <w:sz w:val="36"/>
        </w:rPr>
        <w:t>Consolidated Balance Sheets</w:t>
      </w:r>
      <w:r>
        <w:rPr>
          <w:color w:val="000000"/>
        </w:rPr>
        <w:t xml:space="preserve"> </w:t>
      </w:r>
      <w:r>
        <w:rPr>
          <w:rFonts w:ascii="Times New Roman;serif" w:hAnsi="Times New Roman;serif"/>
          <w:b w:val="false"/>
          <w:color w:val="000000"/>
          <w:sz w:val="20"/>
        </w:rPr>
        <w:t>(continued)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73"/>
        <w:gridCol w:w="2353"/>
        <w:gridCol w:w="2357"/>
        <w:gridCol w:w="211"/>
        <w:gridCol w:w="826"/>
        <w:gridCol w:w="109"/>
        <w:gridCol w:w="109"/>
        <w:gridCol w:w="109"/>
        <w:gridCol w:w="109"/>
        <w:gridCol w:w="211"/>
        <w:gridCol w:w="826"/>
        <w:gridCol w:w="312"/>
      </w:tblGrid>
      <w:tr>
        <w:trPr/>
        <w:tc>
          <w:tcPr>
            <w:tcW w:w="267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68,617 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65,310 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44,858 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Warranty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12,398 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230,778 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193,708 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Long-term warranty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24,362 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Long-term 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20,655 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58,974 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59,957 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Preferred Shares, $0.00001 par value, authorized 5,000 shares;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authorized 115,000 shares; 53,715 and 53,650 shares issued as of August 1, 2026 and May 2, 2026,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196,837 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173,286 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Treasury stock, at cost, 5,631 and 5,406 shares as of August 1, 2026 and May 2, 2026,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(65,324)</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(4,052)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317,628 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300,747 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607,380 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554,412 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Daktronics, Inc. and Subsidiaries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383"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Gain on sale of property, equipment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Equity in loss of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affiliate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equipment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Loans to equity investees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Payments on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Payments for common shares repurchased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(11,128)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154,585 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136,856 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Daktronics, Inc. and Subsidiaries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Net Sales and Orders by Business Unit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4" w:type="dxa"/>
        <w:jc w:val="left"/>
        <w:tblInd w:w="0" w:type="dxa"/>
        <w:tblLayout w:type="fixed"/>
        <w:tblCellMar>
          <w:top w:w="28" w:type="dxa"/>
          <w:left w:w="28" w:type="dxa"/>
          <w:bottom w:w="28" w:type="dxa"/>
          <w:right w:w="28" w:type="dxa"/>
        </w:tblCellMar>
      </w:tblPr>
      <w:tblGrid>
        <w:gridCol w:w="1021"/>
        <w:gridCol w:w="898"/>
        <w:gridCol w:w="900"/>
        <w:gridCol w:w="248"/>
        <w:gridCol w:w="973"/>
        <w:gridCol w:w="128"/>
        <w:gridCol w:w="109"/>
        <w:gridCol w:w="109"/>
        <w:gridCol w:w="109"/>
        <w:gridCol w:w="248"/>
        <w:gridCol w:w="973"/>
        <w:gridCol w:w="128"/>
        <w:gridCol w:w="109"/>
        <w:gridCol w:w="109"/>
        <w:gridCol w:w="109"/>
        <w:gridCol w:w="255"/>
        <w:gridCol w:w="963"/>
        <w:gridCol w:w="131"/>
        <w:gridCol w:w="109"/>
        <w:gridCol w:w="109"/>
        <w:gridCol w:w="109"/>
        <w:gridCol w:w="320"/>
        <w:gridCol w:w="320"/>
        <w:gridCol w:w="800"/>
        <w:gridCol w:w="109"/>
        <w:gridCol w:w="109"/>
        <w:gridCol w:w="109"/>
        <w:gridCol w:w="109"/>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21"/>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Sales:</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43,703 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46,167 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86,398 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79,800 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11,292 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Orders:</w:t>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46,568 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44,223 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Live Events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47,213 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92,219 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(45,006)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High School Park and Recreation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56,276 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63,254 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22,703 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21,909 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19,039 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16,938 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191,799 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238,543 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(46,744)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Reconciliation of Free Cash Flow*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53" w:type="dxa"/>
        <w:jc w:val="left"/>
        <w:tblInd w:w="0" w:type="dxa"/>
        <w:tblLayout w:type="fixed"/>
        <w:tblCellMar>
          <w:top w:w="28" w:type="dxa"/>
          <w:left w:w="28" w:type="dxa"/>
          <w:bottom w:w="28" w:type="dxa"/>
          <w:right w:w="28" w:type="dxa"/>
        </w:tblCellMar>
      </w:tblPr>
      <w:tblGrid>
        <w:gridCol w:w="1411"/>
        <w:gridCol w:w="1242"/>
        <w:gridCol w:w="1246"/>
        <w:gridCol w:w="211"/>
        <w:gridCol w:w="721"/>
        <w:gridCol w:w="109"/>
        <w:gridCol w:w="109"/>
        <w:gridCol w:w="109"/>
        <w:gridCol w:w="109"/>
        <w:gridCol w:w="211"/>
        <w:gridCol w:w="721"/>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22,024 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free cash flow is not defined under accounting principles generally accepted in the United States of America (“GAAP”). The table above reconciles free cash flow to the most directly comparable GAAP financial measure. In evaluating its business, Daktronics considers and uses free cash flow as a key measure of its operating performance. It is not a measure of operating income, cash flows from operating activities, or other GAAP figures and should not be considered alternatives to those computations. We define free cash flow as net cash provided by operating activities less payments for property, plant, and equipment, plus proceeds from the sale of, insurance recovery for and grants for property, plant and equipment, if applicable. Our definition of free cash flow may not be comparable to similarly titled definitions used by other companies. Free cash flow is intended to provide information that may be useful for investors when assessing period to period results because it provides them with additional information in assessing our liquidity, capital resources, and financial operating results. </w:t>
      </w:r>
    </w:p>
    <w:p>
      <w:pPr>
        <w:pStyle w:val="TextBody"/>
        <w:bidi w:val="0"/>
        <w:spacing w:before="0" w:after="2"/>
        <w:jc w:val="both"/>
        <w:rPr/>
      </w:pPr>
      <w:r>
        <w:rPr/>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Reconciliation of EBITDA*</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5048" w:type="dxa"/>
        <w:jc w:val="left"/>
        <w:tblInd w:w="0" w:type="dxa"/>
        <w:tblLayout w:type="fixed"/>
        <w:tblCellMar>
          <w:top w:w="28" w:type="dxa"/>
          <w:left w:w="28" w:type="dxa"/>
          <w:bottom w:w="28" w:type="dxa"/>
          <w:right w:w="28" w:type="dxa"/>
        </w:tblCellMar>
      </w:tblPr>
      <w:tblGrid>
        <w:gridCol w:w="939"/>
        <w:gridCol w:w="824"/>
        <w:gridCol w:w="831"/>
        <w:gridCol w:w="211"/>
        <w:gridCol w:w="721"/>
        <w:gridCol w:w="109"/>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Add: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*EBITDA is not a measure defined by GAAP. The table above reconciles EBITDA to the most directly comparable GAAP financial measure. Daktronics calculates EBITDA as net income before interest (income) expense, income taxes, depreciation and amortization, and other nonoperating income and expense. EBITDA should not be considered an alternative to net income or any other measure of financial performance calculated in accordance with GAAP. Our definition of EBITDA may not be comparable to similarly titled measures used by other companies. Management believes EBITDA provides investors with useful supplemental information to evaluate operating performance and to facilitate comparisons of operating results between periods by excluding the effects of financing activities, income taxes, and non-cash depreciation and amortization expense.</w:t>
      </w:r>
    </w:p>
    <w:p>
      <w:pPr>
        <w:pStyle w:val="TextBody"/>
        <w:bidi w:val="0"/>
        <w:spacing w:before="240" w:after="283"/>
        <w:jc w:val="both"/>
        <w:rPr/>
      </w:pPr>
      <w:r>
        <w:rPr/>
      </w:r>
    </w:p>
    <w:p>
      <w:pPr>
        <w:pStyle w:val="TextBody"/>
        <w:bidi w:val="0"/>
        <w:spacing w:before="0" w:after="2"/>
        <w:jc w:val="both"/>
        <w:rPr/>
      </w:pPr>
      <w:r>
        <w:rPr/>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Reconciliation of Long-term Debt</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4494" w:type="dxa"/>
        <w:jc w:val="left"/>
        <w:tblInd w:w="0" w:type="dxa"/>
        <w:tblLayout w:type="fixed"/>
        <w:tblCellMar>
          <w:top w:w="28" w:type="dxa"/>
          <w:left w:w="28" w:type="dxa"/>
          <w:bottom w:w="28" w:type="dxa"/>
          <w:right w:w="28" w:type="dxa"/>
        </w:tblCellMar>
      </w:tblPr>
      <w:tblGrid>
        <w:gridCol w:w="739"/>
        <w:gridCol w:w="648"/>
        <w:gridCol w:w="653"/>
        <w:gridCol w:w="211"/>
        <w:gridCol w:w="721"/>
        <w:gridCol w:w="109"/>
        <w:gridCol w:w="109"/>
        <w:gridCol w:w="109"/>
        <w:gridCol w:w="109"/>
        <w:gridCol w:w="211"/>
        <w:gridCol w:w="721"/>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May 2,</w:t>
              <w:br/>
              <w:t>2026</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Long-term debt,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Debt issuance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2"/>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4780</Words>
  <Characters>27128</Characters>
  <CharactersWithSpaces>31567</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