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SCHEDULE 14A</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(RULE 14a-101)</w:t>
      </w:r>
    </w:p>
    <w:p>
      <w:pPr>
        <w:spacing w:after="0" w:line="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SCHEDULE 14A INFORMATION</w:t>
      </w:r>
    </w:p>
    <w:p>
      <w:pPr>
        <w:spacing w:after="0" w:line="19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PROXY STATEMENT PURSUANT TO SECTION 14(a) OF THE</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SECURITIES EXCHANGE ACT OF 1934 (AMENDMENT NO. )</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8"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 ]</w:t>
        <w:tab/>
        <w:t>Preliminary proxy statement</w:t>
      </w:r>
    </w:p>
    <w:p>
      <w:pPr>
        <w:spacing w:after="0" w:line="8" w:lineRule="exact"/>
        <w:rPr>
          <w:sz w:val="24"/>
          <w:szCs w:val="24"/>
          <w:color w:val="auto"/>
        </w:rPr>
      </w:pPr>
    </w:p>
    <w:p>
      <w:pPr>
        <w:ind w:left="500" w:hanging="499"/>
        <w:spacing w:after="0"/>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8"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 ]</w:t>
        <w:tab/>
        <w:t>Definitive additional materials</w:t>
      </w:r>
    </w:p>
    <w:p>
      <w:pPr>
        <w:spacing w:after="0" w:line="8"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 ]</w:t>
        <w:tab/>
        <w:t>Soliciting material pursuant to Rule 14a-11(c) or Rule 14a-12</w:t>
      </w:r>
    </w:p>
    <w:p>
      <w:pPr>
        <w:spacing w:after="0" w:line="8" w:lineRule="exact"/>
        <w:rPr>
          <w:sz w:val="24"/>
          <w:szCs w:val="24"/>
          <w:color w:val="auto"/>
        </w:rPr>
      </w:pPr>
    </w:p>
    <w:p>
      <w:pPr>
        <w:ind w:left="500" w:right="3219" w:hanging="499"/>
        <w:spacing w:after="0" w:line="255" w:lineRule="auto"/>
        <w:tabs>
          <w:tab w:leader="none" w:pos="20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DAKTRONICS, INC.</w:t>
      </w:r>
    </w:p>
    <w:p>
      <w:pPr>
        <w:spacing w:after="0" w:line="8" w:lineRule="exact"/>
        <w:rPr>
          <w:sz w:val="24"/>
          <w:szCs w:val="24"/>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8" w:lineRule="exact"/>
        <w:rPr>
          <w:sz w:val="24"/>
          <w:szCs w:val="24"/>
          <w:color w:val="auto"/>
        </w:rPr>
      </w:pPr>
    </w:p>
    <w:p>
      <w:pPr>
        <w:ind w:left="500" w:hanging="499"/>
        <w:spacing w:after="0"/>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8" w:lineRule="exact"/>
        <w:rPr>
          <w:sz w:val="24"/>
          <w:szCs w:val="24"/>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transactions applies:</w:t>
      </w:r>
    </w:p>
    <w:p>
      <w:pPr>
        <w:spacing w:after="0" w:line="197" w:lineRule="exact"/>
        <w:rPr>
          <w:rFonts w:ascii="Courier New" w:cs="Courier New" w:eastAsia="Courier New" w:hAnsi="Courier New"/>
          <w:sz w:val="16"/>
          <w:szCs w:val="16"/>
          <w:color w:val="auto"/>
        </w:rPr>
      </w:pPr>
    </w:p>
    <w:p>
      <w:pPr>
        <w:ind w:left="980" w:right="2339" w:hanging="486"/>
        <w:spacing w:after="0" w:line="253" w:lineRule="auto"/>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8"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 ]</w:t>
        <w:tab/>
        <w:t>Fee paid previously with preliminary materials.</w:t>
      </w:r>
    </w:p>
    <w:p>
      <w:pPr>
        <w:spacing w:after="0" w:line="8" w:lineRule="exact"/>
        <w:rPr>
          <w:sz w:val="24"/>
          <w:szCs w:val="24"/>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8" w:lineRule="exact"/>
        <w:rPr>
          <w:rFonts w:ascii="Courier New" w:cs="Courier New" w:eastAsia="Courier New" w:hAnsi="Courier New"/>
          <w:sz w:val="16"/>
          <w:szCs w:val="16"/>
          <w:color w:val="auto"/>
        </w:rPr>
      </w:pPr>
    </w:p>
    <w:p>
      <w:pPr>
        <w:ind w:left="500" w:right="243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85"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DAKTRONICS, INC.</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331 32nd Avenue</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Brookings, South Dakota 57006</w:t>
      </w:r>
    </w:p>
    <w:p>
      <w:pPr>
        <w:spacing w:after="0" w:line="38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AUGUST 18, 1999</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THE SHAREHOLDERS OF DAKTRONICS, INC.:</w:t>
      </w:r>
    </w:p>
    <w:p>
      <w:pPr>
        <w:spacing w:after="0" w:line="198" w:lineRule="exact"/>
        <w:rPr>
          <w:sz w:val="24"/>
          <w:szCs w:val="24"/>
          <w:color w:val="auto"/>
        </w:rPr>
      </w:pPr>
    </w:p>
    <w:p>
      <w:pPr>
        <w:ind w:right="2519" w:firstLine="591"/>
        <w:spacing w:after="0" w:line="252" w:lineRule="auto"/>
        <w:rPr>
          <w:sz w:val="20"/>
          <w:szCs w:val="20"/>
          <w:color w:val="auto"/>
        </w:rPr>
      </w:pPr>
      <w:r>
        <w:rPr>
          <w:rFonts w:ascii="Courier New" w:cs="Courier New" w:eastAsia="Courier New" w:hAnsi="Courier New"/>
          <w:sz w:val="16"/>
          <w:szCs w:val="16"/>
          <w:color w:val="auto"/>
        </w:rPr>
        <w:t>Notice is hereby given that the Annual Meeting of Shareholders of Daktronics, Inc. ("Daktronics" or the "Company") will be held on Wednesday, August 18, 1999, at Daktronics, Inc., 331 32nd Avenue, Brookings, South Dakota at 7:00 p.m. Central Daylight Time, for the following purposes:</w:t>
      </w:r>
    </w:p>
    <w:p>
      <w:pPr>
        <w:spacing w:after="0" w:line="187" w:lineRule="exact"/>
        <w:rPr>
          <w:sz w:val="24"/>
          <w:szCs w:val="24"/>
          <w:color w:val="auto"/>
        </w:rPr>
      </w:pPr>
    </w:p>
    <w:p>
      <w:pPr>
        <w:ind w:left="1180" w:right="2339" w:hanging="587"/>
        <w:spacing w:after="0" w:line="253" w:lineRule="auto"/>
        <w:tabs>
          <w:tab w:leader="none" w:pos="11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as members of the class of directors to serve until the third succeeding Annual Meeting of Shareholders, and until their successors have been elected and qualified.</w:t>
      </w:r>
    </w:p>
    <w:p>
      <w:pPr>
        <w:spacing w:after="0" w:line="185" w:lineRule="exact"/>
        <w:rPr>
          <w:rFonts w:ascii="Courier New" w:cs="Courier New" w:eastAsia="Courier New" w:hAnsi="Courier New"/>
          <w:sz w:val="16"/>
          <w:szCs w:val="16"/>
          <w:color w:val="auto"/>
        </w:rPr>
      </w:pPr>
    </w:p>
    <w:p>
      <w:pPr>
        <w:ind w:left="1180" w:hanging="587"/>
        <w:spacing w:after="0"/>
        <w:tabs>
          <w:tab w:leader="none" w:pos="11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McGladrey &amp; Pullen, LLP as independent</w:t>
      </w:r>
    </w:p>
    <w:p>
      <w:pPr>
        <w:sectPr>
          <w:pgSz w:w="11900" w:h="16904" w:orient="portrait"/>
          <w:cols w:equalWidth="0" w:num="1">
            <w:col w:w="10219"/>
          </w:cols>
          <w:pgMar w:left="240" w:top="622" w:right="1440" w:bottom="0" w:gutter="0" w:footer="0" w:header="0"/>
        </w:sectPr>
      </w:pPr>
    </w:p>
    <w:bookmarkStart w:id="1" w:name="page2"/>
    <w:bookmarkEnd w:id="1"/>
    <w:p>
      <w:pPr>
        <w:ind w:left="1180"/>
        <w:spacing w:after="0"/>
        <w:rPr>
          <w:sz w:val="20"/>
          <w:szCs w:val="20"/>
          <w:color w:val="auto"/>
        </w:rPr>
      </w:pPr>
      <w:r>
        <w:rPr>
          <w:rFonts w:ascii="Courier New" w:cs="Courier New" w:eastAsia="Courier New" w:hAnsi="Courier New"/>
          <w:sz w:val="16"/>
          <w:szCs w:val="16"/>
          <w:color w:val="auto"/>
        </w:rPr>
        <w:t>auditors for the Company for the fiscal year ending April 30, 2000.</w:t>
      </w:r>
    </w:p>
    <w:p>
      <w:pPr>
        <w:spacing w:after="0" w:line="198" w:lineRule="exact"/>
        <w:rPr>
          <w:sz w:val="20"/>
          <w:szCs w:val="20"/>
          <w:color w:val="auto"/>
        </w:rPr>
      </w:pPr>
    </w:p>
    <w:p>
      <w:pPr>
        <w:ind w:left="1180" w:right="2619" w:hanging="587"/>
        <w:spacing w:after="0" w:line="255" w:lineRule="auto"/>
        <w:tabs>
          <w:tab w:leader="none" w:pos="11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any other matters that may properly come before the meeting or any adjournment thereof.</w:t>
      </w:r>
    </w:p>
    <w:p>
      <w:pPr>
        <w:spacing w:after="0" w:line="184" w:lineRule="exact"/>
        <w:rPr>
          <w:sz w:val="20"/>
          <w:szCs w:val="20"/>
          <w:color w:val="auto"/>
        </w:rPr>
      </w:pPr>
    </w:p>
    <w:p>
      <w:pPr>
        <w:ind w:right="2339" w:firstLine="591"/>
        <w:spacing w:after="0" w:line="253" w:lineRule="auto"/>
        <w:rPr>
          <w:sz w:val="20"/>
          <w:szCs w:val="20"/>
          <w:color w:val="auto"/>
        </w:rPr>
      </w:pPr>
      <w:r>
        <w:rPr>
          <w:rFonts w:ascii="Courier New" w:cs="Courier New" w:eastAsia="Courier New" w:hAnsi="Courier New"/>
          <w:sz w:val="16"/>
          <w:szCs w:val="16"/>
          <w:color w:val="auto"/>
        </w:rPr>
        <w:t>Only the shareholders of record of Daktronics Common Stock at the close of business on July 16, 1999, will be entitled to receive notice of and to vote at the meeting or any adjournment thereof.</w:t>
      </w:r>
    </w:p>
    <w:p>
      <w:pPr>
        <w:spacing w:after="0" w:line="185" w:lineRule="exact"/>
        <w:rPr>
          <w:sz w:val="20"/>
          <w:szCs w:val="20"/>
          <w:color w:val="auto"/>
        </w:rPr>
      </w:pPr>
    </w:p>
    <w:p>
      <w:pPr>
        <w:ind w:right="2519" w:firstLine="591"/>
        <w:spacing w:after="0" w:line="252" w:lineRule="auto"/>
        <w:rPr>
          <w:sz w:val="20"/>
          <w:szCs w:val="20"/>
          <w:color w:val="auto"/>
        </w:rPr>
      </w:pPr>
      <w:r>
        <w:rPr>
          <w:rFonts w:ascii="Courier New" w:cs="Courier New" w:eastAsia="Courier New" w:hAnsi="Courier New"/>
          <w:sz w:val="16"/>
          <w:szCs w:val="16"/>
          <w:color w:val="auto"/>
        </w:rPr>
        <w:t>YOU ARE CORDIALLY INVITED TO ATTEND THE MEETING. WHETHER OR NOT YOU PLAN TO BE PERSONALLY PRESENT AT THE MEETING, PLEASE COMPLETE, DATE AND SIGN THE ENCLOSED PROXY AND RETURN IT PROMPTLY IN THE ENCLOSED ENVELOPE. IF YOU LATER DESIRE TO REVOKE YOUR PROXY, YOU MAY DO SO AT ANY TIME BEFORE IT IS EXERCISED.</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Duane E. Sander,</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SECRETARY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22, 1999</w:t>
      </w:r>
    </w:p>
    <w:p>
      <w:pPr>
        <w:sectPr>
          <w:pgSz w:w="11900" w:h="16838" w:orient="portrait"/>
          <w:cols w:equalWidth="0" w:num="1">
            <w:col w:w="10219"/>
          </w:cols>
          <w:pgMar w:left="240" w:top="142"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6"/>
          <w:szCs w:val="16"/>
          <w:color w:val="auto"/>
        </w:rPr>
        <w:t>DAKTRONICS, INC.</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331 32nd Avenue</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Brookings, South Dakota 57006</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PROXY STATEMENT</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ANNUAL MEETING OF SHAREHOLDERS</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AUGUST 18, 1999</w:t>
      </w:r>
    </w:p>
    <w:p>
      <w:pPr>
        <w:spacing w:after="0" w:line="198"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This Proxy Statement is furnished in connection with the solicitation of the enclosed proxy by the Board of Directors of Daktronics, Inc. ("Daktronics" or the "Company") for use at the Annual Meeting of Shareholders to be held on Wednesday, August 18, 1999, at Daktronics, Inc., 331 32nd Avenue, Brookings, South Dakota at 7:00 p.m. Central Daylight Time, and at any adjournment thereof, for the purposes set forth in the Notice of Annual Meeting of Shareholders.</w:t>
      </w:r>
    </w:p>
    <w:p>
      <w:pPr>
        <w:spacing w:after="0" w:line="190"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Shares of Common Stock represented by proxies in the form solicited will be voted in the manner directed by a shareholder. If no direction is made, the proxy will be voted (1) for the election of the three nominees for director named in this Proxy Statement, and (2) for the ratification of the appointment of McGladrey &amp; Pullen, LLP as independent auditors for the Company for the fiscal year ending April 30, 2000 . A shareholder may revoke his or her proxy at any time before it is voted by delivering to the Secretary of the Company a written notice of termination of the proxy's authority, by filing with the Secretary of the Company another proxy bearing a later date, or by appearing and voting at the meeting. This Proxy Statement and the form of proxy enclosed are being mailed to shareholders commencing on or about July 23, 1999.</w:t>
      </w:r>
    </w:p>
    <w:p>
      <w:pPr>
        <w:spacing w:after="0" w:line="190"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Votes cast by proxy or in person at the Annual Meeting will be tabulated by the inspectors of election appointed by the Company for the meeting, and the number of shareholders present in person or by proxy will determine whether or not a quorum is present. The inspectors of election will treat abstentions as shares that are present and entitled to vote for purposes of determining the presence of a quorum for all matters. Shares abstaining will be treated as unvoted. If a broker indicates on the proxy that it does not have discretionary authority as to certain shares to vote on a particular matter, those shares will not be considered as present and entitled to vote by the inspectors of election with respect to that matter. The three persons receiving the most votes will be elected for directors and the ratification for the appointment of the auditors will be determined by a majority of the votes cast.</w:t>
      </w:r>
    </w:p>
    <w:p>
      <w:pPr>
        <w:spacing w:after="0" w:line="190"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Only the holders of the Company's Common Stock whose names appear of record on the Company's books at the close of business on July 16, 1999 will be entitled to vote at the annual meeting. At the close of business on July 16, 1999, a total of 4,369,941 shares of Common Stock were outstanding. The holders of one-third of the shares of Common Stock issued and outstanding and entitled to vote at the 1999 Annual Meeting, present in person or represented by proxy, will constitute a quorum for the transaction of business. If a quorum should not be present, the 1999 Annual Meeting may be adjourned from time to time until a quorum is present. Holders of Common Stock are entitled to one vote per share on all matters submitted to a vote of shareholders, except that with respect to the election for directors every shareholder shall have the right to vote, in person or by proxy, the number of shares owned by the holder for as many persons as there are directors to be elected, or to cumulate the holder's votes by giving one candidate the number of votes which is equal to the number of directors to be elected multiplied by the number of the holder's shares, or by distributing such cumulated votes among any number of candidates.</w:t>
      </w:r>
    </w:p>
    <w:p>
      <w:pPr>
        <w:spacing w:after="0" w:line="3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75" w:right="1440" w:bottom="1440" w:gutter="0" w:footer="0" w:header="0"/>
        </w:sectPr>
      </w:pPr>
    </w:p>
    <w:bookmarkStart w:id="3" w:name="page4"/>
    <w:bookmarkEnd w:id="3"/>
    <w:p>
      <w:pPr>
        <w:ind w:right="2339" w:firstLine="591"/>
        <w:spacing w:after="0" w:line="251" w:lineRule="auto"/>
        <w:rPr>
          <w:sz w:val="20"/>
          <w:szCs w:val="20"/>
          <w:color w:val="auto"/>
        </w:rPr>
      </w:pPr>
      <w:r>
        <w:rPr>
          <w:rFonts w:ascii="Courier New" w:cs="Courier New" w:eastAsia="Courier New" w:hAnsi="Courier New"/>
          <w:sz w:val="16"/>
          <w:szCs w:val="16"/>
          <w:color w:val="auto"/>
        </w:rPr>
        <w:t>Participants in the Company's Employee Stock Ownership Plan (ESOP) are entitled to instruct the trustee of the ESOP how to vote all shares of Common Stock allocated to participants' accounts under the ESOP. Each participant will receive a voting instruction card to direct the trustee to vote that participant's allocated shares. If a participant does not timely return a completed voting instruction card, the trustee will vote the shares allocated to that participant in the same proportion as the shares which are voted by all participants under the ESOP. The trustee of the ESOP will vote any unallocated shares of Common Stock held by the ESOP in the same proportion as the shares allocated to the participants' accounts.</w:t>
      </w:r>
    </w:p>
    <w:p>
      <w:pPr>
        <w:spacing w:after="0" w:line="190"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Participants in the Company's 401k plan who have Daktronics shares as one of their 401k selections are entitled to instruct the trustee of the 401k plan how to vote their shares of Common Stock. Each participant will receive a voting instruction card to direct the trustee to vote that participant's shares. If a participant does not timely return a completed voting instruction card, the trustee will vote the shares allocated to that participant in the same proportion as the shares which are voted by all participants under the 401k plan.</w:t>
      </w:r>
    </w:p>
    <w:p>
      <w:pPr>
        <w:spacing w:after="0" w:line="379" w:lineRule="exact"/>
        <w:rPr>
          <w:sz w:val="20"/>
          <w:szCs w:val="20"/>
          <w:color w:val="auto"/>
        </w:rPr>
      </w:pPr>
    </w:p>
    <w:p>
      <w:pPr>
        <w:ind w:right="2339" w:firstLine="591"/>
        <w:spacing w:after="0" w:line="252" w:lineRule="auto"/>
        <w:rPr>
          <w:sz w:val="20"/>
          <w:szCs w:val="20"/>
          <w:color w:val="auto"/>
        </w:rPr>
      </w:pPr>
      <w:r>
        <w:rPr>
          <w:rFonts w:ascii="Courier New" w:cs="Courier New" w:eastAsia="Courier New" w:hAnsi="Courier New"/>
          <w:sz w:val="16"/>
          <w:szCs w:val="16"/>
          <w:color w:val="auto"/>
        </w:rPr>
        <w:t>Expenses in connection with the solicitation of proxies will be paid by the Company. Proxies are being solicited primarily by mail, but, in addition, officers and regular employees of the Company who will receive no extra compensation for their services may solicit proxies by telephone, telecopier or personal calls. The Company may reimburse brokerage firms and others for their expenses in forwarding solicitation materials to the beneficial owners of Common Stock.</w:t>
      </w:r>
    </w:p>
    <w:p>
      <w:pPr>
        <w:spacing w:after="0" w:line="375" w:lineRule="exact"/>
        <w:rPr>
          <w:sz w:val="20"/>
          <w:szCs w:val="20"/>
          <w:color w:val="auto"/>
        </w:rPr>
      </w:pPr>
    </w:p>
    <w:p>
      <w:pPr>
        <w:ind w:right="2719" w:firstLine="591"/>
        <w:spacing w:after="0" w:line="255" w:lineRule="auto"/>
        <w:rPr>
          <w:sz w:val="20"/>
          <w:szCs w:val="20"/>
          <w:color w:val="auto"/>
        </w:rPr>
      </w:pPr>
      <w:r>
        <w:rPr>
          <w:rFonts w:ascii="Courier New" w:cs="Courier New" w:eastAsia="Courier New" w:hAnsi="Courier New"/>
          <w:sz w:val="16"/>
          <w:szCs w:val="16"/>
          <w:color w:val="auto"/>
        </w:rPr>
        <w:t>A copy of the Company's Annual Report for the fiscal year ended May 1, 1999 is being furnished to each shareholder with this Proxy Statement.</w:t>
      </w:r>
    </w:p>
    <w:p>
      <w:pPr>
        <w:spacing w:after="0" w:line="37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PROPOSAL NO. 1 - ELECTION OF DIRECTORS</w:t>
      </w:r>
    </w:p>
    <w:p>
      <w:pPr>
        <w:spacing w:after="0" w:line="198"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Pursuant to the Company's Articles of Incorporation, the Board of directors is divided into three classes serving staggered three-year terms expiring at each successive annual meeting of shareholders. The terms of Aelred J. Kurtenbach and Charles S. Roberts expire at the 1999 Annual Meeting; Edwin M. Theisen whose term was scheduled to expire at the 1999 Annual Meeting passed away in June of 1999; Frank J. Kurtenbach, James A. Vellenga and Roland J. Jensen expire at the 2000 Annual Meeting; and James B. Morgan, John L. Mulligan and Duane E. Sander expire at the 2001 Annual Meeting.</w:t>
      </w:r>
    </w:p>
    <w:p>
      <w:pPr>
        <w:spacing w:after="0" w:line="190" w:lineRule="exact"/>
        <w:rPr>
          <w:sz w:val="20"/>
          <w:szCs w:val="20"/>
          <w:color w:val="auto"/>
        </w:rPr>
      </w:pPr>
    </w:p>
    <w:p>
      <w:pPr>
        <w:ind w:right="2439" w:firstLine="591"/>
        <w:spacing w:after="0" w:line="251" w:lineRule="auto"/>
        <w:rPr>
          <w:sz w:val="20"/>
          <w:szCs w:val="20"/>
          <w:color w:val="auto"/>
        </w:rPr>
      </w:pPr>
      <w:r>
        <w:rPr>
          <w:rFonts w:ascii="Courier New" w:cs="Courier New" w:eastAsia="Courier New" w:hAnsi="Courier New"/>
          <w:sz w:val="16"/>
          <w:szCs w:val="16"/>
          <w:color w:val="auto"/>
        </w:rPr>
        <w:t>The persons named in the accompanying proxy will vote for the election of the three nominees described herein, unless authority to vote is withheld. The Board of Directors has been informed that each of the three nominees is willing to serve as a director; however, if any nominee should decline or become unable to serve as a director for any reason, the proxy may be voted for such other person as the proxies shall, in their discretion, determine.</w:t>
      </w:r>
    </w:p>
    <w:p>
      <w:pPr>
        <w:spacing w:after="0" w:line="190" w:lineRule="exact"/>
        <w:rPr>
          <w:sz w:val="20"/>
          <w:szCs w:val="20"/>
          <w:color w:val="auto"/>
        </w:rPr>
      </w:pPr>
    </w:p>
    <w:p>
      <w:pPr>
        <w:ind w:right="2519" w:firstLine="591"/>
        <w:spacing w:after="0" w:line="253" w:lineRule="auto"/>
        <w:rPr>
          <w:sz w:val="20"/>
          <w:szCs w:val="20"/>
          <w:color w:val="auto"/>
        </w:rPr>
      </w:pPr>
      <w:r>
        <w:rPr>
          <w:rFonts w:ascii="Courier New" w:cs="Courier New" w:eastAsia="Courier New" w:hAnsi="Courier New"/>
          <w:sz w:val="16"/>
          <w:szCs w:val="16"/>
          <w:color w:val="auto"/>
        </w:rPr>
        <w:t>The following table sets forth certain information as of July 16, 1999 concerning the three nominees for election as directors of the Company and the continuing directors:</w:t>
      </w:r>
    </w:p>
    <w:p>
      <w:pPr>
        <w:sectPr>
          <w:pgSz w:w="11900" w:h="16838" w:orient="portrait"/>
          <w:cols w:equalWidth="0" w:num="1">
            <w:col w:w="10219"/>
          </w:cols>
          <w:pgMar w:left="240" w:top="87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 with Company</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3420" w:space="720"/>
            <w:col w:w="6079"/>
          </w:cols>
          <w:pgMar w:left="240" w:top="87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NOMINEES FOR TERMS EXPIRING AT THE 1999 ANNUAL MEETING</w:t>
      </w:r>
    </w:p>
    <w:p>
      <w:pPr>
        <w:spacing w:after="0" w:line="8"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6"/>
          <w:szCs w:val="16"/>
          <w:color w:val="auto"/>
        </w:rPr>
        <w:t>Aelred J. Kurtenbach (65)</w:t>
      </w:r>
      <w:r>
        <w:rPr>
          <w:sz w:val="20"/>
          <w:szCs w:val="20"/>
          <w:color w:val="auto"/>
        </w:rPr>
        <w:tab/>
      </w:r>
      <w:r>
        <w:rPr>
          <w:rFonts w:ascii="Courier New" w:cs="Courier New" w:eastAsia="Courier New" w:hAnsi="Courier New"/>
          <w:sz w:val="16"/>
          <w:szCs w:val="16"/>
          <w:color w:val="auto"/>
        </w:rPr>
        <w:t>President and Director</w:t>
      </w:r>
    </w:p>
    <w:p>
      <w:pPr>
        <w:spacing w:after="0" w:line="8"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6"/>
          <w:szCs w:val="16"/>
          <w:color w:val="auto"/>
        </w:rPr>
        <w:t>Charles S. Roberts (74)</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6"/>
          <w:szCs w:val="16"/>
          <w:color w:val="auto"/>
        </w:rPr>
        <w:t>Nancy D. Frame (54)</w:t>
      </w:r>
      <w:r>
        <w:rPr>
          <w:sz w:val="20"/>
          <w:szCs w:val="20"/>
          <w:color w:val="auto"/>
        </w:rPr>
        <w:tab/>
      </w:r>
      <w:r>
        <w:rPr>
          <w:rFonts w:ascii="Courier New" w:cs="Courier New" w:eastAsia="Courier New" w:hAnsi="Courier New"/>
          <w:sz w:val="16"/>
          <w:szCs w:val="16"/>
          <w:color w:val="auto"/>
        </w:rPr>
        <w:t>Director (Nominee)</w:t>
      </w: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75"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DIRECTORS FOR TERMS EXPIRING AT THE 2000 ANNUAL MEETING</w:t>
      </w:r>
    </w:p>
    <w:p>
      <w:pPr>
        <w:spacing w:after="0" w:line="8"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Frank J. Kurtenbach (61) Vice President, Sales and Director Roland J. Jensen (68) Director James A. Vellenga (64) Director</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FOR TERMS EXPIRING AT THE 2001 ANNUAL MEETING</w:t>
      </w:r>
    </w:p>
    <w:p>
      <w:pPr>
        <w:spacing w:after="0" w:line="8"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6"/>
          <w:szCs w:val="16"/>
          <w:color w:val="auto"/>
        </w:rPr>
        <w:t>James B. Morgan (52)</w:t>
      </w:r>
      <w:r>
        <w:rPr>
          <w:sz w:val="20"/>
          <w:szCs w:val="20"/>
          <w:color w:val="auto"/>
        </w:rPr>
        <w:tab/>
      </w:r>
      <w:r>
        <w:rPr>
          <w:rFonts w:ascii="Courier New" w:cs="Courier New" w:eastAsia="Courier New" w:hAnsi="Courier New"/>
          <w:sz w:val="16"/>
          <w:szCs w:val="16"/>
          <w:color w:val="auto"/>
        </w:rPr>
        <w:t>Executive Vice President and Director</w:t>
      </w:r>
    </w:p>
    <w:p>
      <w:pPr>
        <w:spacing w:after="0" w:line="8"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6"/>
          <w:szCs w:val="16"/>
          <w:color w:val="auto"/>
        </w:rPr>
        <w:t>Duane E. Sander (61)</w:t>
      </w:r>
      <w:r>
        <w:rPr>
          <w:sz w:val="20"/>
          <w:szCs w:val="20"/>
          <w:color w:val="auto"/>
        </w:rPr>
        <w:tab/>
      </w:r>
      <w:r>
        <w:rPr>
          <w:rFonts w:ascii="Courier New" w:cs="Courier New" w:eastAsia="Courier New" w:hAnsi="Courier New"/>
          <w:sz w:val="16"/>
          <w:szCs w:val="16"/>
          <w:color w:val="auto"/>
        </w:rPr>
        <w:t>Secretary and Director</w:t>
      </w:r>
    </w:p>
    <w:p>
      <w:pPr>
        <w:spacing w:after="0" w:line="8"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6"/>
          <w:szCs w:val="16"/>
          <w:color w:val="auto"/>
        </w:rPr>
        <w:t>John L. Mulligan (60)</w:t>
      </w:r>
      <w:r>
        <w:rPr>
          <w:sz w:val="20"/>
          <w:szCs w:val="20"/>
          <w:color w:val="auto"/>
        </w:rPr>
        <w:tab/>
      </w:r>
      <w:r>
        <w:rPr>
          <w:rFonts w:ascii="Courier New" w:cs="Courier New" w:eastAsia="Courier New" w:hAnsi="Courier New"/>
          <w:sz w:val="16"/>
          <w:szCs w:val="16"/>
          <w:color w:val="auto"/>
        </w:rPr>
        <w:t>Director</w:t>
      </w:r>
    </w:p>
    <w:p>
      <w:pPr>
        <w:spacing w:after="0" w:line="198"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AELRED J. KURTENBACH, PH.D. is a co-founder of the Company and has served as a director and as President of the Company since its incorporation. Dr. Kurtenbach also served as Treasurer until 1993. Dr. Kurtenbach has over 40 years of experience in the fields of communication engineering and control system design, technical services, computer systems, electrical engineering education and business management. Dr. Kurtenbach has B.S., M.S. and Ph.D. degrees in Electrical Engineering from South Dakota School of Mines and Technology, the University of Nebraska and Purdue University, respectively.</w:t>
      </w:r>
    </w:p>
    <w:p>
      <w:pPr>
        <w:spacing w:after="0" w:line="190" w:lineRule="exact"/>
        <w:rPr>
          <w:sz w:val="20"/>
          <w:szCs w:val="20"/>
          <w:color w:val="auto"/>
        </w:rPr>
      </w:pPr>
    </w:p>
    <w:p>
      <w:pPr>
        <w:ind w:right="2339" w:firstLine="591"/>
        <w:spacing w:after="0" w:line="253" w:lineRule="auto"/>
        <w:rPr>
          <w:sz w:val="20"/>
          <w:szCs w:val="20"/>
          <w:color w:val="auto"/>
        </w:rPr>
      </w:pPr>
      <w:r>
        <w:rPr>
          <w:rFonts w:ascii="Courier New" w:cs="Courier New" w:eastAsia="Courier New" w:hAnsi="Courier New"/>
          <w:sz w:val="16"/>
          <w:szCs w:val="16"/>
          <w:color w:val="auto"/>
        </w:rPr>
        <w:t>CHARLES S. ROBERTS, M.D. has served as a director of the Company since 1968. Prior to his retirement in 1991, Dr. Roberts was engaged in family practice and internal medicine at the Brookings Clinic, Brookings, South Dakota.</w:t>
      </w:r>
    </w:p>
    <w:p>
      <w:pPr>
        <w:spacing w:after="0" w:line="185" w:lineRule="exact"/>
        <w:rPr>
          <w:sz w:val="20"/>
          <w:szCs w:val="20"/>
          <w:color w:val="auto"/>
        </w:rPr>
      </w:pPr>
    </w:p>
    <w:p>
      <w:pPr>
        <w:ind w:right="2339" w:firstLine="591"/>
        <w:spacing w:after="0" w:line="252" w:lineRule="auto"/>
        <w:rPr>
          <w:sz w:val="20"/>
          <w:szCs w:val="20"/>
          <w:color w:val="auto"/>
        </w:rPr>
      </w:pPr>
      <w:r>
        <w:rPr>
          <w:rFonts w:ascii="Courier New" w:cs="Courier New" w:eastAsia="Courier New" w:hAnsi="Courier New"/>
          <w:sz w:val="16"/>
          <w:szCs w:val="16"/>
          <w:color w:val="auto"/>
        </w:rPr>
        <w:t>NANCY D. FRAME is a director nominee. She is currently the Deputy Director of the United States Trade and Development Agency in Washington, D.C., a position she has held since 1986. Previous to that she held various positions in the legal profession. She obtained her law degree from Georgetown University, Washington, D.C.</w:t>
      </w:r>
    </w:p>
    <w:p>
      <w:pPr>
        <w:spacing w:after="0" w:line="186" w:lineRule="exact"/>
        <w:rPr>
          <w:sz w:val="20"/>
          <w:szCs w:val="20"/>
          <w:color w:val="auto"/>
        </w:rPr>
      </w:pPr>
    </w:p>
    <w:p>
      <w:pPr>
        <w:ind w:right="2439" w:firstLine="591"/>
        <w:spacing w:after="0" w:line="251" w:lineRule="auto"/>
        <w:rPr>
          <w:sz w:val="20"/>
          <w:szCs w:val="20"/>
          <w:color w:val="auto"/>
        </w:rPr>
      </w:pPr>
      <w:r>
        <w:rPr>
          <w:rFonts w:ascii="Courier New" w:cs="Courier New" w:eastAsia="Courier New" w:hAnsi="Courier New"/>
          <w:sz w:val="16"/>
          <w:szCs w:val="16"/>
          <w:color w:val="auto"/>
        </w:rPr>
        <w:t>FRANK J. KURTENBACH joined the Company in 1979 as Sales Manager of the Standard Scoreboard Division, which was expanded to include other products in 1981. He has served as Sales Manager for the Company since 1982, as a director since 1984 and as Vice President, Sales since November 1993. Mr. Kurtenbach has a M.S. degree from South Dakota State University. Aelred Kurtenbach and Frank Kurtenbach are brothers.</w:t>
      </w:r>
    </w:p>
    <w:p>
      <w:pPr>
        <w:spacing w:after="0" w:line="190"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ROLAND J. JENSEN worked in various capacities from 1960 to 1990 with Northern States Power Company, an electric and natural gas utility, ending his service as Senior Vice President of Power Supply. From 1990 to his retirement in January 1994, he was Chairman and CEO of NRG Energy, Inc., a Minneapolis-based energy services company. Mr. Jensen has served as a director of the Company since 1994.</w:t>
      </w:r>
    </w:p>
    <w:p>
      <w:pPr>
        <w:spacing w:after="0" w:line="190"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JAMES A. VELLENGA was elected as a director in 1997. Mr. Vellenga is currently VP of Technology and previously served as VP of Operations responsible for Product Development, Manufacturing and Quality Assurance at Aetrium, Inc. in St. Paul, MN. He was previously a founding officer of Lee Data Corp., and prior to that he was one of the early employees at Data 100 Corp. until its acquisition by Northern Telecom. Mr. Vellenga holds a B.S. degree in Electrical Engineering from South Dakota State University.</w:t>
      </w:r>
    </w:p>
    <w:p>
      <w:pPr>
        <w:spacing w:after="0" w:line="190"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JAMES B. MORGAN joined the Company in 1969 as a part-time engineer while earning his M.S. degree in Electrical Engineering from South Dakota State University. Since 1970, he has been employed by the Company as its Engineering Manager and since 1975 as its Vice President, Engineering, with responsibility for product development, contract design, project management for customer contracts, and corporate information and scheduling systems. In 1995, Mr. Morgan was named Executive Vice President. Mr. Morgan has served as a director since 1984.</w:t>
      </w:r>
    </w:p>
    <w:p>
      <w:pPr>
        <w:spacing w:after="0" w:line="379" w:lineRule="exact"/>
        <w:rPr>
          <w:sz w:val="20"/>
          <w:szCs w:val="20"/>
          <w:color w:val="auto"/>
        </w:rPr>
      </w:pPr>
    </w:p>
    <w:p>
      <w:pPr>
        <w:ind w:right="2339" w:firstLine="591"/>
        <w:spacing w:after="0" w:line="252" w:lineRule="auto"/>
        <w:rPr>
          <w:sz w:val="20"/>
          <w:szCs w:val="20"/>
          <w:color w:val="auto"/>
        </w:rPr>
      </w:pPr>
      <w:r>
        <w:rPr>
          <w:rFonts w:ascii="Courier New" w:cs="Courier New" w:eastAsia="Courier New" w:hAnsi="Courier New"/>
          <w:sz w:val="16"/>
          <w:szCs w:val="16"/>
          <w:color w:val="auto"/>
        </w:rPr>
        <w:t>DUANE E. SANDER, PH.D. is a co-founder of the Company and has served as a director and as Secretary of the Company since its incorporation. Dr. Sander is currently employed as Dean of Engineering at South Dakota State University where he has taught electrical engineering courses and directed biomedical research projects since 1967.</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75" w:right="1440" w:bottom="1440" w:gutter="0" w:footer="0" w:header="0"/>
        </w:sectPr>
      </w:pPr>
    </w:p>
    <w:bookmarkStart w:id="5" w:name="page6"/>
    <w:bookmarkEnd w:id="5"/>
    <w:p>
      <w:pPr>
        <w:ind w:right="2339" w:firstLine="591"/>
        <w:spacing w:after="0" w:line="251" w:lineRule="auto"/>
        <w:rPr>
          <w:sz w:val="20"/>
          <w:szCs w:val="20"/>
          <w:color w:val="auto"/>
        </w:rPr>
      </w:pPr>
      <w:r>
        <w:rPr>
          <w:rFonts w:ascii="Courier New" w:cs="Courier New" w:eastAsia="Courier New" w:hAnsi="Courier New"/>
          <w:sz w:val="16"/>
          <w:szCs w:val="16"/>
          <w:color w:val="auto"/>
        </w:rPr>
        <w:t>JOHN L. MULLIGAN was elected as a director of the Company in 1993. He currently is employed as a financial services specialist with Morgan Stanley Dean Witter, in the same capacity as when he was employed with Mesirow Financial from late 1990 through mid 1993. In 1993 and 1994, he served as principal of Mulligan Financial, a financial services firm which he founded. From 1967 to March 1990, he served as President, Chairman, Chief Executive Officer and director of American Western Corporation.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98"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The current nonemployee directors of the Company include Messrs. Mulligan, Sander, Roberts, Jensen, Theisen, and Vellenga. During fiscal 1999 each non-employee director received, for their services as a director, a $2,000 retainer each year, $1,500 for each meeting attended in person, $500 for telephone Board meetings, $500 for each committee meeting attended in person and reimbursement of all out-of-pocket expenses incurred in attending meetings. The nonemployee directors also receive stock options under the Company's 1993 Outside Directors Stock Option Plan. In August 1998, Messrs. Roberts and Theisen each received 2,000 shares and Messrs. Jensen and Vellenga each received 4,000 shares, and Messrs. Mulligan and Sander each received 9,000 shares under the 1993 Outside Directors Stock Option Plan, which are subject to vesting restrictions under the plan and have an exercise price of $10.375 per share. Dr. Sander does not receive any additional compensation for serving as Secretary of the Company.</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 OF DIRECTORS</w:t>
      </w:r>
    </w:p>
    <w:p>
      <w:pPr>
        <w:spacing w:after="0" w:line="198" w:lineRule="exact"/>
        <w:rPr>
          <w:sz w:val="20"/>
          <w:szCs w:val="20"/>
          <w:color w:val="auto"/>
        </w:rPr>
      </w:pPr>
    </w:p>
    <w:p>
      <w:pPr>
        <w:ind w:right="2339" w:firstLine="591"/>
        <w:spacing w:after="0" w:line="252" w:lineRule="auto"/>
        <w:rPr>
          <w:sz w:val="20"/>
          <w:szCs w:val="20"/>
          <w:color w:val="auto"/>
        </w:rPr>
      </w:pPr>
      <w:r>
        <w:rPr>
          <w:rFonts w:ascii="Courier New" w:cs="Courier New" w:eastAsia="Courier New" w:hAnsi="Courier New"/>
          <w:sz w:val="16"/>
          <w:szCs w:val="16"/>
          <w:color w:val="auto"/>
        </w:rPr>
        <w:t>The Board of Directors of the Company has an Audit Committee consisting of John Mulligan (chair) and James A. Vellenga; and a Compensation Committee consisting of Roland Jensen (chair), Charles S. Roberts, and John Mulligan. The Company has no standing nominating committee. The Board as a whole performs the functions which would otherwise be delegated to a nominating committee.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Board of Directors</w:t>
            </w:r>
          </w:p>
        </w:tc>
        <w:tc>
          <w:tcPr>
            <w:tcW w:w="42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held four meetings during fiscal 1999. All</w:t>
            </w:r>
          </w:p>
        </w:tc>
        <w:tc>
          <w:tcPr>
            <w:tcW w:w="840" w:type="dxa"/>
            <w:vAlign w:val="bottom"/>
          </w:tcPr>
          <w:p>
            <w:pPr>
              <w:spacing w:after="0"/>
              <w:rPr>
                <w:sz w:val="16"/>
                <w:szCs w:val="16"/>
                <w:color w:val="auto"/>
              </w:rPr>
            </w:pPr>
          </w:p>
        </w:tc>
      </w:tr>
      <w:tr>
        <w:trPr>
          <w:trHeight w:val="190"/>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incumbent</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directors attended</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at least 75%</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of the</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meetings of</w:t>
            </w:r>
          </w:p>
        </w:tc>
        <w:tc>
          <w:tcPr>
            <w:tcW w:w="1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Board meetings.</w:t>
            </w:r>
          </w:p>
        </w:tc>
      </w:tr>
      <w:tr>
        <w:trPr>
          <w:trHeight w:val="190"/>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The Board</w:t>
            </w:r>
          </w:p>
        </w:tc>
        <w:tc>
          <w:tcPr>
            <w:tcW w:w="3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also passed several resolutions</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during</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fiscal 1999</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by written</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consent.</w:t>
            </w:r>
          </w:p>
        </w:tc>
      </w:tr>
    </w:tbl>
    <w:p>
      <w:pPr>
        <w:spacing w:after="0" w:line="194" w:lineRule="exact"/>
        <w:rPr>
          <w:sz w:val="20"/>
          <w:szCs w:val="20"/>
          <w:color w:val="auto"/>
        </w:rPr>
      </w:pPr>
    </w:p>
    <w:p>
      <w:pPr>
        <w:jc w:val="both"/>
        <w:ind w:right="2439" w:firstLine="591"/>
        <w:spacing w:after="0" w:line="253" w:lineRule="auto"/>
        <w:rPr>
          <w:sz w:val="20"/>
          <w:szCs w:val="20"/>
          <w:color w:val="auto"/>
        </w:rPr>
      </w:pPr>
      <w:r>
        <w:rPr>
          <w:rFonts w:ascii="Courier New" w:cs="Courier New" w:eastAsia="Courier New" w:hAnsi="Courier New"/>
          <w:sz w:val="16"/>
          <w:szCs w:val="16"/>
          <w:color w:val="auto"/>
        </w:rPr>
        <w:t>The Audit Committee held two meetings in Fiscal 1999. The Audit Committee reviews the activities of the Company's independent accountants and the results of audits made by these professionals.</w:t>
      </w:r>
    </w:p>
    <w:p>
      <w:pPr>
        <w:spacing w:after="0" w:line="185" w:lineRule="exact"/>
        <w:rPr>
          <w:sz w:val="20"/>
          <w:szCs w:val="20"/>
          <w:color w:val="auto"/>
        </w:rPr>
      </w:pPr>
    </w:p>
    <w:p>
      <w:pPr>
        <w:ind w:right="2519" w:firstLine="591"/>
        <w:spacing w:after="0" w:line="251" w:lineRule="auto"/>
        <w:rPr>
          <w:sz w:val="20"/>
          <w:szCs w:val="20"/>
          <w:color w:val="auto"/>
        </w:rPr>
      </w:pPr>
      <w:r>
        <w:rPr>
          <w:rFonts w:ascii="Courier New" w:cs="Courier New" w:eastAsia="Courier New" w:hAnsi="Courier New"/>
          <w:sz w:val="16"/>
          <w:szCs w:val="16"/>
          <w:color w:val="auto"/>
        </w:rPr>
        <w:t>The Compensation Committee held two meeting during fiscal 1999. The Compensation Committee (the "Committee") is responsible for making recommendations to the Board of Directors regarding compensation of the Company's executive officers and stock option awards under the Company's 1993 Stock Option Plan. None of the members of the Committee are employees of the Company and all executive officers who serve on the Board of Directors abstain from voting on compensation affecting those executive officers who are Board members.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8" w:lineRule="exact"/>
        <w:rPr>
          <w:sz w:val="20"/>
          <w:szCs w:val="20"/>
          <w:color w:val="auto"/>
        </w:rPr>
      </w:pPr>
    </w:p>
    <w:p>
      <w:pPr>
        <w:ind w:right="2439" w:firstLine="591"/>
        <w:spacing w:after="0" w:line="252" w:lineRule="auto"/>
        <w:rPr>
          <w:sz w:val="20"/>
          <w:szCs w:val="20"/>
          <w:color w:val="auto"/>
        </w:rPr>
      </w:pPr>
      <w:r>
        <w:rPr>
          <w:rFonts w:ascii="Courier New" w:cs="Courier New" w:eastAsia="Courier New" w:hAnsi="Courier New"/>
          <w:sz w:val="16"/>
          <w:szCs w:val="16"/>
          <w:color w:val="auto"/>
        </w:rPr>
        <w:t>Roland Jensen (chair), Charles S. Roberts and John L. Mulligan served as the members of the Compensation Committee during Fiscal 1999. There are no compensation committee interlocks with other companies and none of the members of the committee has been an officer, employee or insider of the Company or its subsidiaries.</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75"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6"/>
          <w:szCs w:val="16"/>
          <w:color w:val="auto"/>
        </w:rPr>
        <w:t>EXECUTIVE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AND OTHER COMPENSATION</w:t>
      </w:r>
    </w:p>
    <w:p>
      <w:pPr>
        <w:spacing w:after="0" w:line="198" w:lineRule="exact"/>
        <w:rPr>
          <w:sz w:val="20"/>
          <w:szCs w:val="20"/>
          <w:color w:val="auto"/>
        </w:rPr>
      </w:pPr>
    </w:p>
    <w:p>
      <w:pPr>
        <w:ind w:right="2760" w:firstLine="591"/>
        <w:spacing w:after="0" w:line="252" w:lineRule="auto"/>
        <w:rPr>
          <w:sz w:val="20"/>
          <w:szCs w:val="20"/>
          <w:color w:val="auto"/>
        </w:rPr>
      </w:pPr>
      <w:r>
        <w:rPr>
          <w:rFonts w:ascii="Courier New" w:cs="Courier New" w:eastAsia="Courier New" w:hAnsi="Courier New"/>
          <w:sz w:val="16"/>
          <w:szCs w:val="16"/>
          <w:color w:val="auto"/>
        </w:rPr>
        <w:t>The following table sets forth the cash and noncash compensation for each of the last three fiscal years awarded to or earned by the Company's Chief Executive Officer, and each of the other executive officers, whose total annual salary and bonus exceeded $100,000 during fiscal 1999.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SUMMARY COMPENSATION TABLE</w:t>
            </w:r>
          </w:p>
        </w:tc>
        <w:tc>
          <w:tcPr>
            <w:tcW w:w="1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758"/>
        </w:trPr>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40" w:type="dxa"/>
            <w:vAlign w:val="bottom"/>
            <w:gridSpan w:val="2"/>
          </w:tcPr>
          <w:p>
            <w:pPr>
              <w:jc w:val="center"/>
              <w:ind w:left="1398"/>
              <w:spacing w:after="0"/>
              <w:rPr>
                <w:sz w:val="20"/>
                <w:szCs w:val="20"/>
                <w:color w:val="auto"/>
              </w:rPr>
            </w:pPr>
            <w:r>
              <w:rPr>
                <w:rFonts w:ascii="Courier New" w:cs="Courier New" w:eastAsia="Courier New" w:hAnsi="Courier New"/>
                <w:sz w:val="16"/>
                <w:szCs w:val="16"/>
                <w:color w:val="auto"/>
              </w:rPr>
              <w:t>Long-Term Compensation</w:t>
            </w:r>
          </w:p>
        </w:tc>
      </w:tr>
      <w:tr>
        <w:trPr>
          <w:trHeight w:val="190"/>
        </w:trPr>
        <w:tc>
          <w:tcPr>
            <w:tcW w:w="2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Annual Compenstaion(1)</w:t>
            </w:r>
          </w:p>
        </w:tc>
        <w:tc>
          <w:tcPr>
            <w:tcW w:w="1920" w:type="dxa"/>
            <w:vAlign w:val="bottom"/>
          </w:tcPr>
          <w:p>
            <w:pPr>
              <w:spacing w:after="0"/>
              <w:rPr>
                <w:sz w:val="16"/>
                <w:szCs w:val="16"/>
                <w:color w:val="auto"/>
              </w:rPr>
            </w:pPr>
          </w:p>
        </w:tc>
        <w:tc>
          <w:tcPr>
            <w:tcW w:w="172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Awards</w:t>
            </w:r>
          </w:p>
        </w:tc>
      </w:tr>
      <w:tr>
        <w:trPr>
          <w:trHeight w:val="190"/>
        </w:trPr>
        <w:tc>
          <w:tcPr>
            <w:tcW w:w="2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spacing w:after="0"/>
              <w:rPr>
                <w:sz w:val="16"/>
                <w:szCs w:val="16"/>
                <w:color w:val="auto"/>
              </w:rPr>
            </w:pP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w:t>
            </w:r>
          </w:p>
        </w:tc>
      </w:tr>
      <w:tr>
        <w:trPr>
          <w:trHeight w:val="190"/>
        </w:trPr>
        <w:tc>
          <w:tcPr>
            <w:tcW w:w="2660" w:type="dxa"/>
            <w:vAlign w:val="bottom"/>
          </w:tcPr>
          <w:p>
            <w:pPr>
              <w:spacing w:after="0"/>
              <w:rPr>
                <w:sz w:val="16"/>
                <w:szCs w:val="16"/>
                <w:color w:val="auto"/>
              </w:rPr>
            </w:pP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Fiscal</w:t>
            </w: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jc w:val="center"/>
              <w:ind w:right="338"/>
              <w:spacing w:after="0"/>
              <w:rPr>
                <w:sz w:val="20"/>
                <w:szCs w:val="20"/>
                <w:color w:val="auto"/>
              </w:rPr>
            </w:pPr>
            <w:r>
              <w:rPr>
                <w:rFonts w:ascii="Courier New" w:cs="Courier New" w:eastAsia="Courier New" w:hAnsi="Courier New"/>
                <w:sz w:val="16"/>
                <w:szCs w:val="16"/>
                <w:color w:val="auto"/>
              </w:rPr>
              <w:t>Securities</w:t>
            </w:r>
          </w:p>
        </w:tc>
      </w:tr>
      <w:tr>
        <w:trPr>
          <w:trHeight w:val="190"/>
        </w:trPr>
        <w:tc>
          <w:tcPr>
            <w:tcW w:w="2660" w:type="dxa"/>
            <w:vAlign w:val="bottom"/>
          </w:tcPr>
          <w:p>
            <w:pPr>
              <w:spacing w:after="0"/>
              <w:rPr>
                <w:sz w:val="16"/>
                <w:szCs w:val="16"/>
                <w:color w:val="auto"/>
              </w:rPr>
            </w:pPr>
          </w:p>
        </w:tc>
        <w:tc>
          <w:tcPr>
            <w:tcW w:w="1620" w:type="dxa"/>
            <w:vAlign w:val="bottom"/>
          </w:tcPr>
          <w:p>
            <w:pPr>
              <w:ind w:left="900"/>
              <w:spacing w:after="0"/>
              <w:rPr>
                <w:sz w:val="20"/>
                <w:szCs w:val="20"/>
                <w:color w:val="auto"/>
              </w:rPr>
            </w:pPr>
            <w:r>
              <w:rPr>
                <w:rFonts w:ascii="Courier New" w:cs="Courier New" w:eastAsia="Courier New" w:hAnsi="Courier New"/>
                <w:sz w:val="16"/>
                <w:szCs w:val="16"/>
                <w:color w:val="auto"/>
              </w:rPr>
              <w:t>Year</w:t>
            </w: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All Other</w:t>
            </w:r>
          </w:p>
        </w:tc>
        <w:tc>
          <w:tcPr>
            <w:tcW w:w="1720" w:type="dxa"/>
            <w:vAlign w:val="bottom"/>
          </w:tcPr>
          <w:p>
            <w:pPr>
              <w:jc w:val="center"/>
              <w:ind w:right="338"/>
              <w:spacing w:after="0"/>
              <w:rPr>
                <w:sz w:val="20"/>
                <w:szCs w:val="20"/>
                <w:color w:val="auto"/>
              </w:rPr>
            </w:pPr>
            <w:r>
              <w:rPr>
                <w:rFonts w:ascii="Courier New" w:cs="Courier New" w:eastAsia="Courier New" w:hAnsi="Courier New"/>
                <w:sz w:val="16"/>
                <w:szCs w:val="16"/>
                <w:color w:val="auto"/>
              </w:rPr>
              <w:t>Underlying</w:t>
            </w:r>
          </w:p>
        </w:tc>
      </w:tr>
      <w:tr>
        <w:trPr>
          <w:trHeight w:val="190"/>
        </w:trPr>
        <w:tc>
          <w:tcPr>
            <w:tcW w:w="266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Ended</w:t>
            </w:r>
          </w:p>
        </w:tc>
        <w:tc>
          <w:tcPr>
            <w:tcW w:w="15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Salary</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Bonus(2)</w:t>
            </w:r>
          </w:p>
        </w:tc>
        <w:tc>
          <w:tcPr>
            <w:tcW w:w="19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Compensation($)</w:t>
            </w:r>
          </w:p>
        </w:tc>
        <w:tc>
          <w:tcPr>
            <w:tcW w:w="17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Options (#)</w:t>
            </w:r>
          </w:p>
        </w:tc>
      </w:tr>
      <w:tr>
        <w:trPr>
          <w:trHeight w:val="190"/>
        </w:trPr>
        <w:tc>
          <w:tcPr>
            <w:tcW w:w="2660" w:type="dxa"/>
            <w:vAlign w:val="bottom"/>
          </w:tcPr>
          <w:p>
            <w:pPr>
              <w:spacing w:after="0"/>
              <w:rPr>
                <w:sz w:val="20"/>
                <w:szCs w:val="20"/>
                <w:color w:val="auto"/>
              </w:rPr>
            </w:pPr>
            <w:r>
              <w:rPr>
                <w:rFonts w:ascii="Courier New" w:cs="Courier New" w:eastAsia="Courier New" w:hAnsi="Courier New"/>
                <w:sz w:val="16"/>
                <w:szCs w:val="16"/>
                <w:color w:val="auto"/>
                <w:w w:val="94"/>
              </w:rPr>
              <w:t>- ---------------------------</w:t>
            </w:r>
          </w:p>
        </w:tc>
        <w:tc>
          <w:tcPr>
            <w:tcW w:w="1620" w:type="dxa"/>
            <w:vAlign w:val="bottom"/>
          </w:tcPr>
          <w:p>
            <w:pPr>
              <w:ind w:left="98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266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$181,131</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$52,500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$3,390(3)</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25,000</w:t>
            </w:r>
          </w:p>
        </w:tc>
      </w:tr>
      <w:tr>
        <w:trPr>
          <w:trHeight w:val="190"/>
        </w:trPr>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President and Director</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1998</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159,955</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41,085</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2,399(3)</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6,000</w:t>
            </w:r>
          </w:p>
        </w:tc>
      </w:tr>
      <w:tr>
        <w:trPr>
          <w:trHeight w:val="190"/>
        </w:trPr>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1997</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150,035</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2,210(3)</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4,000</w:t>
            </w:r>
          </w:p>
        </w:tc>
      </w:tr>
      <w:tr>
        <w:trPr>
          <w:trHeight w:val="379"/>
        </w:trPr>
        <w:tc>
          <w:tcPr>
            <w:tcW w:w="266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$142,569</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$37,500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$3,192(4)</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8,000</w:t>
            </w:r>
          </w:p>
        </w:tc>
      </w:tr>
      <w:tr>
        <w:trPr>
          <w:trHeight w:val="190"/>
        </w:trPr>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1998</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131,008</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33,300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1,965(4)</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5,000</w:t>
            </w:r>
          </w:p>
        </w:tc>
      </w:tr>
      <w:tr>
        <w:trPr>
          <w:trHeight w:val="190"/>
        </w:trPr>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and Director</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1997</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124,708</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1,791(4)</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5,000</w:t>
            </w:r>
          </w:p>
        </w:tc>
      </w:tr>
      <w:tr>
        <w:trPr>
          <w:trHeight w:val="379"/>
        </w:trPr>
        <w:tc>
          <w:tcPr>
            <w:tcW w:w="266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$112,680</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$33,170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$2,748(5)</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Treasurer and</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1998</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111,584</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28,170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1,674(5)</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3,000</w:t>
            </w:r>
          </w:p>
        </w:tc>
      </w:tr>
      <w:tr>
        <w:trPr>
          <w:trHeight w:val="190"/>
        </w:trPr>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1997</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108,340</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1,625(5)</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4,000</w:t>
            </w:r>
          </w:p>
        </w:tc>
      </w:tr>
      <w:tr>
        <w:trPr>
          <w:trHeight w:val="379"/>
        </w:trPr>
        <w:tc>
          <w:tcPr>
            <w:tcW w:w="266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$104,585</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$27,800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$2,571(6)</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3,000</w:t>
            </w:r>
          </w:p>
        </w:tc>
      </w:tr>
      <w:tr>
        <w:trPr>
          <w:trHeight w:val="190"/>
        </w:trPr>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Vice President</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1998</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101,204</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25,575</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1,518(6)</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3,000</w:t>
            </w:r>
          </w:p>
        </w:tc>
      </w:tr>
      <w:tr>
        <w:trPr>
          <w:trHeight w:val="190"/>
        </w:trPr>
        <w:tc>
          <w:tcPr>
            <w:tcW w:w="2660" w:type="dxa"/>
            <w:vAlign w:val="bottom"/>
          </w:tcPr>
          <w:p>
            <w:pPr>
              <w:ind w:left="200"/>
              <w:spacing w:after="0"/>
              <w:rPr>
                <w:sz w:val="20"/>
                <w:szCs w:val="20"/>
                <w:color w:val="auto"/>
              </w:rPr>
            </w:pPr>
            <w:r>
              <w:rPr>
                <w:rFonts w:ascii="Courier New" w:cs="Courier New" w:eastAsia="Courier New" w:hAnsi="Courier New"/>
                <w:sz w:val="16"/>
                <w:szCs w:val="16"/>
                <w:color w:val="auto"/>
              </w:rPr>
              <w:t>and Director</w:t>
            </w:r>
          </w:p>
        </w:tc>
        <w:tc>
          <w:tcPr>
            <w:tcW w:w="1620" w:type="dxa"/>
            <w:vAlign w:val="bottom"/>
          </w:tcPr>
          <w:p>
            <w:pPr>
              <w:ind w:left="800"/>
              <w:spacing w:after="0"/>
              <w:rPr>
                <w:sz w:val="20"/>
                <w:szCs w:val="20"/>
                <w:color w:val="auto"/>
              </w:rPr>
            </w:pPr>
            <w:r>
              <w:rPr>
                <w:rFonts w:ascii="Courier New" w:cs="Courier New" w:eastAsia="Courier New" w:hAnsi="Courier New"/>
                <w:sz w:val="16"/>
                <w:szCs w:val="16"/>
                <w:color w:val="auto"/>
              </w:rPr>
              <w:t>1997</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98,423</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1,476(6)</w:t>
            </w:r>
          </w:p>
        </w:tc>
        <w:tc>
          <w:tcPr>
            <w:tcW w:w="172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4,000</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700" w:right="2760" w:hanging="699"/>
        <w:spacing w:after="0" w:line="253" w:lineRule="auto"/>
        <w:tabs>
          <w:tab w:leader="none" w:pos="4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Compensation excludes personal benefits received by the named person to the extent that the aggregate amounts thereof were less than 10% of the total of that person's annual salary and bonus.</w:t>
      </w:r>
    </w:p>
    <w:p>
      <w:pPr>
        <w:spacing w:after="0" w:line="185"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bonus earned during the fiscal year.</w:t>
      </w:r>
    </w:p>
    <w:p>
      <w:pPr>
        <w:spacing w:after="0" w:line="197" w:lineRule="exact"/>
        <w:rPr>
          <w:rFonts w:ascii="Courier New" w:cs="Courier New" w:eastAsia="Courier New" w:hAnsi="Courier New"/>
          <w:sz w:val="16"/>
          <w:szCs w:val="16"/>
          <w:color w:val="auto"/>
        </w:rPr>
      </w:pPr>
    </w:p>
    <w:p>
      <w:pPr>
        <w:ind w:left="700" w:right="2840" w:hanging="699"/>
        <w:spacing w:after="0" w:line="253" w:lineRule="auto"/>
        <w:tabs>
          <w:tab w:leader="none" w:pos="4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respective contributions under the Company's 401(k) retirement and Savings Plan and the Company's ESOP: fiscal 1999, $2,400 and $990, fiscal 1998, $2,399 and $0; fiscal 1997 $2,210 and $0.</w:t>
      </w:r>
    </w:p>
    <w:p>
      <w:pPr>
        <w:spacing w:after="0" w:line="185" w:lineRule="exact"/>
        <w:rPr>
          <w:rFonts w:ascii="Courier New" w:cs="Courier New" w:eastAsia="Courier New" w:hAnsi="Courier New"/>
          <w:sz w:val="16"/>
          <w:szCs w:val="16"/>
          <w:color w:val="auto"/>
        </w:rPr>
      </w:pPr>
    </w:p>
    <w:p>
      <w:pPr>
        <w:ind w:left="700" w:right="2840" w:hanging="699"/>
        <w:spacing w:after="0" w:line="253" w:lineRule="auto"/>
        <w:tabs>
          <w:tab w:leader="none" w:pos="4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respective contributions under the Company's 401(k) retirement and Savings Plan and the Company's ESOP: fiscal 1999, $2,400 and $792, fiscal 1998, $1,965 and $0; fiscal 1997 $1,791 and $0.</w:t>
      </w:r>
    </w:p>
    <w:p>
      <w:pPr>
        <w:spacing w:after="0" w:line="185" w:lineRule="exact"/>
        <w:rPr>
          <w:rFonts w:ascii="Courier New" w:cs="Courier New" w:eastAsia="Courier New" w:hAnsi="Courier New"/>
          <w:sz w:val="16"/>
          <w:szCs w:val="16"/>
          <w:color w:val="auto"/>
        </w:rPr>
      </w:pPr>
    </w:p>
    <w:p>
      <w:pPr>
        <w:ind w:left="700" w:right="2840" w:hanging="699"/>
        <w:spacing w:after="0" w:line="253" w:lineRule="auto"/>
        <w:tabs>
          <w:tab w:leader="none" w:pos="4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respective contributions under the Company's 401(k) retirement and Savings Plan and the Company's ESOP: fiscal 1999, $2,203 and $545, fiscal 1998, $1,674 and $0; fiscal 1997 $1,625 and $0.</w:t>
      </w:r>
    </w:p>
    <w:p>
      <w:pPr>
        <w:spacing w:after="0" w:line="185" w:lineRule="exact"/>
        <w:rPr>
          <w:rFonts w:ascii="Courier New" w:cs="Courier New" w:eastAsia="Courier New" w:hAnsi="Courier New"/>
          <w:sz w:val="16"/>
          <w:szCs w:val="16"/>
          <w:color w:val="auto"/>
        </w:rPr>
      </w:pPr>
    </w:p>
    <w:p>
      <w:pPr>
        <w:ind w:left="700" w:right="2840" w:hanging="699"/>
        <w:spacing w:after="0" w:line="253" w:lineRule="auto"/>
        <w:tabs>
          <w:tab w:leader="none" w:pos="40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respective contributions under the Company's 401(k) retirement and Savings Plan and the Company's ESOP: fiscal 1999, $1,952 and $619, fiscal 1998, $1,518 and $0; fiscal 1997 $1,476 and $0.</w:t>
      </w:r>
    </w:p>
    <w:p>
      <w:pPr>
        <w:spacing w:after="0" w:line="37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40"/>
          </w:cols>
          <w:pgMar w:left="240" w:top="875" w:right="11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STOCK OPTIONS AND STOCK APPRECIATION RIGHTS</w:t>
      </w:r>
    </w:p>
    <w:p>
      <w:pPr>
        <w:spacing w:after="0" w:line="198" w:lineRule="exact"/>
        <w:rPr>
          <w:sz w:val="20"/>
          <w:szCs w:val="20"/>
          <w:color w:val="auto"/>
        </w:rPr>
      </w:pPr>
    </w:p>
    <w:p>
      <w:pPr>
        <w:ind w:right="400" w:firstLine="591"/>
        <w:spacing w:after="0" w:line="252" w:lineRule="auto"/>
        <w:rPr>
          <w:sz w:val="20"/>
          <w:szCs w:val="20"/>
          <w:color w:val="auto"/>
        </w:rPr>
      </w:pPr>
      <w:r>
        <w:rPr>
          <w:rFonts w:ascii="Courier New" w:cs="Courier New" w:eastAsia="Courier New" w:hAnsi="Courier New"/>
          <w:sz w:val="16"/>
          <w:szCs w:val="16"/>
          <w:color w:val="auto"/>
        </w:rPr>
        <w:t>The following table sets forth information relating to stock options and stock appreciation rights (SARs) awarded to the executive officers named in the Summary Compensation Table under the Company's 1993 Stock Option Plan during fiscal 1999. No SARs have been awarded by the Company.</w:t>
      </w:r>
    </w:p>
    <w:p>
      <w:pPr>
        <w:spacing w:after="0" w:line="187"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OPTION/SAR GRANTS IN FISCAL 1999</w:t>
      </w:r>
    </w:p>
    <w:p>
      <w:pPr>
        <w:spacing w:after="0" w:line="200" w:lineRule="exact"/>
        <w:rPr>
          <w:sz w:val="20"/>
          <w:szCs w:val="20"/>
          <w:color w:val="auto"/>
        </w:rPr>
      </w:pPr>
    </w:p>
    <w:p>
      <w:pPr>
        <w:spacing w:after="0" w:line="377" w:lineRule="exact"/>
        <w:rPr>
          <w:sz w:val="20"/>
          <w:szCs w:val="20"/>
          <w:color w:val="auto"/>
        </w:rPr>
      </w:pPr>
    </w:p>
    <w:p>
      <w:pPr>
        <w:jc w:val="center"/>
        <w:ind w:left="200"/>
        <w:spacing w:after="0"/>
        <w:rPr>
          <w:sz w:val="20"/>
          <w:szCs w:val="20"/>
          <w:color w:val="auto"/>
        </w:rPr>
      </w:pPr>
      <w:r>
        <w:rPr>
          <w:rFonts w:ascii="Courier New" w:cs="Courier New" w:eastAsia="Courier New" w:hAnsi="Courier New"/>
          <w:sz w:val="16"/>
          <w:szCs w:val="16"/>
          <w:color w:val="auto"/>
        </w:rPr>
        <w:t>Individual Grants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302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9"/>
        </w:trPr>
        <w:tc>
          <w:tcPr>
            <w:tcW w:w="2560" w:type="dxa"/>
            <w:vAlign w:val="bottom"/>
          </w:tcPr>
          <w:p>
            <w:pPr>
              <w:spacing w:after="0"/>
              <w:rPr>
                <w:sz w:val="24"/>
                <w:szCs w:val="24"/>
                <w:color w:val="auto"/>
              </w:rPr>
            </w:pP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Number of</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 of Total</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2560" w:type="dxa"/>
            <w:vAlign w:val="bottom"/>
          </w:tcPr>
          <w:p>
            <w:pPr>
              <w:spacing w:after="0"/>
              <w:rPr>
                <w:sz w:val="16"/>
                <w:szCs w:val="16"/>
                <w:color w:val="auto"/>
              </w:rPr>
            </w:pP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Securities</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Options/SARs</w:t>
            </w:r>
          </w:p>
        </w:tc>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Underlying</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Granted to</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Exercise or</w:t>
            </w:r>
          </w:p>
        </w:tc>
        <w:tc>
          <w:tcPr>
            <w:tcW w:w="118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Options/SARs</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Employees</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Base Price</w:t>
            </w:r>
          </w:p>
        </w:tc>
        <w:tc>
          <w:tcPr>
            <w:tcW w:w="11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Expiration</w:t>
            </w:r>
          </w:p>
        </w:tc>
      </w:tr>
      <w:tr>
        <w:trPr>
          <w:trHeight w:val="190"/>
        </w:trPr>
        <w:tc>
          <w:tcPr>
            <w:tcW w:w="256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Granted(#)</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in 1999</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($/share)</w:t>
            </w:r>
          </w:p>
        </w:tc>
        <w:tc>
          <w:tcPr>
            <w:tcW w:w="1180" w:type="dxa"/>
            <w:vAlign w:val="bottom"/>
          </w:tcPr>
          <w:p>
            <w:pPr>
              <w:jc w:val="center"/>
              <w:ind w:left="118"/>
              <w:spacing w:after="0"/>
              <w:rPr>
                <w:sz w:val="20"/>
                <w:szCs w:val="20"/>
                <w:color w:val="auto"/>
              </w:rPr>
            </w:pPr>
            <w:r>
              <w:rPr>
                <w:rFonts w:ascii="Courier New" w:cs="Courier New" w:eastAsia="Courier New" w:hAnsi="Courier New"/>
                <w:sz w:val="16"/>
                <w:szCs w:val="16"/>
                <w:color w:val="auto"/>
                <w:w w:val="98"/>
              </w:rPr>
              <w:t>Date</w:t>
            </w:r>
          </w:p>
        </w:tc>
      </w:tr>
      <w:tr>
        <w:trPr>
          <w:trHeight w:val="190"/>
        </w:trPr>
        <w:tc>
          <w:tcPr>
            <w:tcW w:w="256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10,000(1)</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11.5%</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13.475</w:t>
            </w:r>
          </w:p>
        </w:tc>
        <w:tc>
          <w:tcPr>
            <w:tcW w:w="11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11/19/2003</w:t>
            </w:r>
          </w:p>
        </w:tc>
      </w:tr>
      <w:tr>
        <w:trPr>
          <w:trHeight w:val="190"/>
        </w:trPr>
        <w:tc>
          <w:tcPr>
            <w:tcW w:w="2560" w:type="dxa"/>
            <w:vAlign w:val="bottom"/>
          </w:tcPr>
          <w:p>
            <w:pPr>
              <w:spacing w:after="0"/>
              <w:rPr>
                <w:sz w:val="16"/>
                <w:szCs w:val="16"/>
                <w:color w:val="auto"/>
              </w:rPr>
            </w:pP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15,000(2)</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17.3%</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10.725</w:t>
            </w:r>
          </w:p>
        </w:tc>
        <w:tc>
          <w:tcPr>
            <w:tcW w:w="11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02/26/2004</w:t>
            </w:r>
          </w:p>
        </w:tc>
      </w:tr>
      <w:tr>
        <w:trPr>
          <w:trHeight w:val="190"/>
        </w:trPr>
        <w:tc>
          <w:tcPr>
            <w:tcW w:w="256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James B. Morgan</w:t>
            </w: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8,000(3)</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9.2%</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12.250</w:t>
            </w:r>
          </w:p>
        </w:tc>
        <w:tc>
          <w:tcPr>
            <w:tcW w:w="11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11/19/2008</w:t>
            </w:r>
          </w:p>
        </w:tc>
      </w:tr>
      <w:tr>
        <w:trPr>
          <w:trHeight w:val="190"/>
        </w:trPr>
        <w:tc>
          <w:tcPr>
            <w:tcW w:w="256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Paul J. Weinand</w:t>
            </w: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2,000(4)</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2.3%</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12.250</w:t>
            </w:r>
          </w:p>
        </w:tc>
        <w:tc>
          <w:tcPr>
            <w:tcW w:w="11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11/19/2008</w:t>
            </w:r>
          </w:p>
        </w:tc>
      </w:tr>
      <w:tr>
        <w:trPr>
          <w:trHeight w:val="190"/>
        </w:trPr>
        <w:tc>
          <w:tcPr>
            <w:tcW w:w="256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5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3,000(5)</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3.5%</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12.250</w:t>
            </w:r>
          </w:p>
        </w:tc>
        <w:tc>
          <w:tcPr>
            <w:tcW w:w="11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11/19/2008</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700" w:right="300" w:hanging="699"/>
        <w:spacing w:after="0" w:line="253" w:lineRule="auto"/>
        <w:tabs>
          <w:tab w:leader="none" w:pos="4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and become first exercisable as follows: 2,000 on November 19, 1999, 2,000 on November 19, 2000, 2,000 on November 19, 2001, 4,000 on November 19, 2002.</w:t>
      </w:r>
    </w:p>
    <w:p>
      <w:pPr>
        <w:spacing w:after="0" w:line="185" w:lineRule="exact"/>
        <w:rPr>
          <w:rFonts w:ascii="Courier New" w:cs="Courier New" w:eastAsia="Courier New" w:hAnsi="Courier New"/>
          <w:sz w:val="16"/>
          <w:szCs w:val="16"/>
          <w:color w:val="auto"/>
        </w:rPr>
      </w:pPr>
    </w:p>
    <w:p>
      <w:pPr>
        <w:ind w:left="700" w:right="300" w:hanging="699"/>
        <w:spacing w:after="0" w:line="253" w:lineRule="auto"/>
        <w:tabs>
          <w:tab w:leader="none" w:pos="4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and become first exercisable as follows: 3,000 on February 26, 2000, 3,000 on February 26, 2001, 3,000 on February 26, 2002, and 6,000 on February 26, 2003.</w:t>
      </w:r>
    </w:p>
    <w:p>
      <w:pPr>
        <w:spacing w:after="0" w:line="185" w:lineRule="exact"/>
        <w:rPr>
          <w:rFonts w:ascii="Courier New" w:cs="Courier New" w:eastAsia="Courier New" w:hAnsi="Courier New"/>
          <w:sz w:val="16"/>
          <w:szCs w:val="16"/>
          <w:color w:val="auto"/>
        </w:rPr>
      </w:pPr>
    </w:p>
    <w:p>
      <w:pPr>
        <w:ind w:left="700" w:right="300" w:hanging="699"/>
        <w:spacing w:after="0" w:line="252" w:lineRule="auto"/>
        <w:tabs>
          <w:tab w:leader="none" w:pos="4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and become first exercisable as follows: 1,600 on November 19, 1999, 1,600 on November 19, 2000, 1,600 on November 19, 2001, 1,600 on November 19, 2002, and 1,600 on November 19, 2003.</w:t>
      </w:r>
    </w:p>
    <w:p>
      <w:pPr>
        <w:spacing w:after="0" w:line="186" w:lineRule="exact"/>
        <w:rPr>
          <w:rFonts w:ascii="Courier New" w:cs="Courier New" w:eastAsia="Courier New" w:hAnsi="Courier New"/>
          <w:sz w:val="16"/>
          <w:szCs w:val="16"/>
          <w:color w:val="auto"/>
        </w:rPr>
      </w:pPr>
    </w:p>
    <w:p>
      <w:pPr>
        <w:ind w:left="700" w:right="480" w:hanging="699"/>
        <w:spacing w:after="0" w:line="252" w:lineRule="auto"/>
        <w:tabs>
          <w:tab w:leader="none" w:pos="4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and become first exercisable as follows: 400 on November 19, 1999, 400 on November 19, 2000, 400 on November 19, 2001, 400 on November 19, 2002, and 400 on November 19, 2003.</w:t>
      </w:r>
    </w:p>
    <w:p>
      <w:pPr>
        <w:spacing w:after="0" w:line="186" w:lineRule="exact"/>
        <w:rPr>
          <w:rFonts w:ascii="Courier New" w:cs="Courier New" w:eastAsia="Courier New" w:hAnsi="Courier New"/>
          <w:sz w:val="16"/>
          <w:szCs w:val="16"/>
          <w:color w:val="auto"/>
        </w:rPr>
      </w:pPr>
    </w:p>
    <w:p>
      <w:pPr>
        <w:ind w:left="700" w:right="480" w:hanging="699"/>
        <w:spacing w:after="0" w:line="252" w:lineRule="auto"/>
        <w:tabs>
          <w:tab w:leader="none" w:pos="40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and become first exercisable as follows: 600 on November 19, 1999, 600 on November 19, 2000, 600 on November 19, 2001, 600 on November 19, 2002, and 600 on November 19, 2003.</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OPTION/SAR EXERCISE AND HOLDINGS</w:t>
      </w:r>
    </w:p>
    <w:p>
      <w:pPr>
        <w:spacing w:after="0" w:line="198" w:lineRule="exact"/>
        <w:rPr>
          <w:sz w:val="20"/>
          <w:szCs w:val="20"/>
          <w:color w:val="auto"/>
        </w:rPr>
      </w:pPr>
    </w:p>
    <w:p>
      <w:pPr>
        <w:ind w:right="300" w:firstLine="591"/>
        <w:spacing w:after="0" w:line="252" w:lineRule="auto"/>
        <w:rPr>
          <w:sz w:val="20"/>
          <w:szCs w:val="20"/>
          <w:color w:val="auto"/>
        </w:rPr>
      </w:pPr>
      <w:r>
        <w:rPr>
          <w:rFonts w:ascii="Courier New" w:cs="Courier New" w:eastAsia="Courier New" w:hAnsi="Courier New"/>
          <w:sz w:val="16"/>
          <w:szCs w:val="16"/>
          <w:color w:val="auto"/>
        </w:rPr>
        <w:t>The following table sets forth information relating to unexercised options held as of May 1, 1999 by the executive officers named in the Summary Compensation Table. No stock options granted under the Daktronics, Inc. 1993 Stock Option Plan were exercised in fiscal 1999.</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hanging="393"/>
        <w:spacing w:after="0" w:line="251" w:lineRule="auto"/>
        <w:rPr>
          <w:sz w:val="20"/>
          <w:szCs w:val="20"/>
          <w:color w:val="auto"/>
        </w:rPr>
      </w:pPr>
      <w:r>
        <w:rPr>
          <w:rFonts w:ascii="Courier New" w:cs="Courier New" w:eastAsia="Courier New" w:hAnsi="Courier New"/>
          <w:sz w:val="16"/>
          <w:szCs w:val="16"/>
          <w:color w:val="auto"/>
        </w:rPr>
        <w:t>Potential Realizable Value at Assumed Annual Rates of</w:t>
      </w:r>
    </w:p>
    <w:p>
      <w:pPr>
        <w:ind w:left="880" w:hanging="788"/>
        <w:spacing w:after="0" w:line="251" w:lineRule="auto"/>
        <w:rPr>
          <w:sz w:val="20"/>
          <w:szCs w:val="20"/>
          <w:color w:val="auto"/>
        </w:rPr>
      </w:pPr>
      <w:r>
        <w:rPr>
          <w:rFonts w:ascii="Courier New" w:cs="Courier New" w:eastAsia="Courier New" w:hAnsi="Courier New"/>
          <w:sz w:val="16"/>
          <w:szCs w:val="16"/>
          <w:color w:val="auto"/>
        </w:rPr>
        <w:t>Stock Price Appreciation for Option Term</w:t>
      </w: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680"/>
        <w:spacing w:after="0"/>
        <w:tabs>
          <w:tab w:leader="none" w:pos="196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10%</w:t>
      </w:r>
    </w:p>
    <w:p>
      <w:pPr>
        <w:spacing w:after="0" w:line="8" w:lineRule="exact"/>
        <w:rPr>
          <w:sz w:val="20"/>
          <w:szCs w:val="20"/>
          <w:color w:val="auto"/>
        </w:rPr>
      </w:pPr>
    </w:p>
    <w:p>
      <w:pPr>
        <w:ind w:left="1980" w:hanging="1290"/>
        <w:spacing w:after="0"/>
        <w:tabs>
          <w:tab w:leader="none" w:pos="19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6"/>
          <w:szCs w:val="16"/>
          <w:color w:val="auto"/>
        </w:rPr>
        <w:t>37,229</w:t>
      </w:r>
      <w:r>
        <w:rPr>
          <w:sz w:val="20"/>
          <w:szCs w:val="20"/>
          <w:color w:val="auto"/>
        </w:rPr>
        <w:tab/>
      </w:r>
      <w:r>
        <w:rPr>
          <w:rFonts w:ascii="Courier New" w:cs="Courier New" w:eastAsia="Courier New" w:hAnsi="Courier New"/>
          <w:sz w:val="16"/>
          <w:szCs w:val="16"/>
          <w:color w:val="auto"/>
        </w:rPr>
        <w:t>82,266</w:t>
      </w:r>
    </w:p>
    <w:p>
      <w:pPr>
        <w:spacing w:after="0" w:line="8"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38,447</w:t>
      </w:r>
      <w:r>
        <w:rPr>
          <w:sz w:val="20"/>
          <w:szCs w:val="20"/>
          <w:color w:val="auto"/>
        </w:rPr>
        <w:tab/>
      </w:r>
      <w:r>
        <w:rPr>
          <w:rFonts w:ascii="Courier New" w:cs="Courier New" w:eastAsia="Courier New" w:hAnsi="Courier New"/>
          <w:sz w:val="16"/>
          <w:szCs w:val="16"/>
          <w:color w:val="auto"/>
        </w:rPr>
        <w:t>101,879</w:t>
      </w:r>
    </w:p>
    <w:p>
      <w:pPr>
        <w:spacing w:after="0" w:line="8"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61,632</w:t>
      </w:r>
      <w:r>
        <w:rPr>
          <w:sz w:val="20"/>
          <w:szCs w:val="20"/>
          <w:color w:val="auto"/>
        </w:rPr>
        <w:tab/>
      </w:r>
      <w:r>
        <w:rPr>
          <w:rFonts w:ascii="Courier New" w:cs="Courier New" w:eastAsia="Courier New" w:hAnsi="Courier New"/>
          <w:sz w:val="16"/>
          <w:szCs w:val="16"/>
          <w:color w:val="auto"/>
        </w:rPr>
        <w:t>156,187</w:t>
      </w:r>
    </w:p>
    <w:p>
      <w:pPr>
        <w:spacing w:after="0" w:line="8"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6"/>
          <w:szCs w:val="16"/>
          <w:color w:val="auto"/>
        </w:rPr>
        <w:t>15,408</w:t>
      </w:r>
      <w:r>
        <w:rPr>
          <w:sz w:val="20"/>
          <w:szCs w:val="20"/>
          <w:color w:val="auto"/>
        </w:rPr>
        <w:tab/>
      </w:r>
      <w:r>
        <w:rPr>
          <w:rFonts w:ascii="Courier New" w:cs="Courier New" w:eastAsia="Courier New" w:hAnsi="Courier New"/>
          <w:sz w:val="16"/>
          <w:szCs w:val="16"/>
          <w:color w:val="auto"/>
        </w:rPr>
        <w:t>39,047</w:t>
      </w:r>
    </w:p>
    <w:p>
      <w:pPr>
        <w:spacing w:after="0" w:line="8"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6"/>
          <w:szCs w:val="16"/>
          <w:color w:val="auto"/>
        </w:rPr>
        <w:t>23,112</w:t>
      </w:r>
      <w:r>
        <w:rPr>
          <w:sz w:val="20"/>
          <w:szCs w:val="20"/>
          <w:color w:val="auto"/>
        </w:rPr>
        <w:tab/>
      </w:r>
      <w:r>
        <w:rPr>
          <w:rFonts w:ascii="Courier New" w:cs="Courier New" w:eastAsia="Courier New" w:hAnsi="Courier New"/>
          <w:sz w:val="16"/>
          <w:szCs w:val="16"/>
          <w:color w:val="auto"/>
        </w:rPr>
        <w:t>58,570</w:t>
      </w:r>
    </w:p>
    <w:p>
      <w:pPr>
        <w:sectPr>
          <w:pgSz w:w="11900" w:h="16838" w:orient="portrait"/>
          <w:cols w:equalWidth="0" w:num="2">
            <w:col w:w="8180" w:space="300"/>
            <w:col w:w="2860"/>
          </w:cols>
          <w:pgMar w:left="240" w:top="875" w:right="319" w:bottom="1440" w:gutter="0" w:footer="0" w:header="0"/>
        </w:sectPr>
      </w:pPr>
    </w:p>
    <w:bookmarkStart w:id="8" w:name="page9"/>
    <w:bookmarkEnd w:id="8"/>
    <w:p>
      <w:pPr>
        <w:jc w:val="center"/>
        <w:ind w:right="3640"/>
        <w:spacing w:after="0"/>
        <w:rPr>
          <w:sz w:val="20"/>
          <w:szCs w:val="20"/>
          <w:color w:val="auto"/>
        </w:rPr>
      </w:pPr>
      <w:r>
        <w:rPr>
          <w:rFonts w:ascii="Courier New" w:cs="Courier New" w:eastAsia="Courier New" w:hAnsi="Courier New"/>
          <w:sz w:val="16"/>
          <w:szCs w:val="16"/>
          <w:color w:val="auto"/>
        </w:rPr>
        <w:t>AGGREGATED OPTION/SAR EXERCISES IN FISCAL 1999</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AND OPTION/SAR VALUES AT MAY 1, 1999</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6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Number of Unexercised</w:t>
            </w:r>
          </w:p>
        </w:tc>
        <w:tc>
          <w:tcPr>
            <w:tcW w:w="284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Value of Unexercised</w:t>
            </w:r>
          </w:p>
        </w:tc>
      </w:tr>
      <w:tr>
        <w:trPr>
          <w:trHeight w:val="190"/>
        </w:trPr>
        <w:tc>
          <w:tcPr>
            <w:tcW w:w="2560" w:type="dxa"/>
            <w:vAlign w:val="bottom"/>
          </w:tcPr>
          <w:p>
            <w:pPr>
              <w:spacing w:after="0"/>
              <w:rPr>
                <w:sz w:val="16"/>
                <w:szCs w:val="16"/>
                <w:color w:val="auto"/>
              </w:rPr>
            </w:pP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Shares</w:t>
            </w:r>
          </w:p>
        </w:tc>
        <w:tc>
          <w:tcPr>
            <w:tcW w:w="16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Underlying</w:t>
            </w:r>
          </w:p>
        </w:tc>
        <w:tc>
          <w:tcPr>
            <w:tcW w:w="284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In-the Money</w:t>
            </w:r>
          </w:p>
        </w:tc>
      </w:tr>
      <w:tr>
        <w:trPr>
          <w:trHeight w:val="190"/>
        </w:trPr>
        <w:tc>
          <w:tcPr>
            <w:tcW w:w="2560" w:type="dxa"/>
            <w:vAlign w:val="bottom"/>
          </w:tcPr>
          <w:p>
            <w:pPr>
              <w:spacing w:after="0"/>
              <w:rPr>
                <w:sz w:val="16"/>
                <w:szCs w:val="16"/>
                <w:color w:val="auto"/>
              </w:rPr>
            </w:pP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Acquired</w:t>
            </w:r>
          </w:p>
        </w:tc>
        <w:tc>
          <w:tcPr>
            <w:tcW w:w="16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Options/SARs</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at 5/01/99(#)</w:t>
            </w:r>
          </w:p>
        </w:tc>
        <w:tc>
          <w:tcPr>
            <w:tcW w:w="2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Options/SARs at 5/01/99($)</w:t>
            </w:r>
          </w:p>
        </w:tc>
      </w:tr>
      <w:tr>
        <w:trPr>
          <w:trHeight w:val="190"/>
        </w:trPr>
        <w:tc>
          <w:tcPr>
            <w:tcW w:w="2560" w:type="dxa"/>
            <w:vAlign w:val="bottom"/>
          </w:tcPr>
          <w:p>
            <w:pPr>
              <w:spacing w:after="0"/>
              <w:rPr>
                <w:sz w:val="16"/>
                <w:szCs w:val="16"/>
                <w:color w:val="auto"/>
              </w:rPr>
            </w:pP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on</w:t>
            </w:r>
          </w:p>
        </w:tc>
        <w:tc>
          <w:tcPr>
            <w:tcW w:w="1680" w:type="dxa"/>
            <w:vAlign w:val="bottom"/>
          </w:tcPr>
          <w:p>
            <w:pPr>
              <w:jc w:val="center"/>
              <w:ind w:left="118"/>
              <w:spacing w:after="0"/>
              <w:rPr>
                <w:sz w:val="20"/>
                <w:szCs w:val="20"/>
                <w:color w:val="auto"/>
              </w:rPr>
            </w:pPr>
            <w:r>
              <w:rPr>
                <w:rFonts w:ascii="Courier New" w:cs="Courier New" w:eastAsia="Courier New" w:hAnsi="Courier New"/>
                <w:sz w:val="16"/>
                <w:szCs w:val="16"/>
                <w:color w:val="auto"/>
                <w:w w:val="99"/>
              </w:rPr>
              <w:t>Value</w:t>
            </w:r>
          </w:p>
        </w:tc>
        <w:tc>
          <w:tcPr>
            <w:tcW w:w="30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560" w:type="dxa"/>
            <w:vAlign w:val="bottom"/>
          </w:tcPr>
          <w:p>
            <w:pPr>
              <w:ind w:left="980"/>
              <w:spacing w:after="0"/>
              <w:rPr>
                <w:sz w:val="20"/>
                <w:szCs w:val="20"/>
                <w:color w:val="auto"/>
              </w:rPr>
            </w:pPr>
            <w:r>
              <w:rPr>
                <w:rFonts w:ascii="Courier New" w:cs="Courier New" w:eastAsia="Courier New" w:hAnsi="Courier New"/>
                <w:sz w:val="16"/>
                <w:szCs w:val="16"/>
                <w:color w:val="auto"/>
              </w:rPr>
              <w:t>Name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16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Realized($)</w:t>
            </w:r>
          </w:p>
        </w:tc>
        <w:tc>
          <w:tcPr>
            <w:tcW w:w="15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Exercisable</w:t>
            </w: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Unexercisable</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Exercisable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Unexercisable</w:t>
            </w:r>
          </w:p>
        </w:tc>
      </w:tr>
      <w:tr>
        <w:trPr>
          <w:trHeight w:val="190"/>
        </w:trPr>
        <w:tc>
          <w:tcPr>
            <w:tcW w:w="2560" w:type="dxa"/>
            <w:vAlign w:val="bottom"/>
          </w:tcPr>
          <w:p>
            <w:pPr>
              <w:ind w:left="9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jc w:val="center"/>
              <w:ind w:left="138"/>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16,800</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36,200</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54,993</w:t>
            </w:r>
          </w:p>
        </w:tc>
        <w:tc>
          <w:tcPr>
            <w:tcW w:w="14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45,645</w:t>
            </w:r>
          </w:p>
        </w:tc>
      </w:tr>
      <w:tr>
        <w:trPr>
          <w:trHeight w:val="190"/>
        </w:trPr>
        <w:tc>
          <w:tcPr>
            <w:tcW w:w="256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jc w:val="center"/>
              <w:ind w:left="138"/>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26,200</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19,800</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83,338</w:t>
            </w:r>
          </w:p>
        </w:tc>
        <w:tc>
          <w:tcPr>
            <w:tcW w:w="14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53,413</w:t>
            </w:r>
          </w:p>
        </w:tc>
      </w:tr>
      <w:tr>
        <w:trPr>
          <w:trHeight w:val="190"/>
        </w:trPr>
        <w:tc>
          <w:tcPr>
            <w:tcW w:w="256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jc w:val="center"/>
              <w:ind w:left="138"/>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23,400</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11,600</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74,738</w:t>
            </w:r>
          </w:p>
        </w:tc>
        <w:tc>
          <w:tcPr>
            <w:tcW w:w="14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42,700</w:t>
            </w:r>
          </w:p>
        </w:tc>
      </w:tr>
      <w:tr>
        <w:trPr>
          <w:trHeight w:val="190"/>
        </w:trPr>
        <w:tc>
          <w:tcPr>
            <w:tcW w:w="256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w:t>
            </w:r>
          </w:p>
        </w:tc>
        <w:tc>
          <w:tcPr>
            <w:tcW w:w="1680" w:type="dxa"/>
            <w:vAlign w:val="bottom"/>
          </w:tcPr>
          <w:p>
            <w:pPr>
              <w:jc w:val="center"/>
              <w:ind w:left="138"/>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22,400</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12,600</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72,488</w:t>
            </w:r>
          </w:p>
        </w:tc>
        <w:tc>
          <w:tcPr>
            <w:tcW w:w="14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42,700</w:t>
            </w:r>
          </w:p>
        </w:tc>
      </w:tr>
      <w:tr>
        <w:trPr>
          <w:trHeight w:val="758"/>
        </w:trPr>
        <w:tc>
          <w:tcPr>
            <w:tcW w:w="2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jc w:val="right"/>
              <w:ind w:right="1498"/>
              <w:spacing w:after="0"/>
              <w:rPr>
                <w:sz w:val="20"/>
                <w:szCs w:val="20"/>
                <w:color w:val="auto"/>
              </w:rPr>
            </w:pPr>
            <w:r>
              <w:rPr>
                <w:rFonts w:ascii="Courier New" w:cs="Courier New" w:eastAsia="Courier New" w:hAnsi="Courier New"/>
                <w:sz w:val="16"/>
                <w:szCs w:val="16"/>
                <w:color w:val="auto"/>
                <w:w w:val="82"/>
              </w:rPr>
              <w:t>7</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520"/>
          </w:cols>
          <w:pgMar w:left="240" w:top="875" w:right="139" w:bottom="1440" w:gutter="0" w:footer="0" w:header="0"/>
        </w:sectPr>
      </w:pPr>
    </w:p>
    <w:bookmarkStart w:id="9" w:name="page10"/>
    <w:bookmarkEnd w:id="9"/>
    <w:p>
      <w:pPr>
        <w:ind w:left="3160"/>
        <w:spacing w:after="0"/>
        <w:rPr>
          <w:sz w:val="20"/>
          <w:szCs w:val="20"/>
          <w:color w:val="auto"/>
        </w:rPr>
      </w:pPr>
      <w:r>
        <w:rPr>
          <w:rFonts w:ascii="Courier New" w:cs="Courier New" w:eastAsia="Courier New" w:hAnsi="Courier New"/>
          <w:sz w:val="16"/>
          <w:szCs w:val="16"/>
          <w:color w:val="auto"/>
        </w:rPr>
        <w:t>PERFORMANCE GRAPH</w:t>
      </w:r>
    </w:p>
    <w:p>
      <w:pPr>
        <w:spacing w:after="0" w:line="388" w:lineRule="exact"/>
        <w:rPr>
          <w:sz w:val="20"/>
          <w:szCs w:val="20"/>
          <w:color w:val="auto"/>
        </w:rPr>
      </w:pPr>
    </w:p>
    <w:p>
      <w:pPr>
        <w:ind w:right="2339" w:firstLine="591"/>
        <w:spacing w:after="0" w:line="252" w:lineRule="auto"/>
        <w:rPr>
          <w:sz w:val="20"/>
          <w:szCs w:val="20"/>
          <w:color w:val="auto"/>
        </w:rPr>
      </w:pPr>
      <w:r>
        <w:rPr>
          <w:rFonts w:ascii="Courier New" w:cs="Courier New" w:eastAsia="Courier New" w:hAnsi="Courier New"/>
          <w:sz w:val="16"/>
          <w:szCs w:val="16"/>
          <w:color w:val="auto"/>
        </w:rPr>
        <w:t>The following graph illustrates a comparison of cumulative total returns for the Company vs. the NASDAQ Market Index and the Media General Industry Group Index (MG Group Index) from April 24, 1994 to May 1, 1999. The graph assumes a $100 initial investment.</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[PL0T POINTS GRAPH]</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20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04-29-94</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04-28-95</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04-26-96</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05-02-97</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05-01-98</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04-30-99</w:t>
            </w:r>
          </w:p>
        </w:tc>
      </w:tr>
      <w:tr>
        <w:trPr>
          <w:trHeight w:val="190"/>
        </w:trPr>
        <w:tc>
          <w:tcPr>
            <w:tcW w:w="2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379"/>
        </w:trPr>
        <w:tc>
          <w:tcPr>
            <w:tcW w:w="2020" w:type="dxa"/>
            <w:vAlign w:val="bottom"/>
          </w:tcPr>
          <w:p>
            <w:pPr>
              <w:spacing w:after="0"/>
              <w:rPr>
                <w:sz w:val="20"/>
                <w:szCs w:val="20"/>
                <w:color w:val="auto"/>
              </w:rPr>
            </w:pPr>
            <w:r>
              <w:rPr>
                <w:rFonts w:ascii="Courier New" w:cs="Courier New" w:eastAsia="Courier New" w:hAnsi="Courier New"/>
                <w:sz w:val="16"/>
                <w:szCs w:val="16"/>
                <w:color w:val="auto"/>
              </w:rPr>
              <w:t>Daktronics, Inc.</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ind w:left="260"/>
              <w:spacing w:after="0"/>
              <w:rPr>
                <w:sz w:val="20"/>
                <w:szCs w:val="20"/>
                <w:color w:val="auto"/>
              </w:rPr>
            </w:pPr>
            <w:r>
              <w:rPr>
                <w:rFonts w:ascii="Courier New" w:cs="Courier New" w:eastAsia="Courier New" w:hAnsi="Courier New"/>
                <w:sz w:val="16"/>
                <w:szCs w:val="16"/>
                <w:color w:val="auto"/>
              </w:rPr>
              <w:t>$81.43</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$44.29</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$45.71</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$92.86</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$112.86</w:t>
            </w:r>
          </w:p>
        </w:tc>
      </w:tr>
      <w:tr>
        <w:trPr>
          <w:trHeight w:val="190"/>
        </w:trPr>
        <w:tc>
          <w:tcPr>
            <w:tcW w:w="2020" w:type="dxa"/>
            <w:vAlign w:val="bottom"/>
          </w:tcPr>
          <w:p>
            <w:pPr>
              <w:spacing w:after="0"/>
              <w:rPr>
                <w:sz w:val="20"/>
                <w:szCs w:val="20"/>
                <w:color w:val="auto"/>
              </w:rPr>
            </w:pPr>
            <w:r>
              <w:rPr>
                <w:rFonts w:ascii="Courier New" w:cs="Courier New" w:eastAsia="Courier New" w:hAnsi="Courier New"/>
                <w:sz w:val="16"/>
                <w:szCs w:val="16"/>
                <w:color w:val="auto"/>
              </w:rPr>
              <w:t>MG Group Index</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$124.97</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$151.75</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$180.37</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$256.74</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$251.67</w:t>
            </w:r>
          </w:p>
        </w:tc>
      </w:tr>
      <w:tr>
        <w:trPr>
          <w:trHeight w:val="190"/>
        </w:trPr>
        <w:tc>
          <w:tcPr>
            <w:tcW w:w="2020" w:type="dxa"/>
            <w:vAlign w:val="bottom"/>
          </w:tcPr>
          <w:p>
            <w:pPr>
              <w:spacing w:after="0"/>
              <w:rPr>
                <w:sz w:val="20"/>
                <w:szCs w:val="20"/>
                <w:color w:val="auto"/>
              </w:rPr>
            </w:pPr>
            <w:r>
              <w:rPr>
                <w:rFonts w:ascii="Courier New" w:cs="Courier New" w:eastAsia="Courier New" w:hAnsi="Courier New"/>
                <w:sz w:val="16"/>
                <w:szCs w:val="16"/>
                <w:color w:val="auto"/>
              </w:rPr>
              <w:t>NASDAQ Market Index</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$109.19</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$152.42</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$162.47</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$241.31</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$318.66</w:t>
            </w:r>
          </w:p>
        </w:tc>
      </w:tr>
      <w:tr>
        <w:trPr>
          <w:trHeight w:val="569"/>
        </w:trPr>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ind w:left="840"/>
              <w:spacing w:after="0"/>
              <w:rPr>
                <w:sz w:val="20"/>
                <w:szCs w:val="20"/>
                <w:color w:val="auto"/>
              </w:rPr>
            </w:pPr>
            <w:r>
              <w:rPr>
                <w:rFonts w:ascii="Courier New" w:cs="Courier New" w:eastAsia="Courier New" w:hAnsi="Courier New"/>
                <w:sz w:val="16"/>
                <w:szCs w:val="16"/>
                <w:color w:val="auto"/>
              </w:rPr>
              <w:t>8</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875" w:right="1440" w:bottom="1440" w:gutter="0" w:footer="0" w:header="0"/>
        </w:sectPr>
      </w:pPr>
    </w:p>
    <w:bookmarkStart w:id="10" w:name="page11"/>
    <w:bookmarkEnd w:id="10"/>
    <w:p>
      <w:pPr>
        <w:ind w:left="2180"/>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COMPENSATION</w:t>
      </w:r>
    </w:p>
    <w:p>
      <w:pPr>
        <w:spacing w:after="0" w:line="198" w:lineRule="exact"/>
        <w:rPr>
          <w:sz w:val="20"/>
          <w:szCs w:val="20"/>
          <w:color w:val="auto"/>
        </w:rPr>
      </w:pPr>
    </w:p>
    <w:p>
      <w:pPr>
        <w:ind w:right="2519" w:firstLine="591"/>
        <w:spacing w:after="0" w:line="253" w:lineRule="auto"/>
        <w:rPr>
          <w:sz w:val="20"/>
          <w:szCs w:val="20"/>
          <w:color w:val="auto"/>
        </w:rPr>
      </w:pPr>
      <w:r>
        <w:rPr>
          <w:rFonts w:ascii="Courier New" w:cs="Courier New" w:eastAsia="Courier New" w:hAnsi="Courier New"/>
          <w:sz w:val="16"/>
          <w:szCs w:val="16"/>
          <w:color w:val="auto"/>
        </w:rPr>
        <w:t>DETERMINATION OF BASE SALARY The Company's compensation philosophy is to target executive salaries close to the median market rate paid for comparable positions within the Midwest region for similar size companies.</w:t>
      </w:r>
    </w:p>
    <w:p>
      <w:pPr>
        <w:spacing w:after="0" w:line="185" w:lineRule="exact"/>
        <w:rPr>
          <w:sz w:val="20"/>
          <w:szCs w:val="20"/>
          <w:color w:val="auto"/>
        </w:rPr>
      </w:pPr>
    </w:p>
    <w:p>
      <w:pPr>
        <w:ind w:right="2439" w:firstLine="591"/>
        <w:spacing w:after="0" w:line="252" w:lineRule="auto"/>
        <w:rPr>
          <w:sz w:val="20"/>
          <w:szCs w:val="20"/>
          <w:color w:val="auto"/>
        </w:rPr>
      </w:pPr>
      <w:r>
        <w:rPr>
          <w:rFonts w:ascii="Courier New" w:cs="Courier New" w:eastAsia="Courier New" w:hAnsi="Courier New"/>
          <w:sz w:val="16"/>
          <w:szCs w:val="16"/>
          <w:color w:val="auto"/>
        </w:rPr>
        <w:t>The Compensation Committee reviewed base salaries for executive officers in August 1998. Company fiscal 1998 performance was also considered. Based upon this review, the Committee approved adjusting the base salary of Aelred Kurtenbach 28% and the base salaries of the other executive officers an average of 7%. Salaries are reviewed annually.</w:t>
      </w:r>
    </w:p>
    <w:p>
      <w:pPr>
        <w:spacing w:after="0" w:line="186" w:lineRule="exact"/>
        <w:rPr>
          <w:sz w:val="20"/>
          <w:szCs w:val="20"/>
          <w:color w:val="auto"/>
        </w:rPr>
      </w:pPr>
    </w:p>
    <w:p>
      <w:pPr>
        <w:ind w:right="2439" w:firstLine="591"/>
        <w:spacing w:after="0" w:line="251" w:lineRule="auto"/>
        <w:rPr>
          <w:sz w:val="20"/>
          <w:szCs w:val="20"/>
          <w:color w:val="auto"/>
        </w:rPr>
      </w:pPr>
      <w:r>
        <w:rPr>
          <w:rFonts w:ascii="Courier New" w:cs="Courier New" w:eastAsia="Courier New" w:hAnsi="Courier New"/>
          <w:sz w:val="16"/>
          <w:szCs w:val="16"/>
          <w:color w:val="auto"/>
        </w:rPr>
        <w:t>DETERMINATION OF BONUS For fiscal 1999, the Committee chose a formula based performance bonus plan for the executive officers. The bonus consists of one months salary provided that after tax earnings exceed 12.5% of beginning stockholders equity. The bonus increases yearly with performance improvement to a maximum bonus of three months salary at the point that after tax earnings exceed 16.5% of beginning stockholders equity. For Fiscal 1999, the executive officers earned the maximum bonus under the plan.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BASED COMPENSATION</w:t>
      </w:r>
    </w:p>
    <w:p>
      <w:pPr>
        <w:spacing w:after="0" w:line="198"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In November 1993, the Board of Directors of the Company adopted the Daktronics, Inc. 1993 Stock Option Plan (the "Option Plan") which was approved by the shareholders in December 1993 and amended in August 1998. The Committee determines awards under this plan for executive officers and approves awards for other employees based upon the recommendation of the Company's executive officers. In November 1998, the Committee awarded Aelred Kurtenbach an option to purchase a total of 10,000 shares of Common Stock and allowed 65,000 shares to be granted per Aelred Kurtenbach's discretion.</w:t>
      </w:r>
    </w:p>
    <w:p>
      <w:pPr>
        <w:spacing w:after="0" w:line="190" w:lineRule="exact"/>
        <w:rPr>
          <w:sz w:val="20"/>
          <w:szCs w:val="20"/>
          <w:color w:val="auto"/>
        </w:rPr>
      </w:pPr>
    </w:p>
    <w:p>
      <w:pPr>
        <w:ind w:right="2439" w:firstLine="591"/>
        <w:spacing w:after="0" w:line="251" w:lineRule="auto"/>
        <w:rPr>
          <w:sz w:val="20"/>
          <w:szCs w:val="20"/>
          <w:color w:val="auto"/>
        </w:rPr>
      </w:pPr>
      <w:r>
        <w:rPr>
          <w:rFonts w:ascii="Courier New" w:cs="Courier New" w:eastAsia="Courier New" w:hAnsi="Courier New"/>
          <w:sz w:val="16"/>
          <w:szCs w:val="16"/>
          <w:color w:val="auto"/>
        </w:rPr>
        <w:t>The exercise price per share of these options was established as the average between the closing bid and asked price quotations for the Common Stock as reported by the National Association of Securities Dealers Automatic Quotation System (NASDAQ) on November 19, 1998, which was $12.250 Subject to accelerated vesting upon "change in control" of the Company as defined in the Option Plan, the outstanding options generally vest 20% each year commencing November 19, 1999.</w:t>
      </w:r>
    </w:p>
    <w:p>
      <w:pPr>
        <w:spacing w:after="0" w:line="190" w:lineRule="exact"/>
        <w:rPr>
          <w:sz w:val="20"/>
          <w:szCs w:val="20"/>
          <w:color w:val="auto"/>
        </w:rPr>
      </w:pPr>
    </w:p>
    <w:p>
      <w:pPr>
        <w:ind w:right="2519" w:firstLine="591"/>
        <w:spacing w:after="0" w:line="253" w:lineRule="auto"/>
        <w:rPr>
          <w:sz w:val="20"/>
          <w:szCs w:val="20"/>
          <w:color w:val="auto"/>
        </w:rPr>
      </w:pPr>
      <w:r>
        <w:rPr>
          <w:rFonts w:ascii="Courier New" w:cs="Courier New" w:eastAsia="Courier New" w:hAnsi="Courier New"/>
          <w:sz w:val="16"/>
          <w:szCs w:val="16"/>
          <w:color w:val="auto"/>
        </w:rPr>
        <w:t>In addition, the Committee met in February 1999 and made a special award of 15,000 options to Aelred Kurtenbach at a price computed as described above which was $10.725.</w:t>
      </w:r>
    </w:p>
    <w:p>
      <w:pPr>
        <w:spacing w:after="0" w:line="185" w:lineRule="exact"/>
        <w:rPr>
          <w:sz w:val="20"/>
          <w:szCs w:val="20"/>
          <w:color w:val="auto"/>
        </w:rPr>
      </w:pPr>
    </w:p>
    <w:p>
      <w:pPr>
        <w:ind w:right="2519" w:firstLine="591"/>
        <w:spacing w:after="0" w:line="251" w:lineRule="auto"/>
        <w:rPr>
          <w:sz w:val="20"/>
          <w:szCs w:val="20"/>
          <w:color w:val="auto"/>
        </w:rPr>
      </w:pPr>
      <w:r>
        <w:rPr>
          <w:rFonts w:ascii="Courier New" w:cs="Courier New" w:eastAsia="Courier New" w:hAnsi="Courier New"/>
          <w:sz w:val="16"/>
          <w:szCs w:val="16"/>
          <w:color w:val="auto"/>
        </w:rPr>
        <w:t>The Committee's basis for these awards was the Company's performance, as measured in increased net sales and results of operations, over the last three years and review of awards by the comparable companies. The number of options granted to the executive officers, including the Chief Executive Officer, was less than the average of the comparable companies for similar positions. The terms of these options, including duration, vesting, and exercise price were similar to that of the comparable companies.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CHIEF EXECUTIVE OFFICER</w:t>
      </w:r>
    </w:p>
    <w:p>
      <w:pPr>
        <w:spacing w:after="0" w:line="198" w:lineRule="exact"/>
        <w:rPr>
          <w:sz w:val="20"/>
          <w:szCs w:val="20"/>
          <w:color w:val="auto"/>
        </w:rPr>
      </w:pPr>
    </w:p>
    <w:p>
      <w:pPr>
        <w:ind w:right="2339" w:firstLine="591"/>
        <w:spacing w:after="0" w:line="255" w:lineRule="auto"/>
        <w:rPr>
          <w:sz w:val="20"/>
          <w:szCs w:val="20"/>
          <w:color w:val="auto"/>
        </w:rPr>
      </w:pPr>
      <w:r>
        <w:rPr>
          <w:rFonts w:ascii="Courier New" w:cs="Courier New" w:eastAsia="Courier New" w:hAnsi="Courier New"/>
          <w:sz w:val="16"/>
          <w:szCs w:val="16"/>
          <w:color w:val="auto"/>
        </w:rPr>
        <w:t>The Committee determined the Chief Executive Officer's compensation in the same manner described above for all executive officers of the Company.</w:t>
      </w:r>
    </w:p>
    <w:p>
      <w:pPr>
        <w:spacing w:after="0" w:line="184" w:lineRule="exact"/>
        <w:rPr>
          <w:sz w:val="20"/>
          <w:szCs w:val="20"/>
          <w:color w:val="auto"/>
        </w:rPr>
      </w:pPr>
    </w:p>
    <w:p>
      <w:pPr>
        <w:ind w:right="2339" w:firstLine="591"/>
        <w:spacing w:after="0" w:line="255" w:lineRule="auto"/>
        <w:rPr>
          <w:sz w:val="20"/>
          <w:szCs w:val="20"/>
          <w:color w:val="auto"/>
        </w:rPr>
      </w:pPr>
      <w:r>
        <w:rPr>
          <w:rFonts w:ascii="Courier New" w:cs="Courier New" w:eastAsia="Courier New" w:hAnsi="Courier New"/>
          <w:sz w:val="16"/>
          <w:szCs w:val="16"/>
          <w:color w:val="auto"/>
        </w:rPr>
        <w:t>BASE SALARY The Committee recommended Dr. Kurtenbach's salary be increased 28% to $210,000, commencing November 1998.</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75" w:right="1440" w:bottom="1440" w:gutter="0" w:footer="0" w:header="0"/>
        </w:sectPr>
      </w:pPr>
    </w:p>
    <w:bookmarkStart w:id="11" w:name="page12"/>
    <w:bookmarkEnd w:id="11"/>
    <w:p>
      <w:pPr>
        <w:ind w:left="600"/>
        <w:spacing w:after="0"/>
        <w:rPr>
          <w:sz w:val="20"/>
          <w:szCs w:val="20"/>
          <w:color w:val="auto"/>
        </w:rPr>
      </w:pPr>
      <w:r>
        <w:rPr>
          <w:rFonts w:ascii="Courier New" w:cs="Courier New" w:eastAsia="Courier New" w:hAnsi="Courier New"/>
          <w:sz w:val="16"/>
          <w:szCs w:val="16"/>
          <w:color w:val="auto"/>
        </w:rPr>
        <w:t>DETERMINATION OF BONUS Based upon the bonus plan described above, Dr.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Kurtenbach earned a bonus of $52,500 for fiscal 1999.</w:t>
      </w:r>
    </w:p>
    <w:p>
      <w:pPr>
        <w:spacing w:after="0" w:line="198" w:lineRule="exact"/>
        <w:rPr>
          <w:sz w:val="20"/>
          <w:szCs w:val="20"/>
          <w:color w:val="auto"/>
        </w:rPr>
      </w:pPr>
    </w:p>
    <w:p>
      <w:pPr>
        <w:ind w:right="2439" w:firstLine="591"/>
        <w:spacing w:after="0" w:line="253" w:lineRule="auto"/>
        <w:rPr>
          <w:sz w:val="20"/>
          <w:szCs w:val="20"/>
          <w:color w:val="auto"/>
        </w:rPr>
      </w:pPr>
      <w:r>
        <w:rPr>
          <w:rFonts w:ascii="Courier New" w:cs="Courier New" w:eastAsia="Courier New" w:hAnsi="Courier New"/>
          <w:sz w:val="16"/>
          <w:szCs w:val="16"/>
          <w:color w:val="auto"/>
        </w:rPr>
        <w:t>EQUITY BASED COMPENSATION The Committee awarded to Dr. Kurtenbach options to purchase 10,000 and 15,000 shares of Company Stock at exercise prices of $12.250 and $10.725, respectively.</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COMPENSATION COMMITTEE</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Roland J. Jensen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Charles S. Roberts</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John L. Mulligan</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75" w:right="1440" w:bottom="1440" w:gutter="0" w:footer="0" w:header="0"/>
        </w:sectPr>
      </w:pPr>
    </w:p>
    <w:bookmarkStart w:id="12" w:name="page13"/>
    <w:bookmarkEnd w:id="12"/>
    <w:p>
      <w:pPr>
        <w:ind w:left="2560"/>
        <w:spacing w:after="0"/>
        <w:rPr>
          <w:sz w:val="20"/>
          <w:szCs w:val="20"/>
          <w:color w:val="auto"/>
        </w:rPr>
      </w:pPr>
      <w:r>
        <w:rPr>
          <w:rFonts w:ascii="Courier New" w:cs="Courier New" w:eastAsia="Courier New" w:hAnsi="Courier New"/>
          <w:sz w:val="16"/>
          <w:szCs w:val="16"/>
          <w:color w:val="auto"/>
        </w:rPr>
        <w:t>SECURITY OWNERSHIP OF CERTAIN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BENEFICIAL OWNERS AND MANAGEMENT</w:t>
      </w:r>
    </w:p>
    <w:p>
      <w:pPr>
        <w:spacing w:after="0" w:line="198" w:lineRule="exact"/>
        <w:rPr>
          <w:sz w:val="20"/>
          <w:szCs w:val="20"/>
          <w:color w:val="auto"/>
        </w:rPr>
      </w:pPr>
    </w:p>
    <w:p>
      <w:pPr>
        <w:ind w:right="2439" w:firstLine="591"/>
        <w:spacing w:after="0" w:line="251" w:lineRule="auto"/>
        <w:rPr>
          <w:sz w:val="20"/>
          <w:szCs w:val="20"/>
          <w:color w:val="auto"/>
        </w:rPr>
      </w:pPr>
      <w:r>
        <w:rPr>
          <w:rFonts w:ascii="Courier New" w:cs="Courier New" w:eastAsia="Courier New" w:hAnsi="Courier New"/>
          <w:sz w:val="16"/>
          <w:szCs w:val="16"/>
          <w:color w:val="auto"/>
        </w:rPr>
        <w:t>The following table sets forth information, as of May 31, 1999, regarding the beneficial ownership of Common Stock of the Company by (i) each person or group who is known by the Company to be the beneficial owner of more than 5% of the outstanding Common Stock, (ii) all directors and nominees of the Company,</w:t>
      </w:r>
    </w:p>
    <w:p>
      <w:pPr>
        <w:ind w:left="600" w:hanging="599"/>
        <w:spacing w:after="0"/>
        <w:tabs>
          <w:tab w:leader="none" w:pos="6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individual named in the Summary Compensation Table and (iv) all</w:t>
      </w:r>
    </w:p>
    <w:p>
      <w:pPr>
        <w:spacing w:after="0" w:line="8" w:lineRule="exact"/>
        <w:rPr>
          <w:rFonts w:ascii="Courier New" w:cs="Courier New" w:eastAsia="Courier New" w:hAnsi="Courier New"/>
          <w:sz w:val="16"/>
          <w:szCs w:val="16"/>
          <w:color w:val="auto"/>
        </w:rPr>
      </w:pPr>
    </w:p>
    <w:p>
      <w:pPr>
        <w:ind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and executive officers of the Company as a group. The Company believes that the beneficial owners of the Common Stock listed below, based on information furnished by such owners, have sole voting and investment power (or share such powers with his or her spouse) with respect to the shares, subject to the information contained in the notes to the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20"/>
                <w:szCs w:val="20"/>
                <w:color w:val="auto"/>
              </w:rPr>
            </w:pPr>
            <w:r>
              <w:rPr>
                <w:rFonts w:ascii="Courier New" w:cs="Courier New" w:eastAsia="Courier New" w:hAnsi="Courier New"/>
                <w:sz w:val="16"/>
                <w:szCs w:val="16"/>
                <w:color w:val="auto"/>
              </w:rPr>
              <w:t>Name and Address</w:t>
            </w:r>
          </w:p>
        </w:tc>
        <w:tc>
          <w:tcPr>
            <w:tcW w:w="226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Percent of</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(if applicable) of</w:t>
            </w:r>
          </w:p>
        </w:tc>
        <w:tc>
          <w:tcPr>
            <w:tcW w:w="226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Shares</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Outstanding</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Beneficial Owner</w:t>
            </w:r>
          </w:p>
        </w:tc>
        <w:tc>
          <w:tcPr>
            <w:tcW w:w="22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Beneficially Owned(1)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Shares(1)</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540" w:type="dxa"/>
            <w:vAlign w:val="bottom"/>
          </w:tcPr>
          <w:p>
            <w:pPr>
              <w:spacing w:after="0"/>
              <w:rPr>
                <w:sz w:val="20"/>
                <w:szCs w:val="20"/>
                <w:color w:val="auto"/>
              </w:rPr>
            </w:pPr>
            <w:r>
              <w:rPr>
                <w:rFonts w:ascii="Courier New" w:cs="Courier New" w:eastAsia="Courier New" w:hAnsi="Courier New"/>
                <w:sz w:val="16"/>
                <w:szCs w:val="16"/>
                <w:color w:val="auto"/>
              </w:rPr>
              <w:t>Daktronics, Inc.</w:t>
            </w:r>
          </w:p>
        </w:tc>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Employee Stock Ownership Plan(2) (ESOP).......</w:t>
            </w:r>
          </w:p>
        </w:tc>
        <w:tc>
          <w:tcPr>
            <w:tcW w:w="226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267,799</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5.9%</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331 32nd Avenue, Brookings, SD 57006</w:t>
            </w:r>
          </w:p>
        </w:tc>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9"/>
        </w:trPr>
        <w:tc>
          <w:tcPr>
            <w:tcW w:w="454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22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176,849(3)</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3.9%</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John L. Mulligan..............................</w:t>
            </w:r>
          </w:p>
        </w:tc>
        <w:tc>
          <w:tcPr>
            <w:tcW w:w="22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8,000(4)</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Dr. Duane E. Sander(5)........................</w:t>
            </w:r>
          </w:p>
        </w:tc>
        <w:tc>
          <w:tcPr>
            <w:tcW w:w="22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192,392(6)</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4.2%</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Dr. Aelred J. Kurtenbach(5)...................</w:t>
            </w:r>
          </w:p>
        </w:tc>
        <w:tc>
          <w:tcPr>
            <w:tcW w:w="22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415,034(7)</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9.1%</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Charles S. Roberts, M.D.......................</w:t>
            </w:r>
          </w:p>
        </w:tc>
        <w:tc>
          <w:tcPr>
            <w:tcW w:w="22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34,360(8)</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22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164,930(9)</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3.6%</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Roland J. Jensen..............................</w:t>
            </w:r>
          </w:p>
        </w:tc>
        <w:tc>
          <w:tcPr>
            <w:tcW w:w="22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7,400(10)</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James A. Vellenga.............................</w:t>
            </w:r>
          </w:p>
        </w:tc>
        <w:tc>
          <w:tcPr>
            <w:tcW w:w="22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5,000(11)</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226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27,327(12)</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4540" w:type="dxa"/>
            <w:vAlign w:val="bottom"/>
          </w:tcPr>
          <w:p>
            <w:pPr>
              <w:spacing w:after="0"/>
              <w:rPr>
                <w:sz w:val="20"/>
                <w:szCs w:val="20"/>
                <w:color w:val="auto"/>
              </w:rPr>
            </w:pPr>
            <w:r>
              <w:rPr>
                <w:rFonts w:ascii="Courier New" w:cs="Courier New" w:eastAsia="Courier New" w:hAnsi="Courier New"/>
                <w:sz w:val="16"/>
                <w:szCs w:val="16"/>
                <w:color w:val="auto"/>
              </w:rPr>
              <w:t>All executive officers and directors</w:t>
            </w:r>
          </w:p>
        </w:tc>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as a group (10 persons)....................</w:t>
            </w:r>
          </w:p>
        </w:tc>
        <w:tc>
          <w:tcPr>
            <w:tcW w:w="226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1,080,131</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23.7%</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Represents less than 1%</w:t>
      </w:r>
    </w:p>
    <w:p>
      <w:pPr>
        <w:spacing w:after="0" w:line="198" w:lineRule="exact"/>
        <w:rPr>
          <w:sz w:val="20"/>
          <w:szCs w:val="20"/>
          <w:color w:val="auto"/>
        </w:rPr>
      </w:pPr>
    </w:p>
    <w:p>
      <w:pPr>
        <w:ind w:left="600" w:right="2519" w:hanging="599"/>
        <w:spacing w:after="0" w:line="252" w:lineRule="auto"/>
        <w:tabs>
          <w:tab w:leader="none" w:pos="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table, a person or group of persons is deemed to beneficially own shares issuable upon the exercise of options that are currently exercisable or that become exercisable within sixty days after the date hereof.</w:t>
      </w:r>
    </w:p>
    <w:p>
      <w:pPr>
        <w:spacing w:after="0" w:line="186" w:lineRule="exact"/>
        <w:rPr>
          <w:rFonts w:ascii="Courier New" w:cs="Courier New" w:eastAsia="Courier New" w:hAnsi="Courier New"/>
          <w:sz w:val="16"/>
          <w:szCs w:val="16"/>
          <w:color w:val="auto"/>
        </w:rPr>
      </w:pPr>
    </w:p>
    <w:p>
      <w:pPr>
        <w:ind w:left="600" w:right="2619" w:hanging="599"/>
        <w:spacing w:after="0" w:line="252" w:lineRule="auto"/>
        <w:tabs>
          <w:tab w:leader="none" w:pos="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held by the Daktronics, Inc. ESOP and allocated to the plan participants are voted by the respective participants. Any unallocated or nonvoted shares of Common Stock will be voted by the trustee without discretion on the same proportionate basis as the voted allocated shares.</w:t>
      </w:r>
    </w:p>
    <w:p>
      <w:pPr>
        <w:spacing w:after="0" w:line="185" w:lineRule="exact"/>
        <w:rPr>
          <w:rFonts w:ascii="Courier New" w:cs="Courier New" w:eastAsia="Courier New" w:hAnsi="Courier New"/>
          <w:sz w:val="16"/>
          <w:szCs w:val="16"/>
          <w:color w:val="auto"/>
        </w:rPr>
      </w:pPr>
    </w:p>
    <w:p>
      <w:pPr>
        <w:jc w:val="both"/>
        <w:ind w:left="600" w:right="2819" w:hanging="599"/>
        <w:spacing w:after="0" w:line="253" w:lineRule="auto"/>
        <w:tabs>
          <w:tab w:leader="none" w:pos="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26,200 shares issuable pursuant to currently exercisable stock options and (ii) 4,419 shares held through the Daktronics, Inc. ESOP.</w:t>
      </w:r>
    </w:p>
    <w:p>
      <w:pPr>
        <w:spacing w:after="0" w:line="185" w:lineRule="exact"/>
        <w:rPr>
          <w:rFonts w:ascii="Courier New" w:cs="Courier New" w:eastAsia="Courier New" w:hAnsi="Courier New"/>
          <w:sz w:val="16"/>
          <w:szCs w:val="16"/>
          <w:color w:val="auto"/>
        </w:rPr>
      </w:pPr>
    </w:p>
    <w:p>
      <w:pPr>
        <w:ind w:left="600" w:right="2719" w:hanging="599"/>
        <w:spacing w:after="0" w:line="255" w:lineRule="auto"/>
        <w:tabs>
          <w:tab w:leader="none" w:pos="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 shares issuable pursuant to currently exercisable stock options.</w:t>
      </w:r>
    </w:p>
    <w:p>
      <w:pPr>
        <w:spacing w:after="0" w:line="183" w:lineRule="exact"/>
        <w:rPr>
          <w:rFonts w:ascii="Courier New" w:cs="Courier New" w:eastAsia="Courier New" w:hAnsi="Courier New"/>
          <w:sz w:val="16"/>
          <w:szCs w:val="16"/>
          <w:color w:val="auto"/>
        </w:rPr>
      </w:pPr>
    </w:p>
    <w:p>
      <w:pPr>
        <w:ind w:left="600" w:right="3319" w:hanging="599"/>
        <w:spacing w:after="0" w:line="255" w:lineRule="auto"/>
        <w:tabs>
          <w:tab w:leader="none" w:pos="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Sander's and Dr. Kurtenbach's addresses are 331 32nd Avenue, Brookings, South Dakota 57006.</w:t>
      </w:r>
    </w:p>
    <w:p>
      <w:pPr>
        <w:spacing w:after="0" w:line="183" w:lineRule="exact"/>
        <w:rPr>
          <w:rFonts w:ascii="Courier New" w:cs="Courier New" w:eastAsia="Courier New" w:hAnsi="Courier New"/>
          <w:sz w:val="16"/>
          <w:szCs w:val="16"/>
          <w:color w:val="auto"/>
        </w:rPr>
      </w:pPr>
    </w:p>
    <w:p>
      <w:pPr>
        <w:ind w:left="600" w:right="2339" w:hanging="599"/>
        <w:spacing w:after="0" w:line="253" w:lineRule="auto"/>
        <w:tabs>
          <w:tab w:leader="none" w:pos="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5,000 shares issuable pursuant to currently exercisable stock options, (ii) 82,330 shares owned by Dr. Sander's spouse and (iii) 16,540 shares owned by Dr. Sander's son.</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75" w:right="1440" w:bottom="1440" w:gutter="0" w:footer="0" w:header="0"/>
        </w:sectPr>
      </w:pPr>
    </w:p>
    <w:bookmarkStart w:id="13" w:name="page14"/>
    <w:bookmarkEnd w:id="13"/>
    <w:p>
      <w:pPr>
        <w:ind w:left="600" w:right="2339" w:hanging="599"/>
        <w:spacing w:after="0" w:line="252" w:lineRule="auto"/>
        <w:tabs>
          <w:tab w:leader="none" w:pos="6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16,800 shares issuable to Dr. Kurtenbach pursuant to currently exercisable stock options, (ii) 5,692 shares held through the Daktronics, Inc. ESOP, (iii) 7,402 share held through the Daktronics, Inc. 401(K) Plan, and (iv) 211,926 shares owned by Dr. Kurtenbach's spouse.</w:t>
      </w:r>
    </w:p>
    <w:p>
      <w:pPr>
        <w:spacing w:after="0" w:line="186" w:lineRule="exact"/>
        <w:rPr>
          <w:rFonts w:ascii="Courier New" w:cs="Courier New" w:eastAsia="Courier New" w:hAnsi="Courier New"/>
          <w:sz w:val="16"/>
          <w:szCs w:val="16"/>
          <w:color w:val="auto"/>
        </w:rPr>
      </w:pPr>
    </w:p>
    <w:p>
      <w:pPr>
        <w:ind w:left="600" w:right="2719" w:hanging="599"/>
        <w:spacing w:after="0" w:line="255" w:lineRule="auto"/>
        <w:tabs>
          <w:tab w:leader="none" w:pos="6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 shares issuable pursuant to currently exercisable stock options.</w:t>
      </w:r>
    </w:p>
    <w:p>
      <w:pPr>
        <w:spacing w:after="0" w:line="183" w:lineRule="exact"/>
        <w:rPr>
          <w:rFonts w:ascii="Courier New" w:cs="Courier New" w:eastAsia="Courier New" w:hAnsi="Courier New"/>
          <w:sz w:val="16"/>
          <w:szCs w:val="16"/>
          <w:color w:val="auto"/>
        </w:rPr>
      </w:pPr>
    </w:p>
    <w:p>
      <w:pPr>
        <w:jc w:val="both"/>
        <w:ind w:left="600" w:right="2819" w:hanging="599"/>
        <w:spacing w:after="0" w:line="253" w:lineRule="auto"/>
        <w:tabs>
          <w:tab w:leader="none" w:pos="6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22,400 shares issuable pursuant to currently exercisable stock options and (ii) 3,500 shares held through the Daktronics, Inc. ESOP.</w:t>
      </w:r>
    </w:p>
    <w:p>
      <w:pPr>
        <w:spacing w:after="0" w:line="185" w:lineRule="exact"/>
        <w:rPr>
          <w:rFonts w:ascii="Courier New" w:cs="Courier New" w:eastAsia="Courier New" w:hAnsi="Courier New"/>
          <w:sz w:val="16"/>
          <w:szCs w:val="16"/>
          <w:color w:val="auto"/>
        </w:rPr>
      </w:pPr>
    </w:p>
    <w:p>
      <w:pPr>
        <w:ind w:left="600" w:right="2719" w:hanging="599"/>
        <w:spacing w:after="0" w:line="255" w:lineRule="auto"/>
        <w:tabs>
          <w:tab w:leader="none" w:pos="6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 shares issuable pursuant to currently exercisable stock options.</w:t>
      </w:r>
    </w:p>
    <w:p>
      <w:pPr>
        <w:spacing w:after="0" w:line="183" w:lineRule="exact"/>
        <w:rPr>
          <w:rFonts w:ascii="Courier New" w:cs="Courier New" w:eastAsia="Courier New" w:hAnsi="Courier New"/>
          <w:sz w:val="16"/>
          <w:szCs w:val="16"/>
          <w:color w:val="auto"/>
        </w:rPr>
      </w:pPr>
    </w:p>
    <w:p>
      <w:pPr>
        <w:ind w:left="600" w:right="2719" w:hanging="599"/>
        <w:spacing w:after="0" w:line="255" w:lineRule="auto"/>
        <w:tabs>
          <w:tab w:leader="none" w:pos="6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 shares issuable pursuant to currently exercisable stock options.</w:t>
      </w:r>
    </w:p>
    <w:p>
      <w:pPr>
        <w:spacing w:after="0" w:line="183" w:lineRule="exact"/>
        <w:rPr>
          <w:rFonts w:ascii="Courier New" w:cs="Courier New" w:eastAsia="Courier New" w:hAnsi="Courier New"/>
          <w:sz w:val="16"/>
          <w:szCs w:val="16"/>
          <w:color w:val="auto"/>
        </w:rPr>
      </w:pPr>
    </w:p>
    <w:p>
      <w:pPr>
        <w:jc w:val="both"/>
        <w:ind w:left="600" w:right="2819" w:hanging="599"/>
        <w:spacing w:after="0" w:line="253" w:lineRule="auto"/>
        <w:tabs>
          <w:tab w:leader="none" w:pos="6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23,400 shares issuable pursuant to currently exercisable stock options and (ii) 1,927 shares held through the Daktronics, Inc. ESOP.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SECTION 16(a) OF THE EXCHANGE ACT</w:t>
      </w:r>
    </w:p>
    <w:p>
      <w:pPr>
        <w:spacing w:after="0" w:line="198" w:lineRule="exact"/>
        <w:rPr>
          <w:sz w:val="20"/>
          <w:szCs w:val="20"/>
          <w:color w:val="auto"/>
        </w:rPr>
      </w:pPr>
    </w:p>
    <w:p>
      <w:pPr>
        <w:ind w:right="2439" w:firstLine="591"/>
        <w:spacing w:after="0" w:line="251" w:lineRule="auto"/>
        <w:rPr>
          <w:sz w:val="20"/>
          <w:szCs w:val="20"/>
          <w:color w:val="auto"/>
        </w:rPr>
      </w:pPr>
      <w:r>
        <w:rPr>
          <w:rFonts w:ascii="Courier New" w:cs="Courier New" w:eastAsia="Courier New" w:hAnsi="Courier New"/>
          <w:sz w:val="16"/>
          <w:szCs w:val="16"/>
          <w:color w:val="auto"/>
        </w:rPr>
        <w:t>Section 16(a) of the Securities Exchange Act of 1934 requires executive officers and directors, and persons who beneficially own more than ten percent (10%) of the Company's Common Stock to file initial reports of ownership and reports of changes in ownership with the Securities and Exchange Commission (SEC), and furnish copies of those reports to the Company. Based solely on a review of the copies of such forms furnished to the Company, and written representations from the executive officers and directors, the Company believes that all Section 16(a) filing requirements were complied with during fiscal 1999.</w:t>
      </w:r>
    </w:p>
    <w:p>
      <w:pPr>
        <w:spacing w:after="0" w:line="200" w:lineRule="exact"/>
        <w:rPr>
          <w:sz w:val="20"/>
          <w:szCs w:val="20"/>
          <w:color w:val="auto"/>
        </w:rPr>
      </w:pPr>
    </w:p>
    <w:p>
      <w:pPr>
        <w:spacing w:after="0" w:line="36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PROPOSAL NO. 2 - RATIFICATION OF APPOINTMENT OF</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INDEPENDENT CERTIFIED PUBLIC ACCOUNTANTS</w:t>
      </w:r>
    </w:p>
    <w:p>
      <w:pPr>
        <w:spacing w:after="0" w:line="198"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McGladrey &amp; Pullen, LLP served as the Company's independent certified public accountants for fiscal 1999. The appointment of independent certified public accountants is made annually by the Audit Committee of the Board of Directors. In making its appointment, the Audit Committee reviews both the audit scope and the estimated fees for professional services for the coming year. The Audit Committee has selected McGladrey &amp; Pullen, LLP as the independent certified public accountants for fiscal 2000.</w:t>
      </w:r>
    </w:p>
    <w:p>
      <w:pPr>
        <w:spacing w:after="0" w:line="37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OTHER MATTERS</w:t>
      </w:r>
    </w:p>
    <w:p>
      <w:pPr>
        <w:spacing w:after="0" w:line="198" w:lineRule="exact"/>
        <w:rPr>
          <w:sz w:val="20"/>
          <w:szCs w:val="20"/>
          <w:color w:val="auto"/>
        </w:rPr>
      </w:pPr>
    </w:p>
    <w:p>
      <w:pPr>
        <w:ind w:right="2439" w:firstLine="591"/>
        <w:spacing w:after="0" w:line="252" w:lineRule="auto"/>
        <w:rPr>
          <w:sz w:val="20"/>
          <w:szCs w:val="20"/>
          <w:color w:val="auto"/>
        </w:rPr>
      </w:pPr>
      <w:r>
        <w:rPr>
          <w:rFonts w:ascii="Courier New" w:cs="Courier New" w:eastAsia="Courier New" w:hAnsi="Courier New"/>
          <w:sz w:val="16"/>
          <w:szCs w:val="16"/>
          <w:color w:val="auto"/>
        </w:rPr>
        <w:t>The Board of Directors of the Company knows of no other matters which may come before the meeting. However, if any matters other than those referred to above should properly come before the meeting calling for a vote of the shareholders, it is the intention of the persons named in the enclosed proxy to vote such proxy in accordance with their best judgment.</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75" w:right="1440" w:bottom="1440" w:gutter="0" w:footer="0" w:header="0"/>
        </w:sectPr>
      </w:pPr>
    </w:p>
    <w:bookmarkStart w:id="14" w:name="page15"/>
    <w:bookmarkEnd w:id="14"/>
    <w:p>
      <w:pPr>
        <w:ind w:left="1580"/>
        <w:spacing w:after="0"/>
        <w:rPr>
          <w:sz w:val="20"/>
          <w:szCs w:val="20"/>
          <w:color w:val="auto"/>
        </w:rPr>
      </w:pPr>
      <w:r>
        <w:rPr>
          <w:rFonts w:ascii="Courier New" w:cs="Courier New" w:eastAsia="Courier New" w:hAnsi="Courier New"/>
          <w:sz w:val="16"/>
          <w:szCs w:val="16"/>
          <w:color w:val="auto"/>
        </w:rPr>
        <w:t>SHAREHOLDER PROPOSALS FOR THE NEXT ANNUAL MEETING</w:t>
      </w:r>
    </w:p>
    <w:p>
      <w:pPr>
        <w:spacing w:after="0" w:line="198" w:lineRule="exact"/>
        <w:rPr>
          <w:sz w:val="20"/>
          <w:szCs w:val="20"/>
          <w:color w:val="auto"/>
        </w:rPr>
      </w:pPr>
    </w:p>
    <w:p>
      <w:pPr>
        <w:ind w:right="2439" w:firstLine="591"/>
        <w:spacing w:after="0" w:line="252" w:lineRule="auto"/>
        <w:rPr>
          <w:sz w:val="20"/>
          <w:szCs w:val="20"/>
          <w:color w:val="auto"/>
        </w:rPr>
      </w:pPr>
      <w:r>
        <w:rPr>
          <w:rFonts w:ascii="Courier New" w:cs="Courier New" w:eastAsia="Courier New" w:hAnsi="Courier New"/>
          <w:sz w:val="16"/>
          <w:szCs w:val="16"/>
          <w:color w:val="auto"/>
        </w:rPr>
        <w:t>Any proposal by a shareholder to be presented at the 2000 Annual Meeting must be received at the Company's principal executive offices, 331 32nd Avenue, Brookings, South Dakota 57006, addressed to the Secretary of the Company, not later than March 26, 2000.</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Duane E. Sander</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SECRETARY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22, 1999</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75" w:right="1440" w:bottom="1440" w:gutter="0" w:footer="0" w:header="0"/>
        </w:sectPr>
      </w:pPr>
    </w:p>
    <w:bookmarkStart w:id="15" w:name="page16"/>
    <w:bookmarkEnd w:id="15"/>
    <w:p>
      <w:pPr>
        <w:ind w:left="3160"/>
        <w:spacing w:after="0"/>
        <w:rPr>
          <w:sz w:val="20"/>
          <w:szCs w:val="20"/>
          <w:color w:val="auto"/>
        </w:rPr>
      </w:pPr>
      <w:r>
        <w:rPr>
          <w:rFonts w:ascii="Courier New" w:cs="Courier New" w:eastAsia="Courier New" w:hAnsi="Courier New"/>
          <w:sz w:val="16"/>
          <w:szCs w:val="16"/>
          <w:color w:val="auto"/>
        </w:rPr>
        <w:t>DAKTRONICS,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Annual Meeting of Shareholders - August 18, 1999</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undersigned hereby appoints Aelred J. Kurtenbach and Duane E. Sander,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18, 1999 at 7:00 p.m. Central Daylight Time, and at any adjournments thereof, and to vote all same of the undersigned, as designated below, with all the powers which the undersigned would possess if personally at such meeting.</w:t>
      </w:r>
    </w:p>
    <w:p>
      <w:pPr>
        <w:spacing w:after="0" w:line="190" w:lineRule="exact"/>
        <w:rPr>
          <w:sz w:val="20"/>
          <w:szCs w:val="20"/>
          <w:color w:val="auto"/>
        </w:rPr>
      </w:pPr>
    </w:p>
    <w:p>
      <w:pPr>
        <w:ind w:left="600" w:right="2519" w:hanging="599"/>
        <w:spacing w:after="0" w:line="255" w:lineRule="auto"/>
        <w:tabs>
          <w:tab w:leader="none" w:pos="6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duly nominated for a term expiring in 2002: Aelred J. Kurtenbach, Charles S. Roberts, Nancy D. Frame.</w:t>
      </w:r>
    </w:p>
    <w:p>
      <w:pPr>
        <w:sectPr>
          <w:pgSz w:w="11900" w:h="16838" w:orient="portrait"/>
          <w:cols w:equalWidth="0" w:num="1">
            <w:col w:w="10219"/>
          </w:cols>
          <w:pgMar w:left="240" w:top="875" w:right="1440" w:bottom="1440" w:gutter="0" w:footer="0" w:header="0"/>
        </w:sectPr>
      </w:pPr>
    </w:p>
    <w:p>
      <w:pPr>
        <w:spacing w:after="0" w:line="184" w:lineRule="exact"/>
        <w:rPr>
          <w:sz w:val="20"/>
          <w:szCs w:val="20"/>
          <w:color w:val="auto"/>
        </w:rPr>
      </w:pPr>
    </w:p>
    <w:p>
      <w:pPr>
        <w:ind w:left="600"/>
        <w:spacing w:after="0"/>
        <w:tabs>
          <w:tab w:leader="none" w:pos="860" w:val="left"/>
        </w:tabs>
        <w:rPr>
          <w:sz w:val="20"/>
          <w:szCs w:val="20"/>
          <w:color w:val="auto"/>
        </w:rPr>
      </w:pPr>
      <w:r>
        <w:rPr>
          <w:rFonts w:ascii="Courier New" w:cs="Courier New" w:eastAsia="Courier New" w:hAnsi="Courier New"/>
          <w:sz w:val="16"/>
          <w:szCs w:val="16"/>
          <w:color w:val="auto"/>
        </w:rPr>
        <w:t>*</w:t>
        <w:tab/>
        <w:t>FOR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80"/>
        <w:spacing w:after="0"/>
        <w:tabs>
          <w:tab w:leader="none" w:pos="160" w:val="left"/>
        </w:tabs>
        <w:rPr>
          <w:sz w:val="20"/>
          <w:szCs w:val="20"/>
          <w:color w:val="auto"/>
        </w:rPr>
      </w:pPr>
      <w:r>
        <w:rPr>
          <w:rFonts w:ascii="Courier New" w:cs="Courier New" w:eastAsia="Courier New" w:hAnsi="Courier New"/>
          <w:sz w:val="16"/>
          <w:szCs w:val="16"/>
          <w:color w:val="auto"/>
        </w:rPr>
        <w:t>*</w:t>
        <w:tab/>
        <w:t>WITHHELD FOR ALL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WITHHELD FOR THE</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FOLLOWING ONLY</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(Write the nominee's name</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 space below):</w:t>
      </w:r>
    </w:p>
    <w:p>
      <w:pPr>
        <w:spacing w:after="0" w:line="198" w:lineRule="exact"/>
        <w:rPr>
          <w:sz w:val="20"/>
          <w:szCs w:val="20"/>
          <w:color w:val="auto"/>
        </w:rPr>
      </w:pPr>
    </w:p>
    <w:p>
      <w:pPr>
        <w:sectPr>
          <w:pgSz w:w="11900" w:h="16838" w:orient="portrait"/>
          <w:cols w:equalWidth="0" w:num="3">
            <w:col w:w="1260" w:space="720"/>
            <w:col w:w="1940" w:space="720"/>
            <w:col w:w="5579"/>
          </w:cols>
          <w:pgMar w:left="240" w:top="875" w:right="1440" w:bottom="1440" w:gutter="0" w:footer="0" w:header="0"/>
          <w:type w:val="continuous"/>
        </w:sectPr>
      </w:pPr>
    </w:p>
    <w:p>
      <w:pPr>
        <w:ind w:left="6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both"/>
        <w:ind w:left="600" w:right="3019" w:hanging="599"/>
        <w:spacing w:after="0" w:line="255" w:lineRule="auto"/>
        <w:tabs>
          <w:tab w:leader="none" w:pos="6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McGladrey &amp; Pullen, LLP as independent auditors for the Company for the fiscal year ending April 29, 2000.</w:t>
      </w:r>
    </w:p>
    <w:p>
      <w:pPr>
        <w:spacing w:after="0" w:line="184" w:lineRule="exact"/>
        <w:rPr>
          <w:sz w:val="20"/>
          <w:szCs w:val="20"/>
          <w:color w:val="auto"/>
        </w:rPr>
      </w:pPr>
    </w:p>
    <w:p>
      <w:pPr>
        <w:ind w:left="600"/>
        <w:spacing w:after="0"/>
        <w:tabs>
          <w:tab w:leader="none" w:pos="860" w:val="left"/>
          <w:tab w:leader="none" w:pos="1960" w:val="left"/>
          <w:tab w:leader="none" w:pos="2240" w:val="left"/>
          <w:tab w:leader="none" w:pos="3720" w:val="left"/>
          <w:tab w:leader="none" w:pos="4020" w:val="left"/>
        </w:tabs>
        <w:rPr>
          <w:sz w:val="20"/>
          <w:szCs w:val="20"/>
          <w:color w:val="auto"/>
        </w:rPr>
      </w:pPr>
      <w:r>
        <w:rPr>
          <w:rFonts w:ascii="Courier New" w:cs="Courier New" w:eastAsia="Courier New" w:hAnsi="Courier New"/>
          <w:sz w:val="16"/>
          <w:szCs w:val="16"/>
          <w:color w:val="auto"/>
        </w:rPr>
        <w:t>*</w:t>
        <w:tab/>
        <w:t>FOR</w:t>
      </w:r>
      <w:r>
        <w:rPr>
          <w:sz w:val="20"/>
          <w:szCs w:val="20"/>
          <w:color w:val="auto"/>
        </w:rPr>
        <w:tab/>
      </w:r>
      <w:r>
        <w:rPr>
          <w:rFonts w:ascii="Courier New" w:cs="Courier New" w:eastAsia="Courier New" w:hAnsi="Courier New"/>
          <w:sz w:val="16"/>
          <w:szCs w:val="16"/>
          <w:color w:val="auto"/>
        </w:rPr>
        <w:t>*</w:t>
        <w:tab/>
        <w:t>AGAINST</w:t>
      </w:r>
      <w:r>
        <w:rPr>
          <w:sz w:val="20"/>
          <w:szCs w:val="20"/>
          <w:color w:val="auto"/>
        </w:rPr>
        <w:tab/>
      </w:r>
      <w:r>
        <w:rPr>
          <w:rFonts w:ascii="Courier New" w:cs="Courier New" w:eastAsia="Courier New" w:hAnsi="Courier New"/>
          <w:sz w:val="16"/>
          <w:szCs w:val="16"/>
          <w:color w:val="auto"/>
        </w:rPr>
        <w:t>*</w:t>
        <w:tab/>
        <w:t>ABSTAIN</w:t>
      </w:r>
    </w:p>
    <w:p>
      <w:pPr>
        <w:spacing w:after="0" w:line="198" w:lineRule="exact"/>
        <w:rPr>
          <w:sz w:val="20"/>
          <w:szCs w:val="20"/>
          <w:color w:val="auto"/>
        </w:rPr>
      </w:pPr>
    </w:p>
    <w:p>
      <w:pPr>
        <w:ind w:left="600" w:right="2619" w:hanging="599"/>
        <w:spacing w:after="0" w:line="253" w:lineRule="auto"/>
        <w:tabs>
          <w:tab w:leader="none" w:pos="6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meeting or any adjournments thereof.</w:t>
      </w:r>
    </w:p>
    <w:p>
      <w:pPr>
        <w:spacing w:after="0" w:line="375"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THE PROXY WILL BE VOTED AS DIRECTED, BUT IF NO INSTRUCTIONS ARE GIVEN FOR VOTING ON THE MATTERS ABOVE, THIS PROXY WILL BE VOTED FOR MATTERS 1 THROUGH 3 ABOVE. Shareholders who are present at the meeting may withdraw their Proxy and vote in Person if they so desire. The undersigned acknowledges receipt of the Proxy Statement for the 1999 Annual Meeting.</w:t>
      </w:r>
    </w:p>
    <w:p>
      <w:pPr>
        <w:sectPr>
          <w:pgSz w:w="11900" w:h="16838" w:orient="portrait"/>
          <w:cols w:equalWidth="0" w:num="1">
            <w:col w:w="10219"/>
          </w:cols>
          <w:pgMar w:left="240" w:top="875" w:right="1440" w:bottom="1440" w:gutter="0" w:footer="0" w:header="0"/>
          <w:type w:val="continuous"/>
        </w:sect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______________________, 1999</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sectPr>
          <w:pgSz w:w="11900" w:h="16838" w:orient="portrait"/>
          <w:cols w:equalWidth="0" w:num="2">
            <w:col w:w="3260" w:space="680"/>
            <w:col w:w="6279"/>
          </w:cols>
          <w:pgMar w:left="240" w:top="875" w:right="1440" w:bottom="1440" w:gutter="0" w:footer="0" w:header="0"/>
          <w:type w:val="continuous"/>
        </w:sectPr>
      </w:pPr>
    </w:p>
    <w:p>
      <w:pPr>
        <w:ind w:left="3940"/>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8"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Signature if held jointly</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Please sign exactly as name(s) appears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on this Proxy. If shares are registered</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in more than one name, the signature of</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all persons are required. A corporation</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should sign in its full corporate name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a duly authorized officer, stating</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their title. Trustees, guardians,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executors and administrators should sign</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in their official capacity, giving their</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full title as such. If a partnership,</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please sign in partnership name by</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authorized person.</w:t>
      </w:r>
    </w:p>
    <w:p>
      <w:pPr>
        <w:sectPr>
          <w:pgSz w:w="11900" w:h="16838" w:orient="portrait"/>
          <w:cols w:equalWidth="0" w:num="1">
            <w:col w:w="10219"/>
          </w:cols>
          <w:pgMar w:left="240" w:top="875" w:right="1440" w:bottom="1440" w:gutter="0" w:footer="0" w:header="0"/>
          <w:type w:val="continuous"/>
        </w:sectPr>
      </w:pPr>
    </w:p>
    <w:p>
      <w:pPr>
        <w:spacing w:after="0" w:line="388" w:lineRule="exact"/>
        <w:rPr>
          <w:sz w:val="20"/>
          <w:szCs w:val="20"/>
          <w:color w:val="auto"/>
        </w:rPr>
      </w:pPr>
    </w:p>
    <w:p>
      <w:pPr>
        <w:jc w:val="center"/>
        <w:ind w:left="980" w:right="3319"/>
        <w:spacing w:after="0" w:line="253" w:lineRule="auto"/>
        <w:rPr>
          <w:sz w:val="20"/>
          <w:szCs w:val="20"/>
          <w:color w:val="auto"/>
        </w:rPr>
      </w:pPr>
      <w:r>
        <w:rPr>
          <w:rFonts w:ascii="Courier New" w:cs="Courier New" w:eastAsia="Courier New" w:hAnsi="Courier New"/>
          <w:sz w:val="16"/>
          <w:szCs w:val="16"/>
          <w:color w:val="auto"/>
        </w:rPr>
        <w:t>PLEASE SIGN, DATE AND RETURN THIS PROXY PROMPTLY No postage is required if returned in the enclosed envelope. This Proxy may also be returned via fax to 605/697-4700.</w:t>
      </w:r>
    </w:p>
    <w:sectPr>
      <w:pgSz w:w="11900" w:h="16838" w:orient="portrait"/>
      <w:cols w:equalWidth="0" w:num="1">
        <w:col w:w="10219"/>
      </w:cols>
      <w:pgMar w:left="240" w:top="8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upperLetter"/>
      <w:start w:val="24"/>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
      <w:numFmt w:val="bullet"/>
      <w:start w:val="1"/>
    </w:lvl>
    <w:lvl w:ilvl="1">
      <w:lvlJc w:val="left"/>
      <w:lvlText w:val="(%2)"/>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Roman"/>
      <w:start w:val="3"/>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7"/>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2019-12-14T02:10:44Z</dcterms:created>
  <dcterms:modified xsi:type="dcterms:W3CDTF">2019-12-14T02:10:44Z</dcterms:modified>
</cp:coreProperties>
</file>