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Act of 1934 (Amendment No.___)</w:t>
      </w:r>
    </w:p>
    <w:p>
      <w:pPr>
        <w:sectPr>
          <w:pgSz w:w="11900" w:h="16838" w:orient="portrait"/>
          <w:cols w:equalWidth="0" w:num="1">
            <w:col w:w="11080"/>
          </w:cols>
          <w:pgMar w:left="320" w:top="877" w:right="49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67" w:lineRule="exact"/>
        <w:rPr>
          <w:sz w:val="24"/>
          <w:szCs w:val="24"/>
          <w:color w:val="auto"/>
        </w:rPr>
      </w:pPr>
    </w:p>
    <w:p>
      <w:pPr>
        <w:sectPr>
          <w:pgSz w:w="11900" w:h="16838" w:orient="portrait"/>
          <w:cols w:equalWidth="0" w:num="2">
            <w:col w:w="2180" w:space="640"/>
            <w:col w:w="8260"/>
          </w:cols>
          <w:pgMar w:left="320" w:top="877" w:right="4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080"/>
          </w:cols>
          <w:pgMar w:left="320" w:top="877" w:right="499" w:bottom="1440" w:gutter="0" w:footer="0" w:header="0"/>
          <w:type w:val="continuous"/>
        </w:sectPr>
      </w:pPr>
    </w:p>
    <w:p>
      <w:pPr>
        <w:spacing w:after="0" w:line="24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Daktronics, Inc.</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 and 0-11.</w:t>
      </w:r>
    </w:p>
    <w:p>
      <w:pPr>
        <w:spacing w:after="0" w:line="15"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Title of each class of securities to which transaction applies:</w:t>
      </w:r>
    </w:p>
    <w:p>
      <w:pPr>
        <w:spacing w:after="0" w:line="7"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Aggregate number of securities to which transaction applies:</w:t>
      </w:r>
    </w:p>
    <w:p>
      <w:pPr>
        <w:spacing w:after="0" w:line="9" w:lineRule="exact"/>
        <w:rPr>
          <w:rFonts w:ascii="MS PGothic" w:cs="MS PGothic" w:eastAsia="MS PGothic" w:hAnsi="MS PGothic"/>
          <w:sz w:val="18"/>
          <w:szCs w:val="18"/>
          <w:color w:val="auto"/>
        </w:rPr>
      </w:pPr>
    </w:p>
    <w:p>
      <w:pPr>
        <w:ind w:left="1140" w:right="140" w:hanging="567"/>
        <w:spacing w:after="0" w:line="250" w:lineRule="auto"/>
        <w:rPr>
          <w:rFonts w:ascii="MS PGothic" w:cs="MS PGothic" w:eastAsia="MS PGothic" w:hAnsi="MS PGothic"/>
          <w:sz w:val="18"/>
          <w:szCs w:val="18"/>
          <w:color w:val="auto"/>
        </w:rPr>
      </w:pPr>
      <w:r>
        <w:rPr>
          <w:rFonts w:ascii="Arial" w:cs="Arial" w:eastAsia="Arial" w:hAnsi="Arial"/>
          <w:sz w:val="18"/>
          <w:szCs w:val="18"/>
          <w:color w:val="auto"/>
        </w:rPr>
        <w:t>3Per unit price or other underlying value of transaction computed pursuant to Exchange Act Rule 0-11 (set forth the amount on which the filing fee is calculated and state how it was determined):</w:t>
      </w: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Proposed maximum aggregate value of transaction:</w:t>
      </w:r>
    </w:p>
    <w:p>
      <w:pPr>
        <w:spacing w:after="0" w:line="9"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Total fee paid:</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 w:lineRule="exact"/>
        <w:rPr>
          <w:rFonts w:ascii="MS PGothic" w:cs="MS PGothic" w:eastAsia="MS PGothic" w:hAnsi="MS PGothic"/>
          <w:sz w:val="18"/>
          <w:szCs w:val="18"/>
          <w:color w:val="auto"/>
        </w:rPr>
      </w:pPr>
    </w:p>
    <w:p>
      <w:pPr>
        <w:ind w:left="580" w:hanging="572"/>
        <w:spacing w:after="0" w:line="264"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80"/>
        <w:spacing w:after="0"/>
        <w:rPr>
          <w:rFonts w:ascii="MS PGothic" w:cs="MS PGothic" w:eastAsia="MS PGothic" w:hAnsi="MS PGothic"/>
          <w:sz w:val="17"/>
          <w:szCs w:val="17"/>
          <w:color w:val="auto"/>
        </w:rPr>
      </w:pPr>
      <w:r>
        <w:rPr>
          <w:rFonts w:ascii="Arial" w:cs="Arial" w:eastAsia="Arial" w:hAnsi="Arial"/>
          <w:sz w:val="18"/>
          <w:szCs w:val="18"/>
          <w:color w:val="auto"/>
        </w:rPr>
        <w:t>1</w:t>
      </w:r>
      <w:r>
        <w:rPr>
          <w:rFonts w:ascii="Arial" w:cs="Arial" w:eastAsia="Arial" w:hAnsi="Arial"/>
          <w:sz w:val="16"/>
          <w:szCs w:val="16"/>
          <w:color w:val="auto"/>
        </w:rPr>
        <w:t>Amount previously paid:</w:t>
      </w:r>
    </w:p>
    <w:p>
      <w:pPr>
        <w:spacing w:after="0" w:line="9" w:lineRule="exact"/>
        <w:rPr>
          <w:rFonts w:ascii="MS PGothic" w:cs="MS PGothic" w:eastAsia="MS PGothic" w:hAnsi="MS PGothic"/>
          <w:sz w:val="17"/>
          <w:szCs w:val="17"/>
          <w:color w:val="auto"/>
        </w:rPr>
      </w:pPr>
    </w:p>
    <w:p>
      <w:pPr>
        <w:ind w:left="580"/>
        <w:spacing w:after="0"/>
        <w:rPr>
          <w:rFonts w:ascii="MS PGothic" w:cs="MS PGothic" w:eastAsia="MS PGothic" w:hAnsi="MS PGothic"/>
          <w:sz w:val="17"/>
          <w:szCs w:val="17"/>
          <w:color w:val="auto"/>
        </w:rPr>
      </w:pPr>
      <w:r>
        <w:rPr>
          <w:rFonts w:ascii="Arial" w:cs="Arial" w:eastAsia="Arial" w:hAnsi="Arial"/>
          <w:sz w:val="18"/>
          <w:szCs w:val="18"/>
          <w:color w:val="auto"/>
        </w:rPr>
        <w:t>2</w:t>
      </w:r>
      <w:r>
        <w:rPr>
          <w:rFonts w:ascii="Arial" w:cs="Arial" w:eastAsia="Arial" w:hAnsi="Arial"/>
          <w:sz w:val="16"/>
          <w:szCs w:val="16"/>
          <w:color w:val="auto"/>
        </w:rPr>
        <w:t>Form, Schedule or Registration Statement No.:</w:t>
      </w:r>
    </w:p>
    <w:p>
      <w:pPr>
        <w:spacing w:after="0" w:line="9" w:lineRule="exact"/>
        <w:rPr>
          <w:rFonts w:ascii="MS PGothic" w:cs="MS PGothic" w:eastAsia="MS PGothic" w:hAnsi="MS PGothic"/>
          <w:sz w:val="17"/>
          <w:szCs w:val="17"/>
          <w:color w:val="auto"/>
        </w:rPr>
      </w:pPr>
    </w:p>
    <w:p>
      <w:pPr>
        <w:ind w:left="580"/>
        <w:spacing w:after="0"/>
        <w:rPr>
          <w:rFonts w:ascii="MS PGothic" w:cs="MS PGothic" w:eastAsia="MS PGothic" w:hAnsi="MS PGothic"/>
          <w:sz w:val="17"/>
          <w:szCs w:val="17"/>
          <w:color w:val="auto"/>
        </w:rPr>
      </w:pPr>
      <w:r>
        <w:rPr>
          <w:rFonts w:ascii="Arial" w:cs="Arial" w:eastAsia="Arial" w:hAnsi="Arial"/>
          <w:sz w:val="18"/>
          <w:szCs w:val="18"/>
          <w:color w:val="auto"/>
        </w:rPr>
        <w:t>3</w:t>
      </w:r>
      <w:r>
        <w:rPr>
          <w:rFonts w:ascii="Arial" w:cs="Arial" w:eastAsia="Arial" w:hAnsi="Arial"/>
          <w:sz w:val="17"/>
          <w:szCs w:val="17"/>
          <w:color w:val="auto"/>
        </w:rPr>
        <w:t>Filing Party:</w:t>
      </w:r>
    </w:p>
    <w:p>
      <w:pPr>
        <w:spacing w:after="0" w:line="9" w:lineRule="exact"/>
        <w:rPr>
          <w:rFonts w:ascii="MS PGothic" w:cs="MS PGothic" w:eastAsia="MS PGothic" w:hAnsi="MS PGothic"/>
          <w:sz w:val="17"/>
          <w:szCs w:val="17"/>
          <w:color w:val="auto"/>
        </w:rPr>
      </w:pPr>
    </w:p>
    <w:p>
      <w:pPr>
        <w:ind w:left="580"/>
        <w:spacing w:after="0"/>
        <w:rPr>
          <w:rFonts w:ascii="MS PGothic" w:cs="MS PGothic" w:eastAsia="MS PGothic" w:hAnsi="MS PGothic"/>
          <w:sz w:val="17"/>
          <w:szCs w:val="17"/>
          <w:color w:val="auto"/>
        </w:rPr>
      </w:pPr>
      <w:r>
        <w:rPr>
          <w:rFonts w:ascii="Arial" w:cs="Arial" w:eastAsia="Arial" w:hAnsi="Arial"/>
          <w:sz w:val="18"/>
          <w:szCs w:val="18"/>
          <w:color w:val="auto"/>
        </w:rPr>
        <w:t>4</w:t>
      </w: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77" w:right="4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1, 2021</w:t>
      </w:r>
    </w:p>
    <w:p>
      <w:pPr>
        <w:sectPr>
          <w:pgSz w:w="11900" w:h="16838" w:orient="portrait"/>
          <w:cols w:equalWidth="0" w:num="1">
            <w:col w:w="11240"/>
          </w:cols>
          <w:pgMar w:left="320" w:top="580"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4:30 p.m. Central Daylight Time on Wednesday, September 1, 2021</w:t>
      </w:r>
    </w:p>
    <w:p>
      <w:pPr>
        <w:spacing w:after="0" w:line="207" w:lineRule="exact"/>
        <w:rPr>
          <w:sz w:val="20"/>
          <w:szCs w:val="20"/>
          <w:color w:val="auto"/>
        </w:rPr>
      </w:pPr>
    </w:p>
    <w:p>
      <w:pPr>
        <w:sectPr>
          <w:pgSz w:w="11900" w:h="16838" w:orient="portrait"/>
          <w:cols w:equalWidth="0" w:num="2">
            <w:col w:w="980" w:space="720"/>
            <w:col w:w="9540"/>
          </w:cols>
          <w:pgMar w:left="320" w:top="58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Brookings, South Dakota 57006</w:t>
      </w:r>
    </w:p>
    <w:p>
      <w:pPr>
        <w:spacing w:after="0" w:line="200" w:lineRule="exact"/>
        <w:rPr>
          <w:sz w:val="20"/>
          <w:szCs w:val="20"/>
          <w:color w:val="auto"/>
        </w:rPr>
      </w:pPr>
    </w:p>
    <w:p>
      <w:pPr>
        <w:sectPr>
          <w:pgSz w:w="11900" w:h="16838" w:orient="portrait"/>
          <w:cols w:equalWidth="0" w:num="2">
            <w:col w:w="980" w:space="720"/>
            <w:col w:w="9540"/>
          </w:cols>
          <w:pgMar w:left="320" w:top="580"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of Business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 elect three Directors to serve for a three-year term that expires on the date of the Annual Meeting of Shareholders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2024 or until their successors are duly elected and to elect one Director to serve for a two-year term that expires on the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Annual Meeting of Shareholders in 2023 or until their successor is duly elected;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conduct an advisory (non-binding) approval of the Company's executive compensation;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ratify the appointment by the Audit Committee of the Board of Directors of Deloitte &amp; Touche, LLP as our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registered public accounting firm for the Company for fiscal 2022.</w:t>
      </w:r>
    </w:p>
    <w:p>
      <w:pPr>
        <w:spacing w:after="0" w:line="200" w:lineRule="exact"/>
        <w:rPr>
          <w:sz w:val="20"/>
          <w:szCs w:val="20"/>
          <w:color w:val="auto"/>
        </w:rPr>
      </w:pPr>
    </w:p>
    <w:p>
      <w:pPr>
        <w:sectPr>
          <w:pgSz w:w="11900" w:h="16838" w:orient="portrait"/>
          <w:cols w:equalWidth="0" w:num="3">
            <w:col w:w="1340" w:space="360"/>
            <w:col w:w="140" w:space="420"/>
            <w:col w:w="8980"/>
          </w:cols>
          <w:pgMar w:left="320" w:top="58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entitled to vote if you were a shareholder of record at the close of business on June 28, 2021.</w:t>
      </w:r>
    </w:p>
    <w:p>
      <w:pPr>
        <w:spacing w:after="0" w:line="200" w:lineRule="exact"/>
        <w:rPr>
          <w:sz w:val="20"/>
          <w:szCs w:val="20"/>
          <w:color w:val="auto"/>
        </w:rPr>
      </w:pPr>
    </w:p>
    <w:p>
      <w:pPr>
        <w:sectPr>
          <w:pgSz w:w="11900" w:h="16838" w:orient="portrait"/>
          <w:cols w:equalWidth="0" w:num="2">
            <w:col w:w="980" w:space="720"/>
            <w:col w:w="9540"/>
          </w:cols>
          <w:pgMar w:left="320" w:top="580"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shareholders are invited to attend the Annual Meeting in person with proof of ownership, such as your last broker or EQ Shareholder Services statement. We will follow social distancing guidelines as currently expressed by the U.S. Centers for Disease Control and Prevention.</w:t>
      </w:r>
    </w:p>
    <w:p>
      <w:pPr>
        <w:spacing w:after="0" w:line="180" w:lineRule="exact"/>
        <w:rPr>
          <w:sz w:val="20"/>
          <w:szCs w:val="20"/>
          <w:color w:val="auto"/>
        </w:rPr>
      </w:pPr>
    </w:p>
    <w:p>
      <w:pPr>
        <w:sectPr>
          <w:pgSz w:w="11900" w:h="16838" w:orient="portrait"/>
          <w:cols w:equalWidth="0" w:num="2">
            <w:col w:w="1260" w:space="440"/>
            <w:col w:w="9540"/>
          </w:cols>
          <w:pgMar w:left="320" w:top="580" w:right="339" w:bottom="1440" w:gutter="0" w:footer="0" w:header="0"/>
          <w:type w:val="continuous"/>
        </w:sectPr>
      </w:pPr>
    </w:p>
    <w:p>
      <w:pPr>
        <w:spacing w:after="0"/>
        <w:tabs>
          <w:tab w:leader="none" w:pos="1680" w:val="left"/>
        </w:tabs>
        <w:rPr>
          <w:sz w:val="20"/>
          <w:szCs w:val="20"/>
          <w:color w:val="auto"/>
        </w:rPr>
      </w:pPr>
      <w:r>
        <w:rPr>
          <w:rFonts w:ascii="Arial" w:cs="Arial" w:eastAsia="Arial" w:hAnsi="Arial"/>
          <w:sz w:val="18"/>
          <w:szCs w:val="18"/>
          <w:b w:val="1"/>
          <w:bCs w:val="1"/>
          <w:color w:val="auto"/>
        </w:rPr>
        <w:t>Voting by Proxy</w:t>
      </w:r>
      <w:r>
        <w:rPr>
          <w:sz w:val="20"/>
          <w:szCs w:val="20"/>
          <w:color w:val="auto"/>
        </w:rPr>
        <w:tab/>
      </w:r>
      <w:r>
        <w:rPr>
          <w:rFonts w:ascii="Arial" w:cs="Arial" w:eastAsia="Arial" w:hAnsi="Arial"/>
          <w:sz w:val="16"/>
          <w:szCs w:val="16"/>
          <w:color w:val="auto"/>
        </w:rPr>
        <w:t>Even if you plan to attend the Annual Meeting, please submit a proxy as soon as possible so that your shares can be voted at the</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Annual Meeting in accordance with your instructions. Shareholders may vote their shares:</w:t>
      </w:r>
    </w:p>
    <w:p>
      <w:pPr>
        <w:spacing w:after="0" w:line="9" w:lineRule="exact"/>
        <w:rPr>
          <w:sz w:val="20"/>
          <w:szCs w:val="20"/>
          <w:color w:val="auto"/>
        </w:rPr>
      </w:pPr>
    </w:p>
    <w:p>
      <w:pPr>
        <w:ind w:left="2260" w:hanging="565"/>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9" w:lineRule="exact"/>
        <w:rPr>
          <w:rFonts w:ascii="Arial" w:cs="Arial" w:eastAsia="Arial" w:hAnsi="Arial"/>
          <w:sz w:val="18"/>
          <w:szCs w:val="18"/>
          <w:color w:val="auto"/>
        </w:rPr>
      </w:pPr>
    </w:p>
    <w:p>
      <w:pPr>
        <w:ind w:left="2260" w:hanging="565"/>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telephone; or</w:t>
      </w:r>
    </w:p>
    <w:p>
      <w:pPr>
        <w:spacing w:after="0" w:line="9" w:lineRule="exact"/>
        <w:rPr>
          <w:rFonts w:ascii="Arial" w:cs="Arial" w:eastAsia="Arial" w:hAnsi="Arial"/>
          <w:sz w:val="18"/>
          <w:szCs w:val="18"/>
          <w:color w:val="auto"/>
        </w:rPr>
      </w:pPr>
    </w:p>
    <w:p>
      <w:pPr>
        <w:ind w:left="2260" w:hanging="565"/>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mail.</w:t>
      </w:r>
    </w:p>
    <w:p>
      <w:pPr>
        <w:spacing w:after="0" w:line="211" w:lineRule="exact"/>
        <w:rPr>
          <w:sz w:val="20"/>
          <w:szCs w:val="20"/>
          <w:color w:val="auto"/>
        </w:rPr>
      </w:pPr>
    </w:p>
    <w:p>
      <w:pPr>
        <w:ind w:left="1700" w:right="20"/>
        <w:spacing w:after="0" w:line="277"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15,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Carla S. Gatzke</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IMPORTANT NOTICE REGARDING AVAILABILITY OF PROXY MATERIALS FOR THE DAKTRONICS, INC. ANNUAL MEETING OF SHAREHOLDERS TO BE HELD ON SEPTEMBER </w:t>
      </w:r>
      <w:r>
        <w:rPr>
          <w:rFonts w:ascii="Arial" w:cs="Arial" w:eastAsia="Arial" w:hAnsi="Arial"/>
          <w:sz w:val="18"/>
          <w:szCs w:val="18"/>
          <w:color w:val="auto"/>
        </w:rPr>
        <w:t>1</w:t>
      </w:r>
      <w:r>
        <w:rPr>
          <w:rFonts w:ascii="Arial" w:cs="Arial" w:eastAsia="Arial" w:hAnsi="Arial"/>
          <w:sz w:val="18"/>
          <w:szCs w:val="18"/>
          <w:b w:val="1"/>
          <w:bCs w:val="1"/>
          <w:color w:val="auto"/>
        </w:rPr>
        <w:t>, 2021.</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This notice and the accompanying Proxy Statement, proxy card and our Fiscal 2021 Annual Report to Shareholders, which includes our Annual Report on Form 10-K for the fiscal year ended May 1, 2021, are available at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ind w:left="500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r>
      <w:tr>
        <w:trPr>
          <w:trHeight w:val="196"/>
        </w:trPr>
        <w:tc>
          <w:tcPr>
            <w:tcW w:w="890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Procedural Matters</w:t>
              </w:r>
            </w:hyperlink>
          </w:p>
        </w:tc>
        <w:tc>
          <w:tcPr>
            <w:tcW w:w="234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90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Security Ownership of Certain Beneficial Owners and Management</w:t>
              </w:r>
            </w:hyperlink>
          </w:p>
        </w:tc>
        <w:tc>
          <w:tcPr>
            <w:tcW w:w="234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1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880" w:type="dxa"/>
            <w:vAlign w:val="bottom"/>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One - Election of Directors</w:t>
              </w:r>
            </w:hyperlink>
          </w:p>
        </w:tc>
        <w:tc>
          <w:tcPr>
            <w:tcW w:w="4020" w:type="dxa"/>
            <w:vAlign w:val="bottom"/>
            <w:gridSpan w:val="3"/>
          </w:tcPr>
          <w:p>
            <w:pPr>
              <w:spacing w:after="0"/>
              <w:rPr>
                <w:sz w:val="24"/>
                <w:szCs w:val="24"/>
                <w:color w:val="auto"/>
              </w:rPr>
            </w:pPr>
          </w:p>
        </w:tc>
        <w:tc>
          <w:tcPr>
            <w:tcW w:w="234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0"/>
        </w:trPr>
        <w:tc>
          <w:tcPr>
            <w:tcW w:w="1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90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Two - Advisory (non-binding) Approval of the Company's Executive Compensation</w:t>
              </w:r>
            </w:hyperlink>
          </w:p>
        </w:tc>
        <w:tc>
          <w:tcPr>
            <w:tcW w:w="234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r>
      <w:tr>
        <w:trPr>
          <w:trHeight w:val="20"/>
        </w:trPr>
        <w:tc>
          <w:tcPr>
            <w:tcW w:w="1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7020" w:type="dxa"/>
            <w:vAlign w:val="bottom"/>
            <w:gridSpan w:val="12"/>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Proposal Three - Ratification of Appointment of Independent Registered Public Accounting Firm</w:t>
              </w:r>
            </w:hyperlink>
          </w:p>
        </w:tc>
        <w:tc>
          <w:tcPr>
            <w:tcW w:w="1880" w:type="dxa"/>
            <w:vAlign w:val="bottom"/>
          </w:tcPr>
          <w:p>
            <w:pPr>
              <w:spacing w:after="0"/>
              <w:rPr>
                <w:sz w:val="24"/>
                <w:szCs w:val="24"/>
                <w:color w:val="auto"/>
              </w:rPr>
            </w:pPr>
          </w:p>
        </w:tc>
        <w:tc>
          <w:tcPr>
            <w:tcW w:w="2340" w:type="dxa"/>
            <w:vAlign w:val="bottom"/>
            <w:gridSpan w:val="4"/>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8</w:t>
              </w:r>
            </w:hyperlink>
          </w:p>
        </w:tc>
      </w:tr>
      <w:tr>
        <w:trPr>
          <w:trHeight w:val="20"/>
        </w:trPr>
        <w:tc>
          <w:tcPr>
            <w:tcW w:w="1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7020" w:type="dxa"/>
            <w:vAlign w:val="bottom"/>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1880" w:type="dxa"/>
            <w:vAlign w:val="bottom"/>
          </w:tcPr>
          <w:p>
            <w:pPr>
              <w:spacing w:after="0"/>
              <w:rPr>
                <w:sz w:val="24"/>
                <w:szCs w:val="24"/>
                <w:color w:val="auto"/>
              </w:rPr>
            </w:pPr>
          </w:p>
        </w:tc>
        <w:tc>
          <w:tcPr>
            <w:tcW w:w="2340" w:type="dxa"/>
            <w:vAlign w:val="bottom"/>
            <w:gridSpan w:val="4"/>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9</w:t>
              </w:r>
            </w:hyperlink>
          </w:p>
        </w:tc>
      </w:tr>
      <w:tr>
        <w:trPr>
          <w:trHeight w:val="20"/>
        </w:trPr>
        <w:tc>
          <w:tcPr>
            <w:tcW w:w="1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890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Compensation Discussion and Analysis</w:t>
              </w:r>
            </w:hyperlink>
          </w:p>
        </w:tc>
        <w:tc>
          <w:tcPr>
            <w:tcW w:w="234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12</w:t>
              </w:r>
            </w:hyperlink>
          </w:p>
        </w:tc>
      </w:tr>
      <w:tr>
        <w:trPr>
          <w:trHeight w:val="412"/>
        </w:trPr>
        <w:tc>
          <w:tcPr>
            <w:tcW w:w="286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Compensation Committee Report</w:t>
              </w:r>
            </w:hyperlink>
          </w:p>
        </w:tc>
        <w:tc>
          <w:tcPr>
            <w:tcW w:w="6040" w:type="dxa"/>
            <w:vAlign w:val="bottom"/>
            <w:gridSpan w:val="5"/>
          </w:tcPr>
          <w:p>
            <w:pPr>
              <w:spacing w:after="0"/>
              <w:rPr>
                <w:sz w:val="24"/>
                <w:szCs w:val="24"/>
                <w:color w:val="auto"/>
              </w:rPr>
            </w:pPr>
          </w:p>
        </w:tc>
        <w:tc>
          <w:tcPr>
            <w:tcW w:w="216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16</w:t>
              </w:r>
            </w:hyperlink>
          </w:p>
        </w:tc>
      </w:tr>
      <w:tr>
        <w:trPr>
          <w:trHeight w:val="412"/>
        </w:trPr>
        <w:tc>
          <w:tcPr>
            <w:tcW w:w="18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Executive Compensation</w:t>
              </w:r>
            </w:hyperlink>
          </w:p>
        </w:tc>
        <w:tc>
          <w:tcPr>
            <w:tcW w:w="600" w:type="dxa"/>
            <w:vAlign w:val="bottom"/>
            <w:tcBorders>
              <w:top w:val="single" w:sz="8" w:color="0000EE"/>
            </w:tcBorders>
          </w:tcPr>
          <w:p>
            <w:pPr>
              <w:spacing w:after="0"/>
              <w:rPr>
                <w:sz w:val="24"/>
                <w:szCs w:val="24"/>
                <w:color w:val="auto"/>
              </w:rPr>
            </w:pPr>
          </w:p>
        </w:tc>
        <w:tc>
          <w:tcPr>
            <w:tcW w:w="6480" w:type="dxa"/>
            <w:vAlign w:val="bottom"/>
            <w:gridSpan w:val="7"/>
          </w:tcPr>
          <w:p>
            <w:pPr>
              <w:spacing w:after="0"/>
              <w:rPr>
                <w:sz w:val="24"/>
                <w:szCs w:val="24"/>
                <w:color w:val="auto"/>
              </w:rPr>
            </w:pPr>
          </w:p>
        </w:tc>
        <w:tc>
          <w:tcPr>
            <w:tcW w:w="216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17</w:t>
              </w:r>
            </w:hyperlink>
          </w:p>
        </w:tc>
      </w:tr>
      <w:tr>
        <w:trPr>
          <w:trHeight w:val="412"/>
        </w:trPr>
        <w:tc>
          <w:tcPr>
            <w:tcW w:w="18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Audit Committee Report</w:t>
              </w:r>
            </w:hyperlink>
          </w:p>
        </w:tc>
        <w:tc>
          <w:tcPr>
            <w:tcW w:w="7100" w:type="dxa"/>
            <w:vAlign w:val="bottom"/>
            <w:gridSpan w:val="9"/>
          </w:tcPr>
          <w:p>
            <w:pPr>
              <w:spacing w:after="0"/>
              <w:rPr>
                <w:sz w:val="24"/>
                <w:szCs w:val="24"/>
                <w:color w:val="auto"/>
              </w:rPr>
            </w:pPr>
          </w:p>
        </w:tc>
        <w:tc>
          <w:tcPr>
            <w:tcW w:w="21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22</w:t>
              </w:r>
            </w:hyperlink>
          </w:p>
        </w:tc>
      </w:tr>
      <w:tr>
        <w:trPr>
          <w:trHeight w:val="412"/>
        </w:trPr>
        <w:tc>
          <w:tcPr>
            <w:tcW w:w="890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Householding of Annual Disclosure Documents</w:t>
              </w:r>
            </w:hyperlink>
          </w:p>
        </w:tc>
        <w:tc>
          <w:tcPr>
            <w:tcW w:w="234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22</w:t>
              </w:r>
            </w:hyperlink>
          </w:p>
        </w:tc>
      </w:tr>
      <w:tr>
        <w:trPr>
          <w:trHeight w:val="412"/>
        </w:trPr>
        <w:tc>
          <w:tcPr>
            <w:tcW w:w="1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Available Information</w:t>
              </w:r>
            </w:hyperlink>
          </w:p>
        </w:tc>
        <w:tc>
          <w:tcPr>
            <w:tcW w:w="1820" w:type="dxa"/>
            <w:vAlign w:val="bottom"/>
            <w:tcBorders>
              <w:top w:val="single" w:sz="8" w:color="0000EE"/>
            </w:tcBorders>
            <w:gridSpan w:val="6"/>
          </w:tcPr>
          <w:p>
            <w:pPr>
              <w:spacing w:after="0"/>
              <w:rPr>
                <w:sz w:val="24"/>
                <w:szCs w:val="24"/>
                <w:color w:val="auto"/>
              </w:rPr>
            </w:pPr>
          </w:p>
        </w:tc>
        <w:tc>
          <w:tcPr>
            <w:tcW w:w="5440" w:type="dxa"/>
            <w:vAlign w:val="bottom"/>
            <w:gridSpan w:val="4"/>
          </w:tcPr>
          <w:p>
            <w:pPr>
              <w:spacing w:after="0"/>
              <w:rPr>
                <w:sz w:val="24"/>
                <w:szCs w:val="24"/>
                <w:color w:val="auto"/>
              </w:rPr>
            </w:pPr>
          </w:p>
        </w:tc>
        <w:tc>
          <w:tcPr>
            <w:tcW w:w="216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22</w:t>
              </w:r>
            </w:hyperlink>
          </w:p>
        </w:tc>
      </w:tr>
      <w:tr>
        <w:trPr>
          <w:trHeight w:val="412"/>
        </w:trPr>
        <w:tc>
          <w:tcPr>
            <w:tcW w:w="890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Notice and Ballot</w:t>
              </w:r>
            </w:hyperlink>
          </w:p>
        </w:tc>
        <w:tc>
          <w:tcPr>
            <w:tcW w:w="234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23</w:t>
              </w:r>
            </w:hyperlink>
          </w:p>
        </w:tc>
      </w:tr>
      <w:tr>
        <w:trPr>
          <w:trHeight w:val="810"/>
        </w:trPr>
        <w:tc>
          <w:tcPr>
            <w:tcW w:w="12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2021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enclosed proxy is solicited by and on behalf of the Board of Directors of Daktronics, Inc., a South Dakota corporation, for use at our Annual Meeting of Shareholders to be held on Wednesday, September 1, 2021 at Daktronics, Inc., 201 Daktronics Drive, Brookings, South Dakota at 4:30 p.m. Central Daylight Time, and at any adjournment or postponement thereof (the "Annual Meeting"), for the purposes set forth herein and in the accompanying Notice of Annual Meeting of Shareholders. This Proxy Statement and the accompanying form of proxy, together with our Fiscal 2021 Annual Report to Shareholders, are being made available to shareholders on the Internet or are being mailed on or about July 15, 2021 to shareholders entitled to vote at the Annual Meeting.</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shareholders are invited to attend the Annual Meeting in person with proof of ownership, such as your last broker or EQ Shareholder Services statement. We will follow social distancing guidelines as expressed by the U.S. Centers for Disease Control and Prevention.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28, 2021 (the "Record Date") are entitled to notice of and to vote at the Annual Meeting. As of the Record Date, there were 45,146,408 shares of our common stock outstanding and entitled to vote held by 964 shareholders of record.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xml:space="preserve"> by selecting "Investors" at the bottom of the website under "Our Company" and then "Annual Reports and Proxy"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only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Three of this Proxy Statement). Shares for which brokers have not received instructions, and which therefore are not voted, with respect to a particular proposal are referred to as "broker non-votes" with respect to that proposal. Abstentions from voting on a proposal described in this Proxy Statement and broker non-votes will not affect the outcome of the vote on that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the shares of our common stock are held directly in the name of the shareholder, he or she can vote on matters to come before the Annual Meeting:</w:t>
      </w:r>
    </w:p>
    <w:p>
      <w:pPr>
        <w:spacing w:after="0" w:line="234"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Internet, at www.proxyvote.com.</w:t>
      </w:r>
    </w:p>
    <w:p>
      <w:pPr>
        <w:sectPr>
          <w:pgSz w:w="11900" w:h="16838" w:orient="portrait"/>
          <w:cols w:equalWidth="0" w:num="1">
            <w:col w:w="11240"/>
          </w:cols>
          <w:pgMar w:left="320" w:top="125" w:right="339" w:bottom="92"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17, 2022 and must otherwise comply with the requirements of Rule 14a-8 under the Securities Exchange Act of 1934. If a shareholder wants to nominate a Director or bring other business before the shareholders at the next annual meeting of our shareholders without including the proposal in our Proxy Statement, we must receive notice of the proposal on or before May 31, 2022, and the shareholder must otherwise comply with Rule 14a-4(c) under the Securities Exchange Act of 1934. Notices of intention to present proposals at the 2022 annual meeting of shareholders should be addressed to Corporate Secretary, Daktronics, Inc., 201 Daktronics Drive, Brookings, South Dakota 57006.</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date of this Proxy Statement, management knows of no other business that may be presented at the Annual Meeting. However, if any other matters properly come before the Annual Meeting, it is the intention of the persons named in the enclosed proxies to vote the proxy in accordance with their best judgment.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28, 2021, the Record Date, by each of our Directors and two Director nominees; by each executive officer named in the Summary Compensation Table; by all Directors, the two Director nominees, and all executive officers as a group; and by each shareholder who is known by us to own beneficially more than five percent of our outstanding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Amount and Nature</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of Beneficial</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Name and Address of Beneficial Owners</w:t>
            </w: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Note</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Ownership(1)</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Shares(2)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Beneficial Owners: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BlackRock, Inc.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5,840,695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55 East 52nd Street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New York, NY 10055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Dimensional Fund Advisors LP</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2,639,679</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Building One, 6300 Bee Cave Road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Vanguard Group Inc.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2,538,397</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Malvern, PA 19355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Dr. Aelred J. Kurtenbach</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2,473,132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Daktronics, Inc. 401(k) Plan</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2,383,999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Reece A. Kurtenbach</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638,423</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James B. Morgan</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1,345,805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Byron J. Anderson</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84,750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Robert G. Dutcher</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93,576</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Kevin P. McDermott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68,456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John P. Friel</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63,808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Dr. José-Marie Griffiths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13,990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Shereta Williams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Lance D. Bultena</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Sheila M. Anderson</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93,057</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Bradley T. Wiemann</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172,056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Matthew J. Kurtenbach</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326,640</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Carla S. Gatzke</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811,949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All Directors, Director nominees, and executive officers as a group (13 persons,</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3,712,510</w:t>
            </w:r>
          </w:p>
        </w:tc>
        <w:tc>
          <w:tcPr>
            <w:tcW w:w="220" w:type="dxa"/>
            <w:vAlign w:val="bottom"/>
            <w:vMerge w:val="restart"/>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1"/>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consisting of those named above)</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820" w:right="20" w:hanging="488"/>
        <w:spacing w:after="0" w:line="258"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spacing w:after="0" w:line="1" w:lineRule="exact"/>
        <w:rPr>
          <w:rFonts w:ascii="Arial" w:cs="Arial" w:eastAsia="Arial" w:hAnsi="Arial"/>
          <w:sz w:val="18"/>
          <w:szCs w:val="18"/>
          <w:color w:val="auto"/>
        </w:rPr>
      </w:pPr>
    </w:p>
    <w:p>
      <w:pPr>
        <w:jc w:val="both"/>
        <w:ind w:left="820" w:hanging="488"/>
        <w:spacing w:after="0" w:line="281"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Applicable percentage ownership is based on 45,146,408 shares of common stock outstanding as of June 28, 2021.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June 28, 2021, and restricted stock units that are scheduled to vest within 60 days of June 28, 2021. We did not deem these shares outstanding, however, for the purpose of computing the percentage ownership of any other person.</w:t>
      </w:r>
    </w:p>
    <w:p>
      <w:pPr>
        <w:spacing w:after="0" w:line="2" w:lineRule="exact"/>
        <w:rPr>
          <w:rFonts w:ascii="Arial" w:cs="Arial" w:eastAsia="Arial" w:hAnsi="Arial"/>
          <w:sz w:val="16"/>
          <w:szCs w:val="16"/>
          <w:color w:val="auto"/>
        </w:rPr>
      </w:pPr>
    </w:p>
    <w:p>
      <w:pPr>
        <w:ind w:left="820" w:hanging="488"/>
        <w:spacing w:after="0" w:line="250"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140,550 shares subject to options, 33,630 shares held through the 401(k) Plan, 17,400 shares held by his spouse, 44,800 shares held by his children and 5,640 shares of restricted stock which vest within 60 days from June 28, 2021.</w:t>
      </w:r>
    </w:p>
    <w:p>
      <w:pPr>
        <w:ind w:left="820" w:hanging="488"/>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22,598 shares subject to exercisable options and 13,990 shares of restricted stock which vest on August 23, 2021.</w:t>
      </w:r>
    </w:p>
    <w:p>
      <w:pPr>
        <w:spacing w:after="0" w:line="21" w:lineRule="exact"/>
        <w:rPr>
          <w:rFonts w:ascii="Arial" w:cs="Arial" w:eastAsia="Arial" w:hAnsi="Arial"/>
          <w:sz w:val="18"/>
          <w:szCs w:val="18"/>
          <w:color w:val="auto"/>
        </w:rPr>
      </w:pPr>
    </w:p>
    <w:p>
      <w:pPr>
        <w:ind w:left="820" w:hanging="488"/>
        <w:spacing w:after="0" w:line="258"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22,598 shares subject to exercisable options and 13,990 shares of restricted stock which vest on August 23, 2021. Mr. Anderson is retiring from the Board of Directors, effective September 1, 2021.</w:t>
      </w:r>
    </w:p>
    <w:p>
      <w:pPr>
        <w:spacing w:after="0" w:line="1"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22,598 shares subject to exercisable options and 13,990 shares of restricted stock which vest on August 23, 2021. Mr. Dutcher is retiring form the Board of Directors, effective September 1, 2021.</w:t>
      </w:r>
    </w:p>
    <w:p>
      <w:pPr>
        <w:ind w:left="820" w:hanging="488"/>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13,990 shares of restricted stock which vest on August 23, 2021.</w:t>
      </w:r>
    </w:p>
    <w:p>
      <w:pPr>
        <w:spacing w:after="0" w:line="21" w:lineRule="exact"/>
        <w:rPr>
          <w:rFonts w:ascii="Arial" w:cs="Arial" w:eastAsia="Arial" w:hAnsi="Arial"/>
          <w:sz w:val="18"/>
          <w:szCs w:val="18"/>
          <w:color w:val="auto"/>
        </w:rPr>
      </w:pPr>
    </w:p>
    <w:p>
      <w:pPr>
        <w:ind w:left="820" w:hanging="488"/>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13,990 shares of restricted stock which vest on August 23, 2021.</w:t>
      </w:r>
    </w:p>
    <w:p>
      <w:pPr>
        <w:spacing w:after="0" w:line="36" w:lineRule="exact"/>
        <w:rPr>
          <w:rFonts w:ascii="Arial" w:cs="Arial" w:eastAsia="Arial" w:hAnsi="Arial"/>
          <w:sz w:val="18"/>
          <w:szCs w:val="18"/>
          <w:color w:val="auto"/>
        </w:rPr>
      </w:pPr>
    </w:p>
    <w:p>
      <w:pPr>
        <w:ind w:left="820" w:hanging="488"/>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13,990 shares of restricted stock which vest on August 23, 2021.</w:t>
      </w:r>
    </w:p>
    <w:p>
      <w:pPr>
        <w:spacing w:after="0" w:line="36" w:lineRule="exact"/>
        <w:rPr>
          <w:rFonts w:ascii="Arial" w:cs="Arial" w:eastAsia="Arial" w:hAnsi="Arial"/>
          <w:sz w:val="18"/>
          <w:szCs w:val="18"/>
          <w:color w:val="auto"/>
        </w:rPr>
      </w:pPr>
    </w:p>
    <w:p>
      <w:pPr>
        <w:ind w:left="820" w:hanging="488"/>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Ms. Williams is not currently a Director of the Company. On May 27, 2021, the Board of Directors nominated her as a Director.</w:t>
      </w:r>
    </w:p>
    <w:p>
      <w:pPr>
        <w:spacing w:after="0" w:line="36" w:lineRule="exact"/>
        <w:rPr>
          <w:rFonts w:ascii="Arial" w:cs="Arial" w:eastAsia="Arial" w:hAnsi="Arial"/>
          <w:sz w:val="18"/>
          <w:szCs w:val="18"/>
          <w:color w:val="auto"/>
        </w:rPr>
      </w:pPr>
    </w:p>
    <w:p>
      <w:pPr>
        <w:ind w:left="820" w:hanging="488"/>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Mr. Bultena is not currently a Director of the Company. On May 27, 2021, the Board of Directors nominated him as a Director.</w:t>
      </w:r>
    </w:p>
    <w:p>
      <w:pPr>
        <w:spacing w:after="0" w:line="36" w:lineRule="exact"/>
        <w:rPr>
          <w:rFonts w:ascii="Arial" w:cs="Arial" w:eastAsia="Arial" w:hAnsi="Arial"/>
          <w:sz w:val="18"/>
          <w:szCs w:val="18"/>
          <w:color w:val="auto"/>
        </w:rPr>
      </w:pPr>
    </w:p>
    <w:p>
      <w:pPr>
        <w:ind w:left="820" w:right="20" w:hanging="488"/>
        <w:spacing w:after="0" w:line="258"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58,120 shares subject to options, 8,555 shares held through the 401(k) Plan and 2,700 shares of restricted stock which vest within 60 days from June 28, 2021.</w:t>
      </w:r>
    </w:p>
    <w:p>
      <w:pPr>
        <w:spacing w:after="0" w:line="1"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66,050 shares subject to options, 597 shares held by his spouse and 2,700 shares of restricted stock which vest within 60 days from June 28, 2021.</w:t>
      </w:r>
    </w:p>
    <w:p>
      <w:pPr>
        <w:ind w:left="820" w:hanging="488"/>
        <w:spacing w:after="0" w:line="250"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65,750 shares subject to options, 16,142 shares held through 401(k) Plan, 39,100 shares held by his children and 2,700 shares of restricted stock which vest within 60 days from June 28, 2021.</w:t>
      </w:r>
    </w:p>
    <w:p>
      <w:pPr>
        <w:ind w:left="820" w:right="20" w:hanging="488"/>
        <w:spacing w:after="0" w:line="250"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62,226 shares subject to options, 163,578 shares held through the 401(k) Plan, 90,000 shares held by her spouse, 15,005 shares held by her child and 2,600 shares of restricted stock with which vest within 60 days from June 28, 2021.</w:t>
      </w:r>
    </w:p>
    <w:p>
      <w:pPr>
        <w:ind w:left="820" w:hanging="488"/>
        <w:spacing w:after="0" w:line="260"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five percent of the outstanding shares of the Company's common stock.</w:t>
      </w:r>
    </w:p>
    <w:p>
      <w:pPr>
        <w:sectPr>
          <w:pgSz w:w="11900" w:h="16838" w:orient="portrait"/>
          <w:cols w:equalWidth="0" w:num="1">
            <w:col w:w="11240"/>
          </w:cols>
          <w:pgMar w:left="320" w:top="125" w:right="339" w:bottom="55"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5"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820" w:hanging="488"/>
        <w:spacing w:after="0" w:line="255"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Securities and Exchange Commission (the "SEC") on February 10, 2021. As set forth in the Schedule 13G/A, BlackRock, Inc. has sole voting power as to 5,803,604 of these shares and sole dispositive power as to all 5,840,695 shares.</w:t>
      </w:r>
    </w:p>
    <w:p>
      <w:pPr>
        <w:spacing w:after="0" w:line="2"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 on February 12, 2021. As set forth in the Schedule 13G/A, Dimensional Fund Advisors LP has sole voting power as to 2,496,878 of these shares and sole dispositive power as to all 2,639,679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 on February 10, 2021. As set forth in the Schedule 13G/A, Vanguard Group Inc. has sole voting power as to 0 of these shares, shared voting power as to 25,982 shares, sole dispositive power as to 2,495,125 shares, and shared dispositive power as to 43,272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888,769 shares held by his spouse, Irene Kurtenbach, and 601,675 shares held in Medary Creek LLLP. Medary Creek LLLP is a limited liability limited partnership of which Aelred and Irene Kurtenbach are the general partners. The address for Aelred and Irene Kurtenbach and Medary Creek LLLP is 47209 220th Street, Brookings, SD 57006.</w:t>
      </w:r>
    </w:p>
    <w:p>
      <w:pPr>
        <w:spacing w:after="0" w:line="1" w:lineRule="exact"/>
        <w:rPr>
          <w:rFonts w:ascii="Arial" w:cs="Arial" w:eastAsia="Arial" w:hAnsi="Arial"/>
          <w:sz w:val="18"/>
          <w:szCs w:val="18"/>
          <w:color w:val="auto"/>
        </w:rPr>
      </w:pPr>
    </w:p>
    <w:p>
      <w:pPr>
        <w:ind w:left="820" w:hanging="488"/>
        <w:spacing w:after="0" w:line="187" w:lineRule="auto"/>
        <w:tabs>
          <w:tab w:leader="none" w:pos="820" w:val="left"/>
        </w:tabs>
        <w:numPr>
          <w:ilvl w:val="0"/>
          <w:numId w:val="8"/>
        </w:numPr>
        <w:rPr>
          <w:rFonts w:ascii="Arial" w:cs="Arial" w:eastAsia="Arial" w:hAnsi="Arial"/>
          <w:sz w:val="32"/>
          <w:szCs w:val="32"/>
          <w:color w:val="auto"/>
          <w:vertAlign w:val="subscript"/>
        </w:rPr>
      </w:pPr>
      <w:r>
        <w:rPr>
          <w:rFonts w:ascii="Arial" w:cs="Arial" w:eastAsia="Arial" w:hAnsi="Arial"/>
          <w:sz w:val="16"/>
          <w:szCs w:val="16"/>
          <w:color w:val="auto"/>
        </w:rPr>
        <w:t>The common stock held by the 401(k) Plan and allocated to the 401(k) Plan participants are voted by the trustee of the 401(k) Plan according to the instructions of the 401(k) Plan participants. The address of the 401(k) Plan is 201 Daktronics Drive, Brookings, South Dakota 57006.</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consists of seven individuals divided into three classes serving staggered three-year terms of office. There are two Directors (John P. Friel and Reece A Kurtenbach) whose term will expire at the 2021 Annual Meeting; two Directors (James B. Morgan and Kevin P. McDermott) whose terms will expire in 2022; and one Director (Dr. José-Marie Griffiths) whose term will expire in 2023.</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Nominating and Corporate Governance Committee has recommended to the Board of Directors that John P. Friel and Reece A. Kurtenbach be nominated for re-election at the 2021 Annual Meeting and that Shereta Williams (term expiring 2024) and Lance D. Bultena (term expiring 2023) be nominated for election at the 2021 Annual Meeting, and the Board of Directors has approved the recommendations.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Name</w:t>
            </w: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20" w:type="dxa"/>
            <w:vAlign w:val="bottom"/>
          </w:tcPr>
          <w:p>
            <w:pPr>
              <w:spacing w:after="0"/>
              <w:rPr>
                <w:sz w:val="20"/>
                <w:szCs w:val="20"/>
                <w:color w:val="auto"/>
              </w:rPr>
            </w:pPr>
          </w:p>
        </w:tc>
        <w:tc>
          <w:tcPr>
            <w:tcW w:w="37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Principal Occupation</w:t>
            </w:r>
          </w:p>
        </w:tc>
        <w:tc>
          <w:tcPr>
            <w:tcW w:w="100" w:type="dxa"/>
            <w:vAlign w:val="bottom"/>
          </w:tcPr>
          <w:p>
            <w:pPr>
              <w:spacing w:after="0"/>
              <w:rPr>
                <w:sz w:val="20"/>
                <w:szCs w:val="20"/>
                <w:color w:val="auto"/>
              </w:rPr>
            </w:pPr>
          </w:p>
        </w:tc>
        <w:tc>
          <w:tcPr>
            <w:tcW w:w="3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Committees Served On</w:t>
            </w:r>
          </w:p>
        </w:tc>
      </w:tr>
      <w:tr>
        <w:trPr>
          <w:trHeight w:val="195"/>
        </w:trPr>
        <w:tc>
          <w:tcPr>
            <w:tcW w:w="2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John P. Friel</w:t>
            </w:r>
          </w:p>
        </w:tc>
        <w:tc>
          <w:tcPr>
            <w:tcW w:w="1140" w:type="dxa"/>
            <w:vAlign w:val="bottom"/>
            <w:gridSpan w:val="2"/>
            <w:shd w:val="clear" w:color="auto" w:fill="CCEEFF"/>
          </w:tcPr>
          <w:p>
            <w:pPr>
              <w:jc w:val="center"/>
              <w:ind w:left="30"/>
              <w:spacing w:after="0" w:line="195" w:lineRule="exact"/>
              <w:rPr>
                <w:sz w:val="20"/>
                <w:szCs w:val="20"/>
                <w:color w:val="auto"/>
              </w:rPr>
            </w:pPr>
            <w:r>
              <w:rPr>
                <w:rFonts w:ascii="Arial" w:cs="Arial" w:eastAsia="Arial" w:hAnsi="Arial"/>
                <w:sz w:val="18"/>
                <w:szCs w:val="18"/>
                <w:color w:val="auto"/>
                <w:w w:val="89"/>
              </w:rPr>
              <w:t>67</w:t>
            </w:r>
          </w:p>
        </w:tc>
        <w:tc>
          <w:tcPr>
            <w:tcW w:w="3820" w:type="dxa"/>
            <w:vAlign w:val="bottom"/>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Director at Preservation Technologies LLC;</w:t>
            </w:r>
          </w:p>
        </w:tc>
        <w:tc>
          <w:tcPr>
            <w:tcW w:w="346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w w:val="95"/>
              </w:rPr>
              <w:t>Audit Committee; Compensation Committee</w:t>
            </w: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at Blue Water Growth LLC; Board</w:t>
            </w: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Member at Vascor, Inc.; Board Member and Chief</w:t>
            </w: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Strategy Officer at Magvation LLC; and Senior</w:t>
            </w: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Partner at Mikan Group.</w:t>
            </w: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02"/>
        </w:trPr>
        <w:tc>
          <w:tcPr>
            <w:tcW w:w="2820" w:type="dxa"/>
            <w:vAlign w:val="bottom"/>
          </w:tcPr>
          <w:p>
            <w:pPr>
              <w:spacing w:after="0"/>
              <w:rPr>
                <w:sz w:val="17"/>
                <w:szCs w:val="17"/>
                <w:color w:val="auto"/>
              </w:rPr>
            </w:pPr>
          </w:p>
        </w:tc>
        <w:tc>
          <w:tcPr>
            <w:tcW w:w="114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56</w:t>
            </w:r>
          </w:p>
        </w:tc>
        <w:tc>
          <w:tcPr>
            <w:tcW w:w="38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President and Chief Executive Officer at</w:t>
            </w: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Reece A. Kurtenbach</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Daktronics, Inc.</w:t>
            </w: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02"/>
        </w:trPr>
        <w:tc>
          <w:tcPr>
            <w:tcW w:w="28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47</w:t>
            </w:r>
          </w:p>
        </w:tc>
        <w:tc>
          <w:tcPr>
            <w:tcW w:w="38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Vice President Business Development at Cox</w:t>
            </w: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Shereta Williams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Enterprises, Inc.</w:t>
            </w: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02"/>
        </w:trPr>
        <w:tc>
          <w:tcPr>
            <w:tcW w:w="2820" w:type="dxa"/>
            <w:vAlign w:val="bottom"/>
          </w:tcPr>
          <w:p>
            <w:pPr>
              <w:spacing w:after="0"/>
              <w:rPr>
                <w:sz w:val="17"/>
                <w:szCs w:val="17"/>
                <w:color w:val="auto"/>
              </w:rPr>
            </w:pPr>
          </w:p>
        </w:tc>
        <w:tc>
          <w:tcPr>
            <w:tcW w:w="114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58</w:t>
            </w:r>
          </w:p>
        </w:tc>
        <w:tc>
          <w:tcPr>
            <w:tcW w:w="38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Global Director of Thought Leadership for</w:t>
            </w: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Lance D. Bultena</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Mobility and Transportation at Hogan Lovells.</w:t>
            </w: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John P. Friel (67) </w:t>
      </w:r>
      <w:r>
        <w:rPr>
          <w:rFonts w:ascii="Arial" w:cs="Arial" w:eastAsia="Arial" w:hAnsi="Arial"/>
          <w:sz w:val="16"/>
          <w:szCs w:val="16"/>
          <w:color w:val="auto"/>
        </w:rPr>
        <w:t>has been a Director since September 2015 and has served on the Audit Committee since September 2015 and on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October 2016.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area in 1987. He then served as Executive Vice President of Sales and Marketing from 1989 to 1995, Senior Vice President and General Manager from 1995 to 1998, and as President and Chief Executive Officer from 1998 to 2010. MEDRAD received the Malcolm Baldrige National Quality Award twice during his tenure, once in 2004 and again in 2010. Mr. Friel retired as CEO of Vascor, Inc. in December 2019, but he remains as a member of the Board of Directors. Vascor is a pre-clinical medical device development company. He also is currently the Managing Director at Preservation Technologies L.P. and a Director of the medical device industry segment at Blue Water Growth LLC. Mr. Friel is the Principal and Founder of Five Radicals, which focuses on Baldrige Performance Excellence, strategic planning, general business consulting to entrepreneurial medical device companies, and private equity business development opportunity search efforts. Mr. Friel is a director and Chief Strategy Officer of Magvation, LLC, a medical device development company. Mr. Friel is a Senior Partner of the Mikan Group, a general management consulting company.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Reece A. Kurtenbach (56) </w:t>
      </w:r>
      <w:r>
        <w:rPr>
          <w:rFonts w:ascii="Arial" w:cs="Arial" w:eastAsia="Arial" w:hAnsi="Arial"/>
          <w:sz w:val="18"/>
          <w:szCs w:val="18"/>
          <w:color w:val="auto"/>
        </w:rPr>
        <w:t>was appointed as President and Chief Executive Officer and a Director effective on September 1, 2013 and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also worked as a student employee with various responsibilities from 1983 to 1987. Mr. Kurtenbach holds a Bachelor of Science degree from South Dakota State University in Electrical Engineering, with minors in Mathematics and Computer Science. Mr. Kurtenbach is the son of Dr. Aelred Kurtenbach and brother of Matthew J. Kurtenbach and Carla S. Gatzke. The Board believes that Mr. Kurtenbach is an appropriate representative of management on the Board, given his position as a senior executive officer and his over 30 years of experience with the Company. In addition, Mr. Kurtenbach brings a wealth of industry experience to the Board.</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Shereta Williams (47) </w:t>
      </w:r>
      <w:r>
        <w:rPr>
          <w:rFonts w:ascii="Arial" w:cs="Arial" w:eastAsia="Arial" w:hAnsi="Arial"/>
          <w:sz w:val="17"/>
          <w:szCs w:val="17"/>
          <w:color w:val="auto"/>
        </w:rPr>
        <w:t>is Vice President Business Development on the strategy and corporate development team of Cox Enterprises, Inc. based in Atlanta,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Georgia and has served in such capacity since 2020. She has held a variety of strategy, corporate development and business development roles within the Cox Enterprise, Inc. subsidiaries and groups, including President of Videa, LLC from 2014 through 2020; Vice President of Corporation Development for Cox Media Group from 2010 to 2013; and Director of Development and Digital Services for Cox Television from 2001 through 2006. In between the roles at Cox, from 2006 through 2009, she was the managing director of the currency division for Maven Funds, a startup hedge fund in Atlanta where she was responsible for managing traders, implementation of automated trading systems, risk management and operations. She began her career working in investment banking as an analyst for mergers and acquisitions for Lazard Freres &amp; Co, LLC from 1996 through 1998. She holds a Bachelor of Science degree in Electrical Engineering, with a concentration in Economics, from the Massachusetts Institute of Technology. Ms. Williams brings to the Board extensive knowledge in corporate development, strategy, and mergers and acquisitions, as well as operational leadership in the digital communications industry.</w:t>
      </w:r>
    </w:p>
    <w:p>
      <w:pPr>
        <w:sectPr>
          <w:pgSz w:w="11900" w:h="16838" w:orient="portrait"/>
          <w:cols w:equalWidth="0" w:num="1">
            <w:col w:w="11240"/>
          </w:cols>
          <w:pgMar w:left="320" w:top="125"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Lance D. Bultena (58) </w:t>
      </w:r>
      <w:r>
        <w:rPr>
          <w:rFonts w:ascii="Arial" w:cs="Arial" w:eastAsia="Arial" w:hAnsi="Arial"/>
          <w:sz w:val="17"/>
          <w:szCs w:val="17"/>
          <w:color w:val="auto"/>
        </w:rPr>
        <w:t>is the Global Director of Thought Leadership for Mobility and Transportation at Hogan Lovells, a global law firm, where he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a senior counsel after serving as a partner for many years. He has been at the firm (and its predecessor Hogan &amp; Hartson) since 1999. He was Counsel to the U.S. Senate Committee on Commerce, Science, and Transportation from 1995 to 1999. He received a doctorate (D. Phil) in Politics and a masters (M. Phil) in Economics from Oxford University which he attended as a Rhodes Scholar. He received a law degree (J.D.) from Harvard Law School and did his undergraduate study at the University of South Dakota. Dr. Bultena brings to the board significant experience in helping businesses evaluate and address the challenges of technological change and public policy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Dr. Jos</w:t>
      </w:r>
      <w:r>
        <w:rPr>
          <w:rFonts w:ascii="Arial" w:cs="Arial" w:eastAsia="Arial" w:hAnsi="Arial"/>
          <w:sz w:val="16"/>
          <w:szCs w:val="16"/>
          <w:color w:val="auto"/>
        </w:rPr>
        <w:t>é</w:t>
      </w:r>
      <w:r>
        <w:rPr>
          <w:rFonts w:ascii="Arial" w:cs="Arial" w:eastAsia="Arial" w:hAnsi="Arial"/>
          <w:sz w:val="16"/>
          <w:szCs w:val="16"/>
          <w:b w:val="1"/>
          <w:bCs w:val="1"/>
          <w:color w:val="auto"/>
        </w:rPr>
        <w:t xml:space="preserve">-Marie Griffiths (69) </w:t>
      </w:r>
      <w:r>
        <w:rPr>
          <w:rFonts w:ascii="Arial" w:cs="Arial" w:eastAsia="Arial" w:hAnsi="Arial"/>
          <w:sz w:val="16"/>
          <w:szCs w:val="16"/>
          <w:color w:val="auto"/>
        </w:rPr>
        <w:t>is president of Dakota State University in Madison, South Dakota and has served in such capacity since July 2015.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Griffiths has spent her career in research, teaching, public service, corporate leadership, economic development, and higher education administration. She has served in presidential appointments to the National Science Board, the U.S. President’s Information Technology Advisory Committee, and the U.S. National Commission on Libraries and Information Science. She has recently been appointed a member of the National Security Commission on Artificial Intelligence, part of the John S. McCain National Defense Authorization Act for 2019. She has led projects for over 28 U.S. federal agencies such as the National Science Foundation, NASA, the Department of Energy, and various intelligence and military agencies, over 20 major corporations such as AT&amp;T Bell Laboratories and IBM, in over 35 countries, and worked with seven major international organizations, including NATO and the United Nations. She has received over 20 significant awards in science, technology, teaching and the advancement of women in these fields. She holds a Bachelor of Science degree and a Doctor of Philosophy in Physics and Information Science from the University College London ("UCL"). She was a Post-Doctoral Fellow in Computer Science and Statistics and was recently awarded a Doctor of Science honoris causa from UCL.</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Kevin P. McDermott (67) </w:t>
      </w:r>
      <w:r>
        <w:rPr>
          <w:rFonts w:ascii="Arial" w:cs="Arial" w:eastAsia="Arial" w:hAnsi="Arial"/>
          <w:sz w:val="17"/>
          <w:szCs w:val="17"/>
          <w:color w:val="auto"/>
        </w:rPr>
        <w:t>has been a Director since June 2015 and has served on the Audit Committee as a member from August 2015 through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as Chairman since October 2016. On June 1, 2020, Mr. McDermott was named by the Board as the Lead Independent Director. Mr. McDermott retired from an international accounting firm, KPMG LLP, in the fall of 2013 after being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third-party litigation matters. He is a licensed Certified Public Accountant in Tennessee and New York and holds a Bachelor of Science in economics from South Dakota State University. Mr. McDermott was appointed to the board of directors of Genesco Inc. effective February 1, 2016 and currently serves as Chairman of its Audit Committee. Genesco is a publicly-traded retailer and wholesaler of branded footwear, apparel and accessories. From March 2019 through March 2020, Mr. McDermott served as Chief Audit Executive for Pinnacle Financial Partners, Inc., a publicly-held bank holding company located in Nashville, Tennessee. Mr. McDermott brings significant expertise in the area of financial and internal control over financial reporting by publicly-traded companies. This expertise aligns with our responsibility and commitment to provide oversight for our shareholders relating to the integrity of our financial statements and related filings.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James B. Morgan (74) </w:t>
      </w:r>
      <w:r>
        <w:rPr>
          <w:rFonts w:ascii="Arial" w:cs="Arial" w:eastAsia="Arial" w:hAnsi="Arial"/>
          <w:sz w:val="17"/>
          <w:szCs w:val="17"/>
          <w:color w:val="auto"/>
        </w:rPr>
        <w:t>is currently retired. He has been a Director since 1984 and has served on the Audit Committee and Nominating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Committee since October 2016. Mr. Morgan was named the chairperson of the Nominating and Corporate Governance Committee on June 1, 2020. He served as the Company's President and Chief Executive Officer from 2001 through his retirement effective on September 1, 2013. Prior to that, he served as President and Chief Operating Officer and Vice President of Engineering. He originally joined the Company in 1969 as its first design engineer. He holds a Bachelor of Science degree and a Master of Science degree in Electrical Engineering from South Dakota State University. Mr. Morgan brings to the Board his experience and knowledge of our business and industry derived from his previous positions as President and Chief Executive Officer and his over 50 years of experience with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Nominating and Corporate Governance Committee has determined that each of Messrs. Anderson, Dutcher, Friel, Morgan, Williams, Bultena, and McDermott and Dr. José-Marie Griffiths and Ms. Williams are "independent," as that term is defined in Rule 5605(a)(2) of the Nasdaq Listing Rules (the "Independent Directors"). Accordingly, the Board is 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 of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APPROVAL OF THE COMPANY'S EXECUTIVE COMPENSATION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members of our peer group, and a meaningful portion of the compensation paid to our executive officers is based on long-term equity incentive compensation and annual non-equity incentive compensation, which is focused on the key results and strategic drivers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Discussion and Analysis section of this Proxy Statement explains in more detail our executive compensation program.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viewed as a whole, our compensation practices and policies are appropriate and are fair to both the Company and its executives and aligns with the long-term interests of our shareholders.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 advisory approval, this proposal is non-binding. However, the Board and our Compensation Committee, which is responsible for designing and overseeing the administration of our executive program, value the opinions of our shareholders and will consider the outcome of the vote when making future compensation decisions for our Chief Executive Officer (the "CEO") and all of the other executive officers named in the Summary Compensation Table appearing later in this Proxy Statement (collectively, the "Named Executive Officers").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ADVISORY (NON-BINDING) APPROVAL OF THE COMPENSATION OF OUR NAMED EXECUTIVE OFFICERS AS DISCLOSED IN THE PROXY STATEMENT PURSUANT TO THE SEC</w:t>
      </w:r>
      <w:r>
        <w:rPr>
          <w:rFonts w:ascii="Arial" w:cs="Arial" w:eastAsia="Arial" w:hAnsi="Arial"/>
          <w:sz w:val="18"/>
          <w:szCs w:val="18"/>
          <w:color w:val="auto"/>
        </w:rPr>
        <w:t>’</w:t>
      </w:r>
      <w:r>
        <w:rPr>
          <w:rFonts w:ascii="Arial" w:cs="Arial" w:eastAsia="Arial" w:hAnsi="Arial"/>
          <w:sz w:val="18"/>
          <w:szCs w:val="18"/>
          <w:b w:val="1"/>
          <w:bCs w:val="1"/>
          <w:color w:val="auto"/>
        </w:rPr>
        <w:t>S COMPENSATION DISCLOSURE RULES.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Audit Committee of the Board of Directors has selected Deloitte &amp; Touche, LLP ("Deloitte") to serve as our independent registered public accounting firm (the "Independent Auditor") for the fiscal year ending April 30, 2022. Deloitte has been our Independent Auditor since fiscal 2018.</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recognizes the importance of maintaining the independence of the Company's Independent Auditor, both in fact and appearance. Each year, the Audit Committee evaluates the qualifications, performance and independence of our Independent Auditor and determines whether to re-engage such firm. In doing so, the Audit Committee considers, among other things, the quality and efficiency of the services provided by the Independent Auditor, its capabilities and its technical expertise, its knowledge of our operations and industry, and relevant information concerning its independence.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not required to do so, our board is submitting the selection of Deloitte for ratification to ascertain the views of our shareholders with respect to the choice of the firm. If the shareholders do not approve the selection of Deloitte, the Audit Committee will reconsider its selection. A representative from Deloitte is expected to be present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 presents the aggregate fees billed for professional services rendered by Deloitte, including out-of-pocket expenses. 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 The Audit Committee considers the provision of services by Deloitte to us, over and above the audit fees, to be compatible with the ability of each of Deloitte to maintain its independence.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Audit fees (1)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Audit-related fees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fees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Fiscal Year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May 1, 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8"/>
              </w:rPr>
              <w:t>May 2, 2020</w:t>
            </w:r>
          </w:p>
        </w:tc>
        <w:tc>
          <w:tcPr>
            <w:tcW w:w="20" w:type="dxa"/>
            <w:vAlign w:val="bottom"/>
          </w:tcPr>
          <w:p>
            <w:pPr>
              <w:spacing w:after="0"/>
              <w:rPr>
                <w:sz w:val="18"/>
                <w:szCs w:val="18"/>
                <w:color w:val="auto"/>
              </w:rPr>
            </w:pPr>
          </w:p>
        </w:tc>
      </w:tr>
      <w:tr>
        <w:trPr>
          <w:trHeight w:val="195"/>
        </w:trPr>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846,452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844,800</w:t>
            </w:r>
          </w:p>
        </w:tc>
        <w:tc>
          <w:tcPr>
            <w:tcW w:w="2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41,740</w:t>
            </w:r>
          </w:p>
        </w:tc>
      </w:tr>
      <w:tr>
        <w:trPr>
          <w:trHeight w:val="216"/>
        </w:trPr>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2,038</w:t>
            </w:r>
          </w:p>
        </w:tc>
      </w:tr>
      <w:tr>
        <w:trPr>
          <w:trHeight w:val="230"/>
        </w:trPr>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3,790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916,429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888,578</w:t>
            </w:r>
          </w:p>
        </w:tc>
        <w:tc>
          <w:tcPr>
            <w:tcW w:w="20" w:type="dxa"/>
            <w:vAlign w:val="bottom"/>
          </w:tcPr>
          <w:p>
            <w:pPr>
              <w:spacing w:after="0"/>
              <w:rPr>
                <w:sz w:val="18"/>
                <w:szCs w:val="18"/>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2" w:lineRule="exact"/>
        <w:rPr>
          <w:sz w:val="20"/>
          <w:szCs w:val="20"/>
          <w:color w:val="auto"/>
        </w:rPr>
      </w:pPr>
    </w:p>
    <w:p>
      <w:pPr>
        <w:jc w:val="both"/>
        <w:ind w:left="820" w:hanging="488"/>
        <w:spacing w:after="0" w:line="271"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ind w:left="820" w:hanging="488"/>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Deloitte that are reasonably related to the performance of the audit or review of our financial statements.</w:t>
      </w: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Deloitte that does not meet the above category descriptions.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DELOITTE &amp; TOUCHE, LLP AS THE COMPANY</w:t>
      </w:r>
      <w:r>
        <w:rPr>
          <w:rFonts w:ascii="Arial" w:cs="Arial" w:eastAsia="Arial" w:hAnsi="Arial"/>
          <w:sz w:val="18"/>
          <w:szCs w:val="18"/>
          <w:color w:val="auto"/>
        </w:rPr>
        <w:t>’</w:t>
      </w:r>
      <w:r>
        <w:rPr>
          <w:rFonts w:ascii="Arial" w:cs="Arial" w:eastAsia="Arial" w:hAnsi="Arial"/>
          <w:sz w:val="18"/>
          <w:szCs w:val="18"/>
          <w:b w:val="1"/>
          <w:bCs w:val="1"/>
          <w:color w:val="auto"/>
        </w:rPr>
        <w:t>S INDEPENDENT REGISTERED PUBLIC ACCOUNTING FIRM FOR THE FISCAL YEAR ENDING APRIL 30, 2022 AS SET FORTH IN PROPOSAL THREE.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line="7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Board of Directors is committed to achieving the long-term mutual prosperity of all stakeholders while maintaining the highest standard of responsibility and integrity. The Board has adopted these corporate governance principles to provide an effective framework that reflect a set of core values and provide a foundation for Daktronics governance and management systems. Specific Board of Director responsibilities to achieve this commitment include:</w:t>
      </w:r>
    </w:p>
    <w:p>
      <w:pPr>
        <w:spacing w:after="0" w:line="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and operational planning: reviewing the overall operating, financial and strategic plans and performance of Daktronics;</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oversight: selecting and evaluating the Company’s Chief Executive Officer and approving and monitoring the selection and evaluation process of other executive officers;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Governance, compliance and risk management: overseeing appropriate policies of corporate conduct and compliance with laws; and</w:t>
      </w:r>
    </w:p>
    <w:p>
      <w:pPr>
        <w:spacing w:after="0" w:line="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reporting: reviewing the process by which financial and non-financial information about the Company is provided to management, the Board and the Company’s shareholders.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strategies, and major corporate actions through discussions with the Named Executive Officers, by reviewing material provided to them and by participating in meetings of the Board and its Committees.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currently combines the roles of CEO and Chairman of the Board ("Chair"). Periodically, our Board of Directors assesses these roles and the Board leadership structure to assure that the interests of the Company and its shareholders are best served.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determined that its current structure, with a combined Chair and CEO, is in the best interests of the Company and its shareholders at this time. Kevin McDermott has served as Lead Independent Director since June 1, 2020. Ms. Nancy Frame, now retired, served as our Lead Independent Direct for a portion of fiscal 2021, from May 3, 2020 to June 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Chair conducts the Board meetings. The Chair, after consulting with the Lead Independent Director, sets board meetings agenda, sets schedules, and distributes information to the Board. This collaborative process assures that the agenda takes into account issues and concerns of all Directors and is forward-looking and focuses on strategic matters.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Lead Independent Director calls and presides over Independent Director meetings and provides timely feedback from each meeting to the Chair. The Lead Independent Director is responsible to promote effective relationships and open communication among Directors and the CEO, build consensus among Board members, build an effective and complementary Board, promote the highest standards of corporate governance, participate actively in the selection of new Directors, and promote the orientation of new Directors to provide coaching and support for their development.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3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2021, the Board of Directors held four regularly scheduled meetings and eight special meetings, the Audit Committee met five times, the Compensation Committee met five times, and the Nominating and Corporate Governance Committee met four times. All of the Directors attended all meetings of the Board of Directors and Committees upon which they served, and all of the Directors remotely attended the annual meeting of shareholders held in September 2020. Special Board meetings were held during fiscal 2021 to allow the Board to actively engage with management in preparing for, responding to, and monitoring the impacts of the evolving novel coronavirus ("COVID-19") pandemic.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Board has adopted a practice of meeting in executive session, and then with Independent Directors only, in conjunction with each regularly scheduled Board meeting. The Independent Directors met four times in fiscal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w:t>
      </w:r>
      <w:r>
        <w:rPr>
          <w:rFonts w:ascii="Arial" w:cs="Arial" w:eastAsia="Arial" w:hAnsi="Arial"/>
          <w:sz w:val="18"/>
          <w:szCs w:val="18"/>
          <w:color w:val="auto"/>
        </w:rPr>
        <w:t>’</w:t>
      </w:r>
      <w:r>
        <w:rPr>
          <w:rFonts w:ascii="Arial" w:cs="Arial" w:eastAsia="Arial" w:hAnsi="Arial"/>
          <w:sz w:val="18"/>
          <w:szCs w:val="18"/>
          <w:b w:val="1"/>
          <w:bCs w:val="1"/>
          <w:color w:val="auto"/>
        </w:rPr>
        <w:t>s Role in Risk Oversight</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cybersecurity, the economy, credit markets, and regulatory and legislative developments. The Board has also been actively engaged with management in preparing for, responding to, and monitoring the impacts of the evolving COVID-19 novel coronavirus pandemic and related recovery. Management is in regular communication with the Board about the assessment, management, and strategic response to the significant risks to Daktronics.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various Committees of the Board are also responsible for specific areas of risks. The Audit Committee meets regularly with management and our Independent Auditor to oversee our financial risk management processes, controls and capabilities. The Audit Committee also oversees and reviews with management certain aspects of our information systems, credit, litigation, and currency risks and other finance matters. In addition, the Audit Committee</w:t>
      </w:r>
    </w:p>
    <w:p>
      <w:pPr>
        <w:sectPr>
          <w:pgSz w:w="11900" w:h="16917" w:orient="portrait"/>
          <w:cols w:equalWidth="0" w:num="1">
            <w:col w:w="11240"/>
          </w:cols>
          <w:pgMar w:left="320" w:top="125" w:right="339" w:bottom="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reviews and monitors our procedures regarding the receipt, retention and treatment of complaints regarding internal accounting, accounting controls or audit matters.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Compensation Committee oversees our executive compensation arrangements and certain benefit plans. This includes the identification and management of risks that may arise from our compensation policies and practices.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accordance with our insider trading policy, officers, Directors, senior managers, market managers, and other designated employees are prohibited from engaging in hedging transactions, trading in puts and calls in and engaging in short sales of our common stock. In addition to our officers, Directors, and other designated employees, the covered persons also include family members of such Company personnel sharing the same residence. Hedging or monetization transactions are typically accomplished through a number of possible mechanisms, including through the use of financial instruments such as prepaid variable forwards, equity swaps, collars and exchange funds, in which all of which our covered persons are precluded from using or trading.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color w:val="auto"/>
        </w:rPr>
        <w:t>. During fiscal 2021, our Audit Committee consisted of Kevin P. McDermott (Chairperson), John P. Friel, and James B. Morgan.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has determined that each Audit Committee member is independent as defined under Rule 5605(a)(2) of the Nasdaq Listing Rules and Rule 10A-3 under the Securities Exchange Act of 1934 (the "Exchange Act"). The Board has determined that Mr. McDermott, Mr. Friel, and Mr. Morgan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our Independent Auditor, reviews the scope and findings of the audit, reviews the adequacy and effectiveness of our accounting policies and system of internal control over financial reporting, and oversees our policy and procedures with respect to related party transactions. The Audit Committee’s Charter is available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Compensation Committee</w:t>
      </w:r>
      <w:r>
        <w:rPr>
          <w:rFonts w:ascii="Arial" w:cs="Arial" w:eastAsia="Arial" w:hAnsi="Arial"/>
          <w:sz w:val="17"/>
          <w:szCs w:val="17"/>
          <w:color w:val="auto"/>
        </w:rPr>
        <w:t>. During fiscal 2021, our Compensation Committee consisted of Robert G. Dutcher (Chairperson), Byron J. Anderson, John 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Friel, and Dr. José-Marie Griffiths. All of the Compensation Committee members are Independent Directors,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Nominating and Corporate Governance Committee</w:t>
      </w:r>
      <w:r>
        <w:rPr>
          <w:rFonts w:ascii="Arial" w:cs="Arial" w:eastAsia="Arial" w:hAnsi="Arial"/>
          <w:sz w:val="17"/>
          <w:szCs w:val="17"/>
          <w:color w:val="auto"/>
        </w:rPr>
        <w:t>. During fiscal 2021, our Nominating and Corporate Governance Committee (the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consisted of prior director Nancy D. Frame (Chairperson to June 1, 2020, retired September 2, 2020), Byron J. Anderson, James B. Morgan (named chairperson June 1, 2020), and Dr. José-Marie Griffiths. The Board of Directors has determined that all of the Nominating Committee members are Independent Directors, as determined by the Board of Directors.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governance risk and compliance knowledge, innovation expertise, international business experience, technology company experience, contracting experience, acquisition experience, financial literacy, personal integrity and judgment, and willingness to be prepared and active participants at Board and Committee meetings. The Nominating Committee and the Board seek to attract and retain highly qualified and diverse Directors who have sufficient time to attend to their duties and responsibilities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and the Board seek members who will contribute to our overall corporate goals, taking into account: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3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sectPr>
          <w:pgSz w:w="11900" w:h="16838" w:orient="portrait"/>
          <w:cols w:equalWidth="0" w:num="1">
            <w:col w:w="11240"/>
          </w:cols>
          <w:pgMar w:left="320" w:top="125" w:right="339" w:bottom="0" w:gutter="0" w:footer="0" w:header="0"/>
        </w:sectPr>
      </w:pPr>
    </w:p>
    <w:bookmarkStart w:id="16" w:name="page17"/>
    <w:bookmarkEnd w:id="16"/>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125" w:right="1440" w:bottom="1440" w:gutter="0" w:footer="0" w:header="0"/>
        </w:sectPr>
      </w:pPr>
    </w:p>
    <w:bookmarkStart w:id="17" w:name="page18"/>
    <w:bookmarkEnd w:id="17"/>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Demonstrated integrity and ethics in his or her professional life and an established record of professional accomplishment in his or her chosen field.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must be submitted to the Nominating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Director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r>
        <w:rPr>
          <w:rFonts w:ascii="Arial" w:cs="Arial" w:eastAsia="Arial" w:hAnsi="Arial"/>
          <w:sz w:val="18"/>
          <w:szCs w:val="18"/>
          <w:b w:val="1"/>
          <w:bCs w:val="1"/>
          <w:color w:val="auto"/>
        </w:rPr>
        <w:t xml:space="preserve"> Evaluation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During fiscal 2021, none of our executive officers served on the board of directors or compensation committee of another company that had an executive officer who served on our Board of Directors or our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May 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2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FISCAL YEAR 2021 DIRECTOR COMPENSATION</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7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Fees Earned or Paid</w:t>
            </w: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Stock Awards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Total</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Name(1)</w:t>
            </w:r>
          </w:p>
        </w:tc>
        <w:tc>
          <w:tcPr>
            <w:tcW w:w="3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in Cash ($)</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Compensation ($)</w:t>
            </w:r>
          </w:p>
        </w:tc>
        <w:tc>
          <w:tcPr>
            <w:tcW w:w="100" w:type="dxa"/>
            <w:vAlign w:val="bottom"/>
          </w:tcPr>
          <w:p>
            <w:pPr>
              <w:spacing w:after="0"/>
              <w:rPr>
                <w:sz w:val="20"/>
                <w:szCs w:val="20"/>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Byron J. Anderson</w:t>
            </w:r>
          </w:p>
        </w:tc>
        <w:tc>
          <w:tcPr>
            <w:tcW w:w="3740" w:type="dxa"/>
            <w:vAlign w:val="bottom"/>
            <w:gridSpan w:val="2"/>
            <w:shd w:val="clear" w:color="auto" w:fill="CCEEFF"/>
          </w:tcPr>
          <w:p>
            <w:pPr>
              <w:ind w:left="35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107,924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Robert G. Dutcher</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50,425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57,499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107,924</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Nancy D. Frame (3)</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72,105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John P. Friel</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52,425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57,499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109,924</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Kevin P. McDermott</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56,175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113,674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James B. Morgan</w:t>
            </w: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54,675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57,499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112,174</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Dr. José-Marie Griffiths (4)</w:t>
            </w:r>
          </w:p>
        </w:tc>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36,319</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93,818</w:t>
            </w:r>
          </w:p>
        </w:tc>
      </w:tr>
    </w:tbl>
    <w:p>
      <w:pPr>
        <w:spacing w:after="0" w:line="202" w:lineRule="exact"/>
        <w:rPr>
          <w:sz w:val="20"/>
          <w:szCs w:val="20"/>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Chief Executive Officer since September 1, 2013, was a Named Executive Officer during fiscal 2021 and therefore his compensation is included in the appropriate tables within the section of this Proxy Statement entitled "Executive Compensation."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Represents September 3, 2020 grants of 13,990 restricted shares of our common stock to each of the Directors named in the table with a grant date fair value of $57,499, which vest on August 23, 2021 if they are then Directors of the Company. The dollar amounts in this column of the table were computed in accordance with Financial Accounting Standards Board Accounting Standards Codification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Retired as director on September 2, 2020.</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Joined as director on September 2, 2020.</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2021, each Independent Director received an annual retainer of $40,500.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for each Board of Directors meeting attended in person. The following table describes the annual retainers paid for fiscal 2021 to each Independent Director for Committee membership participation: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Other</w:t>
            </w:r>
          </w:p>
        </w:tc>
      </w:tr>
      <w:tr>
        <w:trPr>
          <w:trHeight w:val="230"/>
        </w:trPr>
        <w:tc>
          <w:tcPr>
            <w:tcW w:w="8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Chair</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Members</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Compensation Committee</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10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2021 Director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potential impacts of COVID-19 on the business of Daktronics, the Board elected in April 2020 to reduce the Directors' annual $40,500 cash retainer fee by 15% effective April 1, 2020.</w:t>
      </w:r>
    </w:p>
    <w:p>
      <w:pPr>
        <w:sectPr>
          <w:pgSz w:w="11900" w:h="16895" w:orient="portrait"/>
          <w:cols w:equalWidth="0" w:num="1">
            <w:col w:w="11240"/>
          </w:cols>
          <w:pgMar w:left="320" w:top="125" w:right="339" w:bottom="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Director is expected to achieve a target of 5,000 shares owned, excluding shares subject to options. Directors have five years from the date they first become a member of the Board of Directors to achieve this level of ownership. As of the Record Date, all Directors were in compliance with these guidelines.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June 28, 2021 about our executive officers who are not Directors.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Executive Officer</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Name</w:t>
            </w:r>
          </w:p>
        </w:tc>
        <w:tc>
          <w:tcPr>
            <w:tcW w:w="5880" w:type="dxa"/>
            <w:vAlign w:val="bottom"/>
          </w:tcPr>
          <w:p>
            <w:pPr>
              <w:ind w:left="2080"/>
              <w:spacing w:after="0"/>
              <w:rPr>
                <w:sz w:val="20"/>
                <w:szCs w:val="20"/>
                <w:color w:val="auto"/>
              </w:rPr>
            </w:pPr>
            <w:r>
              <w:rPr>
                <w:rFonts w:ascii="Arial" w:cs="Arial" w:eastAsia="Arial" w:hAnsi="Arial"/>
                <w:sz w:val="18"/>
                <w:szCs w:val="18"/>
                <w:color w:val="auto"/>
              </w:rPr>
              <w:t>Positions with the Company</w:t>
            </w: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Age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Since</w:t>
            </w:r>
          </w:p>
        </w:tc>
        <w:tc>
          <w:tcPr>
            <w:tcW w:w="100" w:type="dxa"/>
            <w:vAlign w:val="bottom"/>
          </w:tcPr>
          <w:p>
            <w:pPr>
              <w:spacing w:after="0"/>
              <w:rPr>
                <w:sz w:val="20"/>
                <w:szCs w:val="20"/>
                <w:color w:val="auto"/>
              </w:rPr>
            </w:pPr>
          </w:p>
        </w:tc>
      </w:tr>
      <w:tr>
        <w:trPr>
          <w:trHeight w:val="209"/>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Sheila M. Anderson</w:t>
            </w:r>
          </w:p>
        </w:tc>
        <w:tc>
          <w:tcPr>
            <w:tcW w:w="5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Chief Financial Officer and Treasurer</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Bradley T. Wiemann</w:t>
            </w:r>
          </w:p>
        </w:tc>
        <w:tc>
          <w:tcPr>
            <w:tcW w:w="5880" w:type="dxa"/>
            <w:vAlign w:val="bottom"/>
          </w:tcPr>
          <w:p>
            <w:pPr>
              <w:ind w:left="460"/>
              <w:spacing w:after="0"/>
              <w:rPr>
                <w:sz w:val="20"/>
                <w:szCs w:val="20"/>
                <w:color w:val="auto"/>
              </w:rPr>
            </w:pPr>
            <w:r>
              <w:rPr>
                <w:rFonts w:ascii="Arial" w:cs="Arial" w:eastAsia="Arial" w:hAnsi="Arial"/>
                <w:sz w:val="18"/>
                <w:szCs w:val="18"/>
                <w:color w:val="auto"/>
              </w:rPr>
              <w:t>Executive Vice President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Matthew J. Kurtenbach</w:t>
            </w:r>
          </w:p>
        </w:tc>
        <w:tc>
          <w:tcPr>
            <w:tcW w:w="5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Vice President of Manufacturing</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Carla S. Gatzke</w:t>
            </w:r>
          </w:p>
        </w:tc>
        <w:tc>
          <w:tcPr>
            <w:tcW w:w="5880" w:type="dxa"/>
            <w:vAlign w:val="bottom"/>
          </w:tcPr>
          <w:p>
            <w:pPr>
              <w:ind w:left="460"/>
              <w:spacing w:after="0"/>
              <w:rPr>
                <w:sz w:val="20"/>
                <w:szCs w:val="20"/>
                <w:color w:val="auto"/>
              </w:rPr>
            </w:pPr>
            <w:r>
              <w:rPr>
                <w:rFonts w:ascii="Arial" w:cs="Arial" w:eastAsia="Arial" w:hAnsi="Arial"/>
                <w:sz w:val="18"/>
                <w:szCs w:val="18"/>
                <w:color w:val="auto"/>
              </w:rPr>
              <w:t>Vice President of Human Resources and Secretary</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 lead design engineer after spending a number of years with Rockwell International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High School Park and Recreation business unit. Mr. Wiemann holds a Master of Science degree in Electrical and Computer Engineering from the University of Iowa and a Bachelor of Science degree in Electrical Engineering from South Dakota State University.</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a project manager for the Company's process improvements and facility expansions. In 2001, he was named Manufacturing Manager and, in 2006, he was appointed Vice President of Manufacturing. Also in 2006, he was charged with leading the Company's transformation to lean manufacturing and, in 2013,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Carla S. Gatzke </w:t>
      </w:r>
      <w:r>
        <w:rPr>
          <w:rFonts w:ascii="Arial" w:cs="Arial" w:eastAsia="Arial" w:hAnsi="Arial"/>
          <w:sz w:val="17"/>
          <w:szCs w:val="17"/>
          <w:color w:val="auto"/>
        </w:rPr>
        <w:t>joined the Company in 1984 in Systems Sales Engineering where she was responsible for sales and project management for legislative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voting systems. In 1988, Ms. Gatzke took an 18-month leave of absence to attend and teach at Drake University. In 1990, Ms. Gatzke returned to Daktronics and managed Star Circuits, which manufactures printed circuit boards. In 1992, she became responsible for Human Resources 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 of Science degree in Electrical Engineering with minors in Mathematics and Computer Science from South Dakota State University. Ms. Gatzke is the daughter of Aelred J. Kurtenbach and the sister of Reece A. Kurtenbach and Matthew J. Kurtenbach.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had previously voted that such say-on-pay votes be held annually. As a result, Proposal Two presented in this Proxy Statement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and stock performance;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financial performance for the fiscal year ended May 1, 2021 included a decrease in orders (16.9 percent) and sales (20.8 percent) as compared to fiscal 2020. Each business unit's order volume was lower in fiscal 2021 due to lower market activity from the resulting economic and business impacts of the COVID-19 pandemic and related timing of large contract orders. Each business unit's orders were impacted by the additional week in fiscal 2020. Net sales decreased as a result of order booking declines and delayed conversions to sales based on customer project schedules. Financial metrics for fiscal 2021 included a 2.9 percent return on assets and a 6.2 percent return on beginning shareholders' equity. Operating margin improved to 3.5 percent as a percent of sales for fiscal 2021 as compared to a breakeven as percent of sales for fiscal 2020.</w:t>
      </w:r>
    </w:p>
    <w:p>
      <w:pPr>
        <w:sectPr>
          <w:pgSz w:w="11900" w:h="16838" w:orient="portrait"/>
          <w:cols w:equalWidth="0" w:num="1">
            <w:col w:w="11240"/>
          </w:cols>
          <w:pgMar w:left="320" w:top="125" w:right="33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to executive compensation during the current fiscal year were mainly due to maintaining the competitiveness of our compensation program. In addition, our executives' base salaries were reduced starting April 1, 2020 in response to the uncertainty, longevity, and severity of the effects of the COVID-19 pandemic would have on Daktronics business. Executive pay was reinstated beginning in fiscal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the responsibility for guiding our executive compensation philosophy and overseeing the design of our executive compensation programs. In arriving at the appropriate levels of pay and incentive opportunities, the Committee reviews our compensation philosophy and trends in our peer group to assure that our executive compensation program is competitive to effectively recruit and retain talented management, focus our executives to achieve short- and long-range corporate objectives, and align the interests of the executives with the interests of our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base salary reflects the pay the Committee believes is appropriate for each executive's responsibility, capability and performance. The non-equity-based incentive compensation is designed to focus the executive team on the Company-wide goals and objectives, which focus on growth in revenue and reductions in costs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shares of common stock in the Company and thereby align executives' interests with our shareholders' interests.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Committee believes that equitable and competitive compensation, as well as leader development and promotion-from-within, are essential to retain high-performing executives. Our currently employed Named Executive Officers have an average of 29.6 years of experience with Daktronics.</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fiscal 2021, our Named Executive Officers were Reece A. Kurtenbach, Chair, President and Chief Executive Officer; Sheila M. Anderson, Chief Financial Officer and Treasurer; Bradley T. Wiemann, Executive Vice President; Matthew J. Kurtenbach, Vice President of Manufacturing; and Carla S. Gatzke, Vice President of Human Resources and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Chief Executive Officer and Vice President of Human Resources present to the Compensation Committee their recommendations for the salary, non-equity-based incentive compensation, and equity-based compensation grants for the Named Executive Officers and select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reviews and generally approves and adopts the Committee's recommendations regarding the executives' compensation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and responsibilities. These are public companies in our geographical area with revenues of between $250 million and $1 billion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right="1080"/>
        <w:spacing w:after="0" w:line="255" w:lineRule="auto"/>
        <w:rPr>
          <w:sz w:val="20"/>
          <w:szCs w:val="20"/>
          <w:color w:val="auto"/>
        </w:rPr>
      </w:pPr>
      <w:r>
        <w:rPr>
          <w:rFonts w:ascii="Arial" w:cs="Arial" w:eastAsia="Arial" w:hAnsi="Arial"/>
          <w:sz w:val="18"/>
          <w:szCs w:val="18"/>
          <w:color w:val="auto"/>
        </w:rPr>
        <w:t>Apogee Enterprises, Inc. Badger Meter, Inc. Bio-Techne Corporation Winnebago Industries, Inc. Raven Industries, Inc. Graco, Inc.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iMedia Brands,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Tennant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Lindsay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Enerpac Tool Group Corp.</w:t>
      </w:r>
    </w:p>
    <w:p>
      <w:pPr>
        <w:spacing w:after="0" w:line="449" w:lineRule="exact"/>
        <w:rPr>
          <w:sz w:val="20"/>
          <w:szCs w:val="20"/>
          <w:color w:val="auto"/>
        </w:rPr>
      </w:pPr>
    </w:p>
    <w:p>
      <w:pPr>
        <w:sectPr>
          <w:pgSz w:w="11900" w:h="16838" w:orient="portrait"/>
          <w:cols w:equalWidth="0" w:num="2">
            <w:col w:w="3020" w:space="720"/>
            <w:col w:w="7500"/>
          </w:cols>
          <w:pgMar w:left="320" w:top="125" w:right="339" w:bottom="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Committee also considers compensation data from the Economic Research Institute, which takes into consideration company size, geography, base salary and variable cash compensation but excludes equity incentive compensation information.</w:t>
      </w:r>
    </w:p>
    <w:p>
      <w:pPr>
        <w:sectPr>
          <w:pgSz w:w="11900" w:h="16838" w:orient="portrait"/>
          <w:cols w:equalWidth="0" w:num="1">
            <w:col w:w="11240"/>
          </w:cols>
          <w:pgMar w:left="320" w:top="125" w:right="339" w:bottom="0" w:gutter="0" w:footer="0" w:header="0"/>
          <w:type w:val="continuous"/>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The Committee believes that its executive compensation is sufficiently conservative, as well as appropriately competitive, so as not to require an external consultant opinion.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fiscal 2021, the principal components of our executive compensation program consisted of the following, each of which is addressed below in greater detail:</w:t>
      </w:r>
    </w:p>
    <w:p>
      <w:pPr>
        <w:spacing w:after="0" w:line="18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equity-based compensation plan;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benefits.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base salary reflects each executive's responsibility, capability and performance. Base salary is determined based on the benchmarking data</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executive's responsibilities, the executive's experience, and the executive's performance and the impact of such performance on our business results.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Committee also takes into account the Company's financial performance, and it has in the past limited executive pay changes based on business or economic conditions. The Committee also considers the recommendations of the Chief Executive Officer for other Named Executive Officers.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in response to the potential impacts of COVID-19 on the Company's business, Mr. Reece A. Kurtenbach and Ms. Sheila M. Anderson reduced their base salaries by 15% and the other Named Executive Officers elected to reduce their base salaries by 10%. Executive pay was reinstated beginning in fiscal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Non-Equity-Based Incentive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purpose of our non-equity-based incentive compensation plan is to focus the executive team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five months of base salary to eight months of base salary for each executive officer. The maximum level of the variable cash compensation is 120 percent of the targeted level of variable cash compensation.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Committee's preference for a material level of executive compensation that varies with the Company's performance. The Compensation Committee selected the operating margin measure for the formula because they believe it is the most appropriate indicator of performance that will drive long-term shareholder value, and it is consistent with our corporate strategies.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The various payout percentages based on operating margins are as follows:</w:t>
            </w:r>
          </w:p>
        </w:tc>
        <w:tc>
          <w:tcPr>
            <w:tcW w:w="49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494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Operating Margin</w:t>
            </w:r>
          </w:p>
        </w:tc>
        <w:tc>
          <w:tcPr>
            <w:tcW w:w="880" w:type="dxa"/>
            <w:vAlign w:val="bottom"/>
          </w:tcPr>
          <w:p>
            <w:pPr>
              <w:spacing w:after="0"/>
              <w:rPr>
                <w:sz w:val="24"/>
                <w:szCs w:val="24"/>
                <w:color w:val="auto"/>
              </w:rPr>
            </w:pPr>
          </w:p>
        </w:tc>
        <w:tc>
          <w:tcPr>
            <w:tcW w:w="4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5"/>
              </w:rPr>
              <w:t>Percentage of Targeted Non-equity Incentive Compensation</w:t>
            </w:r>
          </w:p>
        </w:tc>
        <w:tc>
          <w:tcPr>
            <w:tcW w:w="480" w:type="dxa"/>
            <w:vAlign w:val="bottom"/>
          </w:tcPr>
          <w:p>
            <w:pPr>
              <w:spacing w:after="0"/>
              <w:rPr>
                <w:sz w:val="24"/>
                <w:szCs w:val="24"/>
                <w:color w:val="auto"/>
              </w:rPr>
            </w:pPr>
          </w:p>
        </w:tc>
      </w:tr>
      <w:tr>
        <w:trPr>
          <w:trHeight w:val="210"/>
        </w:trPr>
        <w:tc>
          <w:tcPr>
            <w:tcW w:w="5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Less than 2.5%</w:t>
            </w:r>
          </w:p>
        </w:tc>
        <w:tc>
          <w:tcPr>
            <w:tcW w:w="5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tcPr>
          <w:p>
            <w:pPr>
              <w:jc w:val="right"/>
              <w:ind w:right="720"/>
              <w:spacing w:after="0"/>
              <w:rPr>
                <w:sz w:val="20"/>
                <w:szCs w:val="20"/>
                <w:color w:val="auto"/>
              </w:rPr>
            </w:pPr>
            <w:r>
              <w:rPr>
                <w:rFonts w:ascii="Arial" w:cs="Arial" w:eastAsia="Arial" w:hAnsi="Arial"/>
                <w:sz w:val="18"/>
                <w:szCs w:val="18"/>
                <w:color w:val="auto"/>
              </w:rPr>
              <w:t>2.5 to 5.0%</w:t>
            </w:r>
          </w:p>
        </w:tc>
        <w:tc>
          <w:tcPr>
            <w:tcW w:w="5420" w:type="dxa"/>
            <w:vAlign w:val="bottom"/>
            <w:gridSpan w:val="2"/>
          </w:tcPr>
          <w:p>
            <w:pPr>
              <w:jc w:val="right"/>
              <w:ind w:right="320"/>
              <w:spacing w:after="0"/>
              <w:rPr>
                <w:sz w:val="20"/>
                <w:szCs w:val="20"/>
                <w:color w:val="auto"/>
              </w:rPr>
            </w:pPr>
            <w:r>
              <w:rPr>
                <w:rFonts w:ascii="Arial" w:cs="Arial" w:eastAsia="Arial" w:hAnsi="Arial"/>
                <w:sz w:val="18"/>
                <w:szCs w:val="18"/>
                <w:color w:val="auto"/>
              </w:rPr>
              <w:t>0.0 to 25.0%</w:t>
            </w:r>
          </w:p>
        </w:tc>
      </w:tr>
      <w:tr>
        <w:trPr>
          <w:trHeight w:val="216"/>
        </w:trPr>
        <w:tc>
          <w:tcPr>
            <w:tcW w:w="5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 to 7.5%</w:t>
            </w:r>
          </w:p>
        </w:tc>
        <w:tc>
          <w:tcPr>
            <w:tcW w:w="5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 to 60.0%</w:t>
            </w:r>
          </w:p>
        </w:tc>
      </w:tr>
      <w:tr>
        <w:trPr>
          <w:trHeight w:val="216"/>
        </w:trPr>
        <w:tc>
          <w:tcPr>
            <w:tcW w:w="5820" w:type="dxa"/>
            <w:vAlign w:val="bottom"/>
            <w:gridSpan w:val="2"/>
          </w:tcPr>
          <w:p>
            <w:pPr>
              <w:jc w:val="right"/>
              <w:ind w:right="720"/>
              <w:spacing w:after="0"/>
              <w:rPr>
                <w:sz w:val="20"/>
                <w:szCs w:val="20"/>
                <w:color w:val="auto"/>
              </w:rPr>
            </w:pPr>
            <w:r>
              <w:rPr>
                <w:rFonts w:ascii="Arial" w:cs="Arial" w:eastAsia="Arial" w:hAnsi="Arial"/>
                <w:sz w:val="18"/>
                <w:szCs w:val="18"/>
                <w:color w:val="auto"/>
              </w:rPr>
              <w:t>7.5 to 10.0%</w:t>
            </w:r>
          </w:p>
        </w:tc>
        <w:tc>
          <w:tcPr>
            <w:tcW w:w="5420" w:type="dxa"/>
            <w:vAlign w:val="bottom"/>
            <w:gridSpan w:val="2"/>
          </w:tcPr>
          <w:p>
            <w:pPr>
              <w:jc w:val="right"/>
              <w:ind w:right="320"/>
              <w:spacing w:after="0"/>
              <w:rPr>
                <w:sz w:val="20"/>
                <w:szCs w:val="20"/>
                <w:color w:val="auto"/>
              </w:rPr>
            </w:pPr>
            <w:r>
              <w:rPr>
                <w:rFonts w:ascii="Arial" w:cs="Arial" w:eastAsia="Arial" w:hAnsi="Arial"/>
                <w:sz w:val="18"/>
                <w:szCs w:val="18"/>
                <w:color w:val="auto"/>
              </w:rPr>
              <w:t>60.0 to 100.0%</w:t>
            </w:r>
          </w:p>
        </w:tc>
      </w:tr>
      <w:tr>
        <w:trPr>
          <w:trHeight w:val="216"/>
        </w:trPr>
        <w:tc>
          <w:tcPr>
            <w:tcW w:w="5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 to 12.5%</w:t>
            </w:r>
          </w:p>
        </w:tc>
        <w:tc>
          <w:tcPr>
            <w:tcW w:w="5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 to 120.0%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2021, the Named Executive Officers were eligible for non-equity-based incentive compensation if the maximum payout of 120 percent of target was achieved as follows: Chief Executive Officer - 80 percent of his base salary; Chief Financial Officer - 55 percent of her base salary; Vice President and Secretary - 50 percent of her base salary; and all other Named Executives Officers - 65 percent of their base salaries. Although the minimum targets were met, the Named Executive Officers declined the payouts because of the hardships faced by all employees during the pandemic year. For fiscal 2021, 2020, and 2019, there was no non-equity-based incentive compensation paid out to any Named Executive Officer.</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offer long-term incentives to our executives and align the interests of employees more</w:t>
      </w:r>
      <w:r>
        <w:rPr>
          <w:rFonts w:ascii="Arial" w:cs="Arial" w:eastAsia="Arial" w:hAnsi="Arial"/>
          <w:sz w:val="18"/>
          <w:szCs w:val="18"/>
          <w:i w:val="1"/>
          <w:iCs w:val="1"/>
          <w:color w:val="auto"/>
        </w:rPr>
        <w:t xml:space="preserve"> </w:t>
      </w:r>
      <w:r>
        <w:rPr>
          <w:rFonts w:ascii="Arial" w:cs="Arial" w:eastAsia="Arial" w:hAnsi="Arial"/>
          <w:sz w:val="18"/>
          <w:szCs w:val="18"/>
          <w:color w:val="auto"/>
        </w:rPr>
        <w:t>closely with those of our shareholders.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 estimate of a percentage of total payroll expense. The Compensation Committee and the Board of Directors generally follow a practice of calculating the equity grant valuation limit based on the share price on the date of the Compensation Committee meeting at which the equity grants are determined by the Committee for recommendation to the Board to assure that the valuation limit is consistent with the approximate dilution limit of one percent. The Compensation Committee then allocates these equity grants to the Named Executive Officers, and the Chief Executive Officer allocates equity grants to selected employees. To facilitate the grant of stock options to employees and other executive officers, the Board of Directors authorized the Chief Executive Officer to grant individual stock options and restricted stock units during fiscal 2021, subject to the guidelines and limitations imposed by the Compensation Committee.</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number of our shares that are available for equity grants. The Compensation Committee and the Board of Directors also generally follow a practice of allocating similar equity grants to each of the Named Executive Officers, with some variation based on responsibilities and experience. The allocation to the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ectPr>
          <w:pgSz w:w="11900" w:h="16838" w:orient="portrait"/>
          <w:cols w:equalWidth="0" w:num="1">
            <w:col w:w="11240"/>
          </w:cols>
          <w:pgMar w:left="320" w:top="125" w:right="339" w:bottom="75"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5"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fiscal 2021, the Compensation Committee determined that each Named Executive Officer would be allocated equity grants for approximately 15,000 shares of common stock, with a ratio of 5-to-1 of incentive stock options to restricted stock units. The Committee determined that Mr. Reece A. Kurtenbach should receive a grant of approximately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Committee determined that the valuation of the equity grants, based on the grant date fair value as determined under ASC 718, would be limited to approximately $2.5 million for all employees, including the Named Executive Officers. The value of the restricted stock units was equal to 48.10 percent of the value of the stock options for executives, as determined under the fair value provisions of ASC 718. For fiscal 2021, all equity grants to employees were made under the Daktronics, Inc. 2020 Stock Incentive Plan (the "2020 Plan").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2020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 with 20 percent of the restricted stock units vesting each year following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post-retirement health coverage, or similar benefits for our executives or employees.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Internal Revenue Code (the "Code"). At the discretion of the Board of Directors, we may make matching contributions equal to a percentage of the salary deduction contributions or other discretionary amounts. For fiscal year 2021, the matching contribution program was suspended because of the COVID-19 pandemic. We paid $2.9 million in fiscal 2020 and $2.8 million in fiscal 2019 in matching contributions. Contributions to the 401(k) Plan on behalf of the Named Executive Officers are described in the table entitled "Summary Compensation Table – Fiscal 2021." Effective for fiscal year 2022, the matching contribution program was reinstated.</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Employee Stock Purchase Plan, or ESPP, which is intended to qualify under Section 423 of the Code. The ESPP allows employees to purchase shares of our common stock, subject to annual limitations, at a price equal to 85 percent of the lower of the fair market value of the common stock at the beginning or the end of each six-month offering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account for equity-based compensation paid to employees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Code generally disallows a tax deduction to a public company for compensation in excess of $1 million paid to a company's chief executive officer and the four other most highly 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José-Marie Griffiths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fiscal years ended May 1, 2021, May 2, 2020 and April 27, 2019,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May 1, 2021, all of whom constitute our Named Executive Officers.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SUMMARY COMPENSATION TABLE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Non-Equity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Incentive Plan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Awards ($)</w:t>
            </w:r>
          </w:p>
        </w:tc>
        <w:tc>
          <w:tcPr>
            <w:tcW w:w="10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Awards ($)</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w w:val="97"/>
              </w:rPr>
              <w:t>Compensation($)</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w w:val="97"/>
              </w:rPr>
              <w:t>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Name and Principal Position</w:t>
            </w: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Salary($)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Total($)</w:t>
            </w:r>
          </w:p>
        </w:tc>
        <w:tc>
          <w:tcPr>
            <w:tcW w:w="100" w:type="dxa"/>
            <w:vAlign w:val="bottom"/>
          </w:tcPr>
          <w:p>
            <w:pPr>
              <w:spacing w:after="0"/>
              <w:rPr>
                <w:sz w:val="20"/>
                <w:szCs w:val="20"/>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Reece A. Kurtenbach</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386,658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42,660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449,838</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Chief Executive Officer and</w:t>
            </w:r>
          </w:p>
        </w:tc>
        <w:tc>
          <w:tcPr>
            <w:tcW w:w="640" w:type="dxa"/>
            <w:vAlign w:val="bottom"/>
          </w:tcPr>
          <w:p>
            <w:pPr>
              <w:ind w:left="1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451,489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518,884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443,846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516,234</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Sheila M. Anderson</w:t>
            </w:r>
          </w:p>
        </w:tc>
        <w:tc>
          <w:tcPr>
            <w:tcW w:w="640" w:type="dxa"/>
            <w:vAlign w:val="bottom"/>
          </w:tcPr>
          <w:p>
            <w:pPr>
              <w:ind w:left="140"/>
              <w:spacing w:after="0"/>
              <w:rPr>
                <w:sz w:val="20"/>
                <w:szCs w:val="20"/>
                <w:color w:val="auto"/>
              </w:rPr>
            </w:pPr>
            <w:r>
              <w:rPr>
                <w:rFonts w:ascii="Arial" w:cs="Arial" w:eastAsia="Arial" w:hAnsi="Arial"/>
                <w:sz w:val="18"/>
                <w:szCs w:val="18"/>
                <w:color w:val="auto"/>
              </w:rPr>
              <w:t>2021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244,963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19,750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274,213</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287,413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322,304</w:t>
            </w:r>
          </w:p>
        </w:tc>
      </w:tr>
      <w:tr>
        <w:trPr>
          <w:trHeight w:val="216"/>
        </w:trPr>
        <w:tc>
          <w:tcPr>
            <w:tcW w:w="3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279,354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316,252</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Bradley T. Wiemann</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284,490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640" w:type="dxa"/>
            <w:vAlign w:val="bottom"/>
          </w:tcPr>
          <w:p>
            <w:pPr>
              <w:ind w:left="1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277,802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313,449</w:t>
            </w:r>
          </w:p>
        </w:tc>
      </w:tr>
      <w:tr>
        <w:trPr>
          <w:trHeight w:val="216"/>
        </w:trPr>
        <w:tc>
          <w:tcPr>
            <w:tcW w:w="336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308,975</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Matthew J. Kurtenbach</w:t>
            </w:r>
          </w:p>
        </w:tc>
        <w:tc>
          <w:tcPr>
            <w:tcW w:w="640" w:type="dxa"/>
            <w:vAlign w:val="bottom"/>
          </w:tcPr>
          <w:p>
            <w:pPr>
              <w:ind w:left="140"/>
              <w:spacing w:after="0"/>
              <w:rPr>
                <w:sz w:val="20"/>
                <w:szCs w:val="20"/>
                <w:color w:val="auto"/>
              </w:rPr>
            </w:pPr>
            <w:r>
              <w:rPr>
                <w:rFonts w:ascii="Arial" w:cs="Arial" w:eastAsia="Arial" w:hAnsi="Arial"/>
                <w:sz w:val="18"/>
                <w:szCs w:val="18"/>
                <w:color w:val="auto"/>
              </w:rPr>
              <w:t>2021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245,340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19,750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274,590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301,354</w:t>
            </w:r>
          </w:p>
        </w:tc>
      </w:tr>
      <w:tr>
        <w:trPr>
          <w:trHeight w:val="216"/>
        </w:trPr>
        <w:tc>
          <w:tcPr>
            <w:tcW w:w="336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258,662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296,024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Carla S. Gatzke</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238,230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Vice President and</w:t>
            </w:r>
          </w:p>
        </w:tc>
        <w:tc>
          <w:tcPr>
            <w:tcW w:w="640" w:type="dxa"/>
            <w:vAlign w:val="bottom"/>
          </w:tcPr>
          <w:p>
            <w:pPr>
              <w:ind w:left="1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226,599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260,710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Secretary</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254,129</w:t>
            </w: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restricted stock units granted under the 2015 Stock Incentive Plan (the "2015 Plan") for the fiscal years 2019 and 2020 and under the 2020 Plan for fiscal 2021. In accordance with ASC 718, the amount is calculated based on the grant date fair value of the award. Refer to "Note 10. Shareholders' Equity and Share-Based Compensation" of the Notes to our Consolidated Financial Statements included in our Annual Report on Form 10-K for the fiscal year ended May 1, 2021 for a discussion of the assumptions used in calculating the amount under ASC 718.</w:t>
      </w:r>
    </w:p>
    <w:p>
      <w:pPr>
        <w:spacing w:after="0" w:line="1"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stock options granted under the 2015 Plan for fiscal years 2019 and 2020 and under the 2020 Plan for fiscal 2021. The value of the option awards is calculated based on the grant date fair value of the award in accordance with ASC 718. Refer to "Note 10. Shareholders' Equity and Share-Based Compensation" of the Notes to our Consolidated Financial Statements included in our Annual Report on Form 10-K for the fiscal year ended May 1, 2021 for a discussion of the assumptions used in calculating the amount under ASC 718.</w:t>
      </w: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2019, 2020, and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Code.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20" w:type="dxa"/>
            <w:vAlign w:val="bottom"/>
            <w:gridSpan w:val="8"/>
          </w:tcPr>
          <w:p>
            <w:pPr>
              <w:ind w:left="620"/>
              <w:spacing w:after="0"/>
              <w:rPr>
                <w:sz w:val="20"/>
                <w:szCs w:val="20"/>
                <w:color w:val="auto"/>
              </w:rPr>
            </w:pPr>
            <w:r>
              <w:rPr>
                <w:rFonts w:ascii="Arial" w:cs="Arial" w:eastAsia="Arial" w:hAnsi="Arial"/>
                <w:sz w:val="18"/>
                <w:szCs w:val="18"/>
                <w:b w:val="1"/>
                <w:bCs w:val="1"/>
                <w:color w:val="auto"/>
              </w:rPr>
              <w:t xml:space="preserve">GRANTS OF PLAN-BASED AWARDS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2021</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Grant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date fair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All other stock awards:</w:t>
            </w: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All other option awards: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Exercise or base</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value of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jc w:val="right"/>
              <w:ind w:right="140"/>
              <w:spacing w:after="0"/>
              <w:rPr>
                <w:sz w:val="20"/>
                <w:szCs w:val="20"/>
                <w:color w:val="auto"/>
              </w:rPr>
            </w:pPr>
            <w:r>
              <w:rPr>
                <w:rFonts w:ascii="Arial" w:cs="Arial" w:eastAsia="Arial" w:hAnsi="Arial"/>
                <w:sz w:val="18"/>
                <w:szCs w:val="18"/>
                <w:color w:val="auto"/>
                <w:w w:val="91"/>
              </w:rPr>
              <w:t>Estimated future payouts under non-</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number of shares of stock</w:t>
            </w: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number of securities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price of option</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gridSpan w:val="6"/>
          </w:tcPr>
          <w:p>
            <w:pPr>
              <w:jc w:val="right"/>
              <w:ind w:right="320"/>
              <w:spacing w:after="0"/>
              <w:rPr>
                <w:sz w:val="20"/>
                <w:szCs w:val="20"/>
                <w:color w:val="auto"/>
              </w:rPr>
            </w:pPr>
            <w:r>
              <w:rPr>
                <w:rFonts w:ascii="Arial" w:cs="Arial" w:eastAsia="Arial" w:hAnsi="Arial"/>
                <w:sz w:val="18"/>
                <w:szCs w:val="18"/>
                <w:color w:val="auto"/>
                <w:w w:val="99"/>
              </w:rPr>
              <w:t>equity incentive plan awards(1)</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Grant</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or units</w:t>
            </w: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underlying options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awards</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195"/>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awards($)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40" w:type="dxa"/>
            <w:vAlign w:val="bottom"/>
            <w:gridSpan w:val="2"/>
            <w:vMerge w:val="continue"/>
          </w:tcPr>
          <w:p>
            <w:pPr>
              <w:spacing w:after="0"/>
              <w:rPr>
                <w:sz w:val="10"/>
                <w:szCs w:val="10"/>
                <w:color w:val="auto"/>
              </w:rPr>
            </w:pPr>
          </w:p>
        </w:tc>
        <w:tc>
          <w:tcPr>
            <w:tcW w:w="1780" w:type="dxa"/>
            <w:vAlign w:val="bottom"/>
            <w:gridSpan w:val="4"/>
            <w:vMerge w:val="restart"/>
          </w:tcPr>
          <w:p>
            <w:pPr>
              <w:spacing w:after="0"/>
              <w:rPr>
                <w:sz w:val="20"/>
                <w:szCs w:val="20"/>
                <w:color w:val="auto"/>
              </w:rPr>
            </w:pPr>
            <w:r>
              <w:rPr>
                <w:rFonts w:ascii="Arial" w:cs="Arial" w:eastAsia="Arial" w:hAnsi="Arial"/>
                <w:sz w:val="18"/>
                <w:szCs w:val="18"/>
                <w:u w:val="single" w:color="auto"/>
                <w:color w:val="auto"/>
                <w:w w:val="97"/>
              </w:rPr>
              <w:t>Threshold($</w:t>
            </w:r>
            <w:r>
              <w:rPr>
                <w:rFonts w:ascii="Arial" w:cs="Arial" w:eastAsia="Arial" w:hAnsi="Arial"/>
                <w:sz w:val="18"/>
                <w:szCs w:val="18"/>
                <w:color w:val="auto"/>
                <w:w w:val="97"/>
              </w:rPr>
              <w:t xml:space="preserve">) </w:t>
            </w:r>
            <w:r>
              <w:rPr>
                <w:rFonts w:ascii="Arial" w:cs="Arial" w:eastAsia="Arial" w:hAnsi="Arial"/>
                <w:sz w:val="18"/>
                <w:szCs w:val="18"/>
                <w:u w:val="single" w:color="auto"/>
                <w:color w:val="auto"/>
                <w:w w:val="97"/>
              </w:rPr>
              <w:t>Target($</w:t>
            </w:r>
            <w:r>
              <w:rPr>
                <w:rFonts w:ascii="Arial" w:cs="Arial" w:eastAsia="Arial" w:hAnsi="Arial"/>
                <w:sz w:val="18"/>
                <w:szCs w:val="18"/>
                <w:color w:val="auto"/>
                <w:w w:val="97"/>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u w:val="single" w:color="auto"/>
                <w:color w:val="auto"/>
                <w:w w:val="93"/>
              </w:rPr>
              <w:t>Maximum($</w:t>
            </w:r>
            <w:r>
              <w:rPr>
                <w:rFonts w:ascii="Arial" w:cs="Arial" w:eastAsia="Arial" w:hAnsi="Arial"/>
                <w:sz w:val="18"/>
                <w:szCs w:val="18"/>
                <w:color w:val="auto"/>
                <w:w w:val="93"/>
              </w:rPr>
              <w:t>)</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9"/>
              </w:rPr>
              <w:t>Date</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5"/>
              </w:rPr>
              <w:t>(#)(2)</w:t>
            </w:r>
          </w:p>
        </w:tc>
        <w:tc>
          <w:tcPr>
            <w:tcW w:w="8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7"/>
              </w:rPr>
              <w:t>(#) (3)</w:t>
            </w:r>
          </w:p>
        </w:tc>
        <w:tc>
          <w:tcPr>
            <w:tcW w:w="80" w:type="dxa"/>
            <w:vAlign w:val="bottom"/>
          </w:tcPr>
          <w:p>
            <w:pPr>
              <w:spacing w:after="0"/>
              <w:rPr>
                <w:sz w:val="10"/>
                <w:szCs w:val="10"/>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9"/>
              </w:rPr>
              <w:t>($/share)(4)</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0"/>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Reece A.</w:t>
            </w:r>
          </w:p>
        </w:tc>
        <w:tc>
          <w:tcPr>
            <w:tcW w:w="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80" w:type="dxa"/>
            <w:vAlign w:val="bottom"/>
            <w:vMerge w:val="restart"/>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80" w:type="dxa"/>
            <w:vAlign w:val="bottom"/>
            <w:vMerge w:val="restart"/>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369,600</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80" w:type="dxa"/>
            <w:vAlign w:val="bottom"/>
            <w:shd w:val="clear" w:color="auto" w:fill="CCEEFF"/>
          </w:tcPr>
          <w:p>
            <w:pPr>
              <w:spacing w:after="0"/>
              <w:rPr>
                <w:sz w:val="16"/>
                <w:szCs w:val="16"/>
                <w:color w:val="auto"/>
              </w:rPr>
            </w:pPr>
          </w:p>
        </w:tc>
        <w:tc>
          <w:tcPr>
            <w:tcW w:w="2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5,400</w:t>
            </w:r>
          </w:p>
        </w:tc>
        <w:tc>
          <w:tcPr>
            <w:tcW w:w="2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27,000</w:t>
            </w:r>
          </w:p>
        </w:tc>
        <w:tc>
          <w:tcPr>
            <w:tcW w:w="1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Kurtenbach</w:t>
            </w:r>
          </w:p>
        </w:tc>
        <w:tc>
          <w:tcPr>
            <w:tcW w:w="94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80" w:type="dxa"/>
            <w:vAlign w:val="bottom"/>
            <w:gridSpan w:val="2"/>
            <w:vMerge w:val="continue"/>
            <w:shd w:val="clear" w:color="auto" w:fill="CCEEFF"/>
          </w:tcPr>
          <w:p>
            <w:pPr>
              <w:spacing w:after="0"/>
              <w:rPr>
                <w:sz w:val="10"/>
                <w:szCs w:val="10"/>
                <w:color w:val="auto"/>
              </w:rPr>
            </w:pPr>
          </w:p>
        </w:tc>
        <w:tc>
          <w:tcPr>
            <w:tcW w:w="2360" w:type="dxa"/>
            <w:vAlign w:val="bottom"/>
            <w:gridSpan w:val="2"/>
            <w:vMerge w:val="continue"/>
            <w:shd w:val="clear" w:color="auto" w:fill="CCEEFF"/>
          </w:tcPr>
          <w:p>
            <w:pPr>
              <w:spacing w:after="0"/>
              <w:rPr>
                <w:sz w:val="10"/>
                <w:szCs w:val="10"/>
                <w:color w:val="auto"/>
              </w:rPr>
            </w:pPr>
          </w:p>
        </w:tc>
        <w:tc>
          <w:tcPr>
            <w:tcW w:w="1480" w:type="dxa"/>
            <w:vAlign w:val="bottom"/>
            <w:gridSpan w:val="2"/>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40" w:type="dxa"/>
            <w:vAlign w:val="bottom"/>
            <w:gridSpan w:val="2"/>
          </w:tcPr>
          <w:p>
            <w:pPr>
              <w:spacing w:after="0" w:line="201" w:lineRule="exact"/>
              <w:rPr>
                <w:sz w:val="20"/>
                <w:szCs w:val="20"/>
                <w:color w:val="auto"/>
              </w:rPr>
            </w:pPr>
            <w:r>
              <w:rPr>
                <w:rFonts w:ascii="Arial" w:cs="Arial" w:eastAsia="Arial" w:hAnsi="Arial"/>
                <w:sz w:val="18"/>
                <w:szCs w:val="18"/>
                <w:color w:val="auto"/>
              </w:rPr>
              <w:t>Sheila M.</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33,802</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135,208</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162,250</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9/3/2020</w:t>
            </w:r>
          </w:p>
        </w:tc>
        <w:tc>
          <w:tcPr>
            <w:tcW w:w="80" w:type="dxa"/>
            <w:vAlign w:val="bottom"/>
          </w:tcPr>
          <w:p>
            <w:pPr>
              <w:spacing w:after="0"/>
              <w:rPr>
                <w:sz w:val="17"/>
                <w:szCs w:val="17"/>
                <w:color w:val="auto"/>
              </w:rPr>
            </w:pPr>
          </w:p>
        </w:tc>
        <w:tc>
          <w:tcPr>
            <w:tcW w:w="2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2,500</w:t>
            </w:r>
          </w:p>
        </w:tc>
        <w:tc>
          <w:tcPr>
            <w:tcW w:w="2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12,500</w:t>
            </w: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4.11</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122"/>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Anderson</w:t>
            </w:r>
          </w:p>
        </w:tc>
        <w:tc>
          <w:tcPr>
            <w:tcW w:w="10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Bradley T.</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38,404</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153,617</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184,340</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80" w:type="dxa"/>
            <w:vAlign w:val="bottom"/>
            <w:shd w:val="clear" w:color="auto" w:fill="CCEEFF"/>
          </w:tcPr>
          <w:p>
            <w:pPr>
              <w:spacing w:after="0"/>
              <w:rPr>
                <w:sz w:val="17"/>
                <w:szCs w:val="17"/>
                <w:color w:val="auto"/>
              </w:rPr>
            </w:pPr>
          </w:p>
        </w:tc>
        <w:tc>
          <w:tcPr>
            <w:tcW w:w="2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2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12,500</w:t>
            </w:r>
          </w:p>
        </w:tc>
        <w:tc>
          <w:tcPr>
            <w:tcW w:w="1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Wiemann</w:t>
            </w:r>
          </w:p>
        </w:tc>
        <w:tc>
          <w:tcPr>
            <w:tcW w:w="1020" w:type="dxa"/>
            <w:vAlign w:val="bottom"/>
            <w:gridSpan w:val="2"/>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80" w:type="dxa"/>
            <w:vAlign w:val="bottom"/>
            <w:gridSpan w:val="2"/>
            <w:vMerge w:val="continue"/>
            <w:shd w:val="clear" w:color="auto" w:fill="CCEEFF"/>
          </w:tcPr>
          <w:p>
            <w:pPr>
              <w:spacing w:after="0"/>
              <w:rPr>
                <w:sz w:val="10"/>
                <w:szCs w:val="10"/>
                <w:color w:val="auto"/>
              </w:rPr>
            </w:pPr>
          </w:p>
        </w:tc>
        <w:tc>
          <w:tcPr>
            <w:tcW w:w="2360" w:type="dxa"/>
            <w:vAlign w:val="bottom"/>
            <w:gridSpan w:val="2"/>
            <w:vMerge w:val="continue"/>
            <w:shd w:val="clear" w:color="auto" w:fill="CCEEFF"/>
          </w:tcPr>
          <w:p>
            <w:pPr>
              <w:spacing w:after="0"/>
              <w:rPr>
                <w:sz w:val="10"/>
                <w:szCs w:val="10"/>
                <w:color w:val="auto"/>
              </w:rPr>
            </w:pPr>
          </w:p>
        </w:tc>
        <w:tc>
          <w:tcPr>
            <w:tcW w:w="1480" w:type="dxa"/>
            <w:vAlign w:val="bottom"/>
            <w:gridSpan w:val="2"/>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40" w:type="dxa"/>
            <w:vAlign w:val="bottom"/>
            <w:gridSpan w:val="2"/>
          </w:tcPr>
          <w:p>
            <w:pPr>
              <w:spacing w:after="0" w:line="201" w:lineRule="exact"/>
              <w:rPr>
                <w:sz w:val="20"/>
                <w:szCs w:val="20"/>
                <w:color w:val="auto"/>
              </w:rPr>
            </w:pPr>
            <w:r>
              <w:rPr>
                <w:rFonts w:ascii="Arial" w:cs="Arial" w:eastAsia="Arial" w:hAnsi="Arial"/>
                <w:sz w:val="18"/>
                <w:szCs w:val="18"/>
                <w:color w:val="auto"/>
              </w:rPr>
              <w:t>Matthew J.</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36,915</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147,658</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177,190</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9/3/2020</w:t>
            </w:r>
          </w:p>
        </w:tc>
        <w:tc>
          <w:tcPr>
            <w:tcW w:w="80" w:type="dxa"/>
            <w:vAlign w:val="bottom"/>
          </w:tcPr>
          <w:p>
            <w:pPr>
              <w:spacing w:after="0"/>
              <w:rPr>
                <w:sz w:val="17"/>
                <w:szCs w:val="17"/>
                <w:color w:val="auto"/>
              </w:rPr>
            </w:pPr>
          </w:p>
        </w:tc>
        <w:tc>
          <w:tcPr>
            <w:tcW w:w="2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2,500</w:t>
            </w:r>
          </w:p>
        </w:tc>
        <w:tc>
          <w:tcPr>
            <w:tcW w:w="2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12,500</w:t>
            </w: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4.11</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122"/>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Kurtenbach</w:t>
            </w:r>
          </w:p>
        </w:tc>
        <w:tc>
          <w:tcPr>
            <w:tcW w:w="10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Carla S.</w:t>
            </w: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24,188</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96,750</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116,100</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80" w:type="dxa"/>
            <w:vAlign w:val="bottom"/>
            <w:shd w:val="clear" w:color="auto" w:fill="CCEEFF"/>
          </w:tcPr>
          <w:p>
            <w:pPr>
              <w:spacing w:after="0"/>
              <w:rPr>
                <w:sz w:val="17"/>
                <w:szCs w:val="17"/>
                <w:color w:val="auto"/>
              </w:rPr>
            </w:pPr>
          </w:p>
        </w:tc>
        <w:tc>
          <w:tcPr>
            <w:tcW w:w="2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2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12,500</w:t>
            </w:r>
          </w:p>
        </w:tc>
        <w:tc>
          <w:tcPr>
            <w:tcW w:w="1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Gatzke</w:t>
            </w:r>
          </w:p>
        </w:tc>
        <w:tc>
          <w:tcPr>
            <w:tcW w:w="80" w:type="dxa"/>
            <w:vAlign w:val="bottom"/>
            <w:vMerge w:val="restart"/>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80" w:type="dxa"/>
            <w:vAlign w:val="bottom"/>
            <w:gridSpan w:val="2"/>
            <w:vMerge w:val="continue"/>
            <w:shd w:val="clear" w:color="auto" w:fill="CCEEFF"/>
          </w:tcPr>
          <w:p>
            <w:pPr>
              <w:spacing w:after="0"/>
              <w:rPr>
                <w:sz w:val="10"/>
                <w:szCs w:val="10"/>
                <w:color w:val="auto"/>
              </w:rPr>
            </w:pPr>
          </w:p>
        </w:tc>
        <w:tc>
          <w:tcPr>
            <w:tcW w:w="2360" w:type="dxa"/>
            <w:vAlign w:val="bottom"/>
            <w:gridSpan w:val="2"/>
            <w:vMerge w:val="continue"/>
            <w:shd w:val="clear" w:color="auto" w:fill="CCEEFF"/>
          </w:tcPr>
          <w:p>
            <w:pPr>
              <w:spacing w:after="0"/>
              <w:rPr>
                <w:sz w:val="10"/>
                <w:szCs w:val="10"/>
                <w:color w:val="auto"/>
              </w:rPr>
            </w:pPr>
          </w:p>
        </w:tc>
        <w:tc>
          <w:tcPr>
            <w:tcW w:w="1480" w:type="dxa"/>
            <w:vAlign w:val="bottom"/>
            <w:gridSpan w:val="2"/>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3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2021 under the 2020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2021 under the 2020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2020 Plan.</w:t>
      </w:r>
    </w:p>
    <w:p>
      <w:pPr>
        <w:jc w:val="both"/>
        <w:ind w:left="660" w:right="2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 of shares subject to the options and restricted stock unit awards granted and the closing price of the common stock as quoted on The Nasdaq Global Select Market on the date of grant, which was $4.11 per share on September 3,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May 1, 2021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OUTSTANDING EQUITY AWARDS AT FISCAL YEAR-END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w w:val="97"/>
              </w:rPr>
              <w:t>Option Awards(1)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ind w:left="720"/>
              <w:spacing w:after="0"/>
              <w:rPr>
                <w:sz w:val="20"/>
                <w:szCs w:val="20"/>
                <w:color w:val="auto"/>
              </w:rPr>
            </w:pPr>
            <w:r>
              <w:rPr>
                <w:rFonts w:ascii="Arial" w:cs="Arial" w:eastAsia="Arial" w:hAnsi="Arial"/>
                <w:sz w:val="18"/>
                <w:szCs w:val="18"/>
                <w:color w:val="auto"/>
              </w:rPr>
              <w:t>Stock Awards</w:t>
            </w:r>
          </w:p>
        </w:tc>
      </w:tr>
      <w:tr>
        <w:trPr>
          <w:trHeight w:val="195"/>
        </w:trPr>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Number of</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Market Value</w:t>
            </w:r>
          </w:p>
        </w:tc>
      </w:tr>
      <w:tr>
        <w:trPr>
          <w:trHeight w:val="216"/>
        </w:trPr>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Underlying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of Shares or</w:t>
            </w:r>
          </w:p>
        </w:tc>
      </w:tr>
      <w:tr>
        <w:trPr>
          <w:trHeight w:val="216"/>
        </w:trPr>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Unexercised</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Option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Units of Stock</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Units of Stock</w:t>
            </w:r>
          </w:p>
        </w:tc>
      </w:tr>
      <w:tr>
        <w:trPr>
          <w:trHeight w:val="216"/>
        </w:trPr>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Options (#)</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Expiration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that Have Not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That Have Not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Name</w:t>
            </w: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Grant Date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Vested (#)(2)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Vested ($)(3)</w:t>
            </w:r>
          </w:p>
        </w:tc>
        <w:tc>
          <w:tcPr>
            <w:tcW w:w="100" w:type="dxa"/>
            <w:vAlign w:val="bottom"/>
          </w:tcPr>
          <w:p>
            <w:pPr>
              <w:spacing w:after="0"/>
              <w:rPr>
                <w:sz w:val="20"/>
                <w:szCs w:val="20"/>
                <w:color w:val="auto"/>
              </w:rPr>
            </w:pPr>
          </w:p>
        </w:tc>
      </w:tr>
      <w:tr>
        <w:trPr>
          <w:trHeight w:val="20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Reece A. Kurtenbach</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12/1/2011</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8/23/2012</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10,800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08/22/22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8/22/2013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08/22/23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9/1/2013</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08/22/23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9/4/2014</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09/04/24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9/3/2015</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09/03/25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09/01/26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8/31/2017</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9,000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6,000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08/31/27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9/6/2018</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5,400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09/06/28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9/5/2019</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2,700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10,800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09/05/29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09/03/30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102,175</w:t>
            </w:r>
          </w:p>
        </w:tc>
      </w:tr>
      <w:tr>
        <w:trPr>
          <w:trHeight w:val="20"/>
        </w:trPr>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Sheila M. Anderson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8/23/2012</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08/22/22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9/12/2012</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08/22/22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8/22/2013</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6,870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11.05</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08/22/23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9/4/2014</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09/04/24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9/3/2015</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09/03/25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09/01/26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8/31/2017</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4,500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08/31/27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9/6/2018</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3,750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09/06/28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9/5/2019</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1,250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09/05/29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09/03/30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48,126</w:t>
            </w:r>
          </w:p>
        </w:tc>
      </w:tr>
      <w:tr>
        <w:trPr>
          <w:trHeight w:val="20"/>
        </w:trPr>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Bradley T. Wiemann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8/23/2012</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08/22/22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8/22/2013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08/22/23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9/4/2014</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09/04/24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9/3/2015</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09/03/25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9/1/2016</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6,000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09/01/26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8/31/2017</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08/31/27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9/6/2018</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2,500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3,750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09/06/28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9/5/2019</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09/05/29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9/3/2020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12,500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09/03/30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48,126</w:t>
            </w:r>
          </w:p>
        </w:tc>
      </w:tr>
      <w:tr>
        <w:trPr>
          <w:trHeight w:val="20"/>
        </w:trPr>
        <w:tc>
          <w:tcPr>
            <w:tcW w:w="2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8"/>
                <w:szCs w:val="18"/>
                <w:color w:val="auto"/>
              </w:rPr>
              <w:t>Matthew J. Kurtenbach</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12/1/2011</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11/30/21</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8/23/2012</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08/22/22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8/22/2013</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11.05</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08/22/23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9/4/2014</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09/04/24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9/3/2015</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09/03/25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9/1/2016</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09/01/26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8/31/2017</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4,500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08/31/27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9/6/2018</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3,750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09/06/28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9/5/2019</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1,250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09/05/29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09/03/30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48,126</w:t>
            </w:r>
          </w:p>
        </w:tc>
      </w:tr>
      <w:tr>
        <w:trPr>
          <w:trHeight w:val="20"/>
        </w:trPr>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Carla S. Gatzke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8/23/2012</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08/22/22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8/22/2013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08/22/23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9/4/2014</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6,870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09/04/24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9/3/2015</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09/03/25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9/1/2016</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5,496</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1,374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09/01/26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8/31/2017</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4,122</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2,748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08/31/27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9/6/2018</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2,500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3,750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09/06/28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9/5/2019</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09/05/29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9/3/2020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12,500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09/03/30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47,201</w:t>
            </w:r>
          </w:p>
        </w:tc>
      </w:tr>
      <w:tr>
        <w:trPr>
          <w:trHeight w:val="20"/>
        </w:trPr>
        <w:tc>
          <w:tcPr>
            <w:tcW w:w="2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318"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18"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Determined by multiplying the Company's $6.17 per share closing stock price as reported on The Nasdaq Global Select Market on May 1, 2021, which was the last business day of fiscal 2021, by the number of shares subject to the award.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the exercise of stock options by and the vesting of restricted stock awards during fiscal 2021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6260" w:type="dxa"/>
            <w:vAlign w:val="bottom"/>
            <w:gridSpan w:val="5"/>
          </w:tcPr>
          <w:p>
            <w:pPr>
              <w:ind w:left="740"/>
              <w:spacing w:after="0"/>
              <w:rPr>
                <w:sz w:val="20"/>
                <w:szCs w:val="20"/>
                <w:color w:val="auto"/>
              </w:rPr>
            </w:pPr>
            <w:r>
              <w:rPr>
                <w:rFonts w:ascii="Arial" w:cs="Arial" w:eastAsia="Arial" w:hAnsi="Arial"/>
                <w:sz w:val="18"/>
                <w:szCs w:val="18"/>
                <w:b w:val="1"/>
                <w:bCs w:val="1"/>
                <w:color w:val="auto"/>
              </w:rPr>
              <w:t xml:space="preserve">OPTION EXERCISES AND STOCK VESTED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720" w:type="dxa"/>
            <w:vAlign w:val="bottom"/>
            <w:gridSpan w:val="4"/>
          </w:tcPr>
          <w:p>
            <w:pPr>
              <w:ind w:left="700"/>
              <w:spacing w:after="0"/>
              <w:rPr>
                <w:sz w:val="20"/>
                <w:szCs w:val="20"/>
                <w:color w:val="auto"/>
              </w:rPr>
            </w:pPr>
            <w:r>
              <w:rPr>
                <w:rFonts w:ascii="Arial" w:cs="Arial" w:eastAsia="Arial" w:hAnsi="Arial"/>
                <w:sz w:val="18"/>
                <w:szCs w:val="18"/>
                <w:color w:val="auto"/>
              </w:rPr>
              <w:t>Option Awards</w:t>
            </w:r>
          </w:p>
        </w:tc>
        <w:tc>
          <w:tcPr>
            <w:tcW w:w="2540" w:type="dxa"/>
            <w:vAlign w:val="bottom"/>
            <w:gridSpan w:val="4"/>
          </w:tcPr>
          <w:p>
            <w:pPr>
              <w:ind w:left="720"/>
              <w:spacing w:after="0"/>
              <w:rPr>
                <w:sz w:val="20"/>
                <w:szCs w:val="20"/>
                <w:color w:val="auto"/>
              </w:rPr>
            </w:pPr>
            <w:r>
              <w:rPr>
                <w:rFonts w:ascii="Arial" w:cs="Arial" w:eastAsia="Arial" w:hAnsi="Arial"/>
                <w:sz w:val="18"/>
                <w:szCs w:val="18"/>
                <w:color w:val="auto"/>
              </w:rPr>
              <w:t>Stock Awards</w:t>
            </w:r>
          </w:p>
        </w:tc>
      </w:tr>
      <w:tr>
        <w:trPr>
          <w:trHeight w:val="195"/>
        </w:trPr>
        <w:tc>
          <w:tcPr>
            <w:tcW w:w="2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5"/>
              </w:rPr>
              <w:t>Number of</w:t>
            </w: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2"/>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Value Realized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Value Realized</w:t>
            </w:r>
          </w:p>
        </w:tc>
      </w:tr>
      <w:tr>
        <w:trPr>
          <w:trHeight w:val="216"/>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Acquired 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on Exercise($)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 Vesting($)</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Exercise (#)</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Vesting(#)</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0"/>
                <w:szCs w:val="20"/>
                <w:color w:val="auto"/>
              </w:rPr>
            </w:pPr>
          </w:p>
        </w:tc>
      </w:tr>
      <w:tr>
        <w:trPr>
          <w:trHeight w:val="209"/>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Reece A. Kurtenbach</w:t>
            </w:r>
          </w:p>
        </w:tc>
        <w:tc>
          <w:tcPr>
            <w:tcW w:w="3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5,760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21,974</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Sheila M. Anderson</w:t>
            </w:r>
          </w:p>
        </w:tc>
        <w:tc>
          <w:tcPr>
            <w:tcW w:w="354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2,800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10,682</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Bradley T. Wiemann</w:t>
            </w:r>
          </w:p>
        </w:tc>
        <w:tc>
          <w:tcPr>
            <w:tcW w:w="3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2,800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10,682</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Matthew J. Kurtenbach</w:t>
            </w:r>
          </w:p>
        </w:tc>
        <w:tc>
          <w:tcPr>
            <w:tcW w:w="354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2,800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10,682</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Carla S. Gatzke</w:t>
            </w:r>
          </w:p>
        </w:tc>
        <w:tc>
          <w:tcPr>
            <w:tcW w:w="3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2,650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10,110</w:t>
            </w:r>
          </w:p>
        </w:tc>
      </w:tr>
    </w:tbl>
    <w:p>
      <w:pPr>
        <w:spacing w:after="0" w:line="202" w:lineRule="exact"/>
        <w:rPr>
          <w:sz w:val="20"/>
          <w:szCs w:val="20"/>
          <w:color w:val="auto"/>
        </w:rPr>
      </w:pPr>
    </w:p>
    <w:p>
      <w:pPr>
        <w:ind w:left="660" w:right="2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May 1, 2021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Securities</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r>
      <w:tr>
        <w:trPr>
          <w:trHeight w:val="216"/>
        </w:trPr>
        <w:tc>
          <w:tcPr>
            <w:tcW w:w="632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Available for</w:t>
            </w:r>
          </w:p>
        </w:tc>
      </w:tr>
      <w:tr>
        <w:trPr>
          <w:trHeight w:val="216"/>
        </w:trPr>
        <w:tc>
          <w:tcPr>
            <w:tcW w:w="632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Securities to be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Future Issuance</w:t>
            </w:r>
          </w:p>
        </w:tc>
      </w:tr>
      <w:tr>
        <w:trPr>
          <w:trHeight w:val="216"/>
        </w:trPr>
        <w:tc>
          <w:tcPr>
            <w:tcW w:w="632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Issued Upon</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Weighted-Average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Under Equity</w:t>
            </w:r>
          </w:p>
        </w:tc>
      </w:tr>
      <w:tr>
        <w:trPr>
          <w:trHeight w:val="216"/>
        </w:trPr>
        <w:tc>
          <w:tcPr>
            <w:tcW w:w="632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Exercise of</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 of</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Compensation</w:t>
            </w:r>
          </w:p>
        </w:tc>
      </w:tr>
      <w:tr>
        <w:trPr>
          <w:trHeight w:val="216"/>
        </w:trPr>
        <w:tc>
          <w:tcPr>
            <w:tcW w:w="6320" w:type="dxa"/>
            <w:vAlign w:val="bottom"/>
          </w:tcPr>
          <w:p>
            <w:pPr>
              <w:spacing w:after="0"/>
              <w:rPr>
                <w:sz w:val="18"/>
                <w:szCs w:val="18"/>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Plans (Excluding</w:t>
            </w:r>
          </w:p>
        </w:tc>
      </w:tr>
      <w:tr>
        <w:trPr>
          <w:trHeight w:val="216"/>
        </w:trPr>
        <w:tc>
          <w:tcPr>
            <w:tcW w:w="632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Options, Warrants</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Options, Warrants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Securities Reflected</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Plan category</w:t>
            </w: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and Rights</w:t>
            </w:r>
          </w:p>
        </w:tc>
        <w:tc>
          <w:tcPr>
            <w:tcW w:w="1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and Rights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 Column (a))</w:t>
            </w:r>
          </w:p>
        </w:tc>
      </w:tr>
      <w:tr>
        <w:trPr>
          <w:trHeight w:val="210"/>
        </w:trPr>
        <w:tc>
          <w:tcPr>
            <w:tcW w:w="632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(c)</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2007 Stock Incentive Plan</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889,585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10.47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2015 Stock Incentive Plan</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928,078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2020 Stock Incentive Plan</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409,300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2,867,935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Plan(1)</w:t>
            </w:r>
          </w:p>
        </w:tc>
        <w:tc>
          <w:tcPr>
            <w:tcW w:w="1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 Applicable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808,732</w:t>
            </w:r>
          </w:p>
        </w:tc>
      </w:tr>
      <w:tr>
        <w:trPr>
          <w:trHeight w:val="210"/>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2,226,963</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3,676,667</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May 1, 2021,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2020 Plan, all options and restricted stock units immediately vest upon a "change in control", as that term is defined in the 2020 Plan. The 2007 Plan and 2015 Plan have expired, but there are awards outstanding under the 2007 Plan and 2015 Plan that are governed by its terms. Upon a termination of employment for any reason, and consistent with our employment policies which apply to all employees, we are obligated to pay for accrued and unused vacation time, which would then be payable in a lump sum.</w:t>
      </w:r>
    </w:p>
    <w:p>
      <w:pPr>
        <w:sectPr>
          <w:pgSz w:w="11900" w:h="16838" w:orient="portrait"/>
          <w:cols w:equalWidth="0" w:num="1">
            <w:col w:w="11240"/>
          </w:cols>
          <w:pgMar w:left="320" w:top="125" w:right="339" w:bottom="912"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12"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Termination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Termination</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without cause</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Termination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due to change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or for good</w:t>
            </w:r>
          </w:p>
        </w:tc>
        <w:tc>
          <w:tcPr>
            <w:tcW w:w="1320" w:type="dxa"/>
            <w:vAlign w:val="bottom"/>
            <w:gridSpan w:val="3"/>
          </w:tcPr>
          <w:p>
            <w:pPr>
              <w:spacing w:after="0"/>
              <w:rPr>
                <w:sz w:val="20"/>
                <w:szCs w:val="20"/>
                <w:color w:val="auto"/>
              </w:rPr>
            </w:pPr>
            <w:r>
              <w:rPr>
                <w:rFonts w:ascii="Arial" w:cs="Arial" w:eastAsia="Arial" w:hAnsi="Arial"/>
                <w:sz w:val="18"/>
                <w:szCs w:val="18"/>
                <w:color w:val="auto"/>
              </w:rPr>
              <w:t>for cause or for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182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in control</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reason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good reason</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Death</w:t>
            </w:r>
          </w:p>
        </w:tc>
        <w:tc>
          <w:tcPr>
            <w:tcW w:w="100" w:type="dxa"/>
            <w:vAlign w:val="bottom"/>
          </w:tcPr>
          <w:p>
            <w:pPr>
              <w:spacing w:after="0"/>
              <w:rPr>
                <w:sz w:val="20"/>
                <w:szCs w:val="20"/>
                <w:color w:val="auto"/>
              </w:rPr>
            </w:pPr>
          </w:p>
        </w:tc>
      </w:tr>
      <w:tr>
        <w:trPr>
          <w:trHeight w:val="210"/>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Reece A. Kurtenbach</w:t>
            </w: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 vesting acceleration(1)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Restricted stock unit vesting acceleration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102,175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Vacation pay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29,364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29,364</w:t>
            </w:r>
          </w:p>
        </w:tc>
      </w:tr>
      <w:tr>
        <w:trPr>
          <w:trHeight w:val="20"/>
        </w:trPr>
        <w:tc>
          <w:tcPr>
            <w:tcW w:w="1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131,539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29,364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29,364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29,364</w:t>
            </w: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Sheila M. Anderson</w:t>
            </w:r>
          </w:p>
        </w:tc>
        <w:tc>
          <w:tcPr>
            <w:tcW w:w="4060" w:type="dxa"/>
            <w:vAlign w:val="bottom"/>
          </w:tcPr>
          <w:p>
            <w:pPr>
              <w:ind w:left="240"/>
              <w:spacing w:after="0"/>
              <w:rPr>
                <w:sz w:val="20"/>
                <w:szCs w:val="20"/>
                <w:color w:val="auto"/>
              </w:rPr>
            </w:pPr>
            <w:r>
              <w:rPr>
                <w:rFonts w:ascii="Arial" w:cs="Arial" w:eastAsia="Arial" w:hAnsi="Arial"/>
                <w:sz w:val="18"/>
                <w:szCs w:val="18"/>
                <w:color w:val="auto"/>
              </w:rPr>
              <w:t>Stock option vesting acceleration(1)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unit vesting acceleration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12,767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12,767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12,767</w:t>
            </w:r>
          </w:p>
        </w:tc>
      </w:tr>
      <w:tr>
        <w:trPr>
          <w:trHeight w:val="20"/>
        </w:trPr>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12,767</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T. Wiemann</w:t>
            </w: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 vesting acceleration(1)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Restricted stock unit vesting acceleration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48,126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Vacation pay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21,679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21,679</w:t>
            </w:r>
          </w:p>
        </w:tc>
      </w:tr>
      <w:tr>
        <w:trPr>
          <w:trHeight w:val="20"/>
        </w:trPr>
        <w:tc>
          <w:tcPr>
            <w:tcW w:w="1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69,805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21,679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21,679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21,679</w:t>
            </w: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Matthew J. Kurtenbach</w:t>
            </w:r>
          </w:p>
        </w:tc>
        <w:tc>
          <w:tcPr>
            <w:tcW w:w="4060" w:type="dxa"/>
            <w:vAlign w:val="bottom"/>
          </w:tcPr>
          <w:p>
            <w:pPr>
              <w:ind w:left="240"/>
              <w:spacing w:after="0"/>
              <w:rPr>
                <w:sz w:val="20"/>
                <w:szCs w:val="20"/>
                <w:color w:val="auto"/>
              </w:rPr>
            </w:pPr>
            <w:r>
              <w:rPr>
                <w:rFonts w:ascii="Arial" w:cs="Arial" w:eastAsia="Arial" w:hAnsi="Arial"/>
                <w:sz w:val="18"/>
                <w:szCs w:val="18"/>
                <w:color w:val="auto"/>
              </w:rPr>
              <w:t>Stock option vesting acceleration(1)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unit vesting acceleration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30,274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30,274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30,274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30,274</w:t>
            </w:r>
          </w:p>
        </w:tc>
      </w:tr>
      <w:tr>
        <w:trPr>
          <w:trHeight w:val="20"/>
        </w:trPr>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30,274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30,274</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Carla S. Gatzke</w:t>
            </w: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 vesting acceleration(1)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Restricted stock unit vesting acceleration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47,201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Vacation pay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31,258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31,258</w:t>
            </w:r>
          </w:p>
        </w:tc>
      </w:tr>
      <w:tr>
        <w:trPr>
          <w:trHeight w:val="20"/>
        </w:trPr>
        <w:tc>
          <w:tcPr>
            <w:tcW w:w="1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78,459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31,258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31,258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31,258</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$6.17 per share closing price of the common stock as reported on The Nasdaq Global Select Market as of May 1, 2021, which was the last business day of fiscal 2021, and the exercise price of the option multiplied by the number of shares subject to the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Item 402(u) of Regulation S-K and Section 953(b) of the Dodd-Frank Wall Street Reform and Consumer Protection Act, we are providing the following information with respect to fiscal 2021:</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of our Company (which excludes our CEO) was $53,218;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annual total compensation of our CEO was $449,838.</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information, a reasonable estimate of the ratio of the annual total compensations of our CEO and the median employee for fiscal 2021 was approximately 7-to-1.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determined our median employee compensation as of January 1, 2021. We included all world-wide full-time, part-time, temporary and student employees, and excluding our CEO in the median compensation calculation. We calculated each identified employee’s total compensation as the annualized value of their current base hourly rate with scheduled hours or salary rate. Compensation paid in currencies other than U.S. dollars were converted to U.S. dollars based on average exchange rates for the period ended January 1, 2021.</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identified median employee received $52,520 of base pay in fiscal 2021. We then calculated the median employee's annual total compensation on the same basis that we used to calculate the total compensation of our Named Executive Officers set forth in the Summary Compensation Table, which added $698 to the median employee's base pay due to overtime. Thus, our median employee's annual total compensation was $53,218.</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sectPr>
          <w:pgSz w:w="11900" w:h="16838" w:orient="portrait"/>
          <w:cols w:equalWidth="0" w:num="1">
            <w:col w:w="11240"/>
          </w:cols>
          <w:pgMar w:left="320" w:top="108" w:right="339" w:bottom="925"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925"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Audit Committee is composed of three Directors who are independent as provided in Rule 5605(a)(2) of the Nasdaq Listing Rules and Rule 10A-3 under the Securities Exchange Act of 1934. The members of the Audit Committee are appointed annually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2021, together with their appointment dates and attendance at meetings,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Members</w:t>
            </w:r>
          </w:p>
        </w:tc>
        <w:tc>
          <w:tcPr>
            <w:tcW w:w="37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Committee Member since</w:t>
            </w:r>
          </w:p>
        </w:tc>
        <w:tc>
          <w:tcPr>
            <w:tcW w:w="52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Attendance/Total Meetings</w:t>
            </w:r>
          </w:p>
        </w:tc>
      </w:tr>
      <w:tr>
        <w:trPr>
          <w:trHeight w:val="195"/>
        </w:trPr>
        <w:tc>
          <w:tcPr>
            <w:tcW w:w="2260" w:type="dxa"/>
            <w:vAlign w:val="bottom"/>
          </w:tcPr>
          <w:p>
            <w:pPr>
              <w:spacing w:after="0" w:line="195" w:lineRule="exact"/>
              <w:rPr>
                <w:sz w:val="20"/>
                <w:szCs w:val="20"/>
                <w:color w:val="auto"/>
              </w:rPr>
            </w:pPr>
            <w:r>
              <w:rPr>
                <w:rFonts w:ascii="Arial" w:cs="Arial" w:eastAsia="Arial" w:hAnsi="Arial"/>
                <w:sz w:val="18"/>
                <w:szCs w:val="18"/>
                <w:color w:val="auto"/>
              </w:rPr>
              <w:t>Kevin P. McDermott</w:t>
            </w:r>
          </w:p>
        </w:tc>
        <w:tc>
          <w:tcPr>
            <w:tcW w:w="3760" w:type="dxa"/>
            <w:vAlign w:val="bottom"/>
          </w:tcPr>
          <w:p>
            <w:pPr>
              <w:ind w:left="780"/>
              <w:spacing w:after="0" w:line="195" w:lineRule="exact"/>
              <w:rPr>
                <w:sz w:val="20"/>
                <w:szCs w:val="20"/>
                <w:color w:val="auto"/>
              </w:rPr>
            </w:pPr>
            <w:r>
              <w:rPr>
                <w:rFonts w:ascii="Arial" w:cs="Arial" w:eastAsia="Arial" w:hAnsi="Arial"/>
                <w:sz w:val="18"/>
                <w:szCs w:val="18"/>
                <w:color w:val="auto"/>
              </w:rPr>
              <w:t>2016</w:t>
            </w:r>
          </w:p>
        </w:tc>
        <w:tc>
          <w:tcPr>
            <w:tcW w:w="5220" w:type="dxa"/>
            <w:vAlign w:val="bottom"/>
          </w:tcPr>
          <w:p>
            <w:pPr>
              <w:ind w:left="1000"/>
              <w:spacing w:after="0" w:line="195" w:lineRule="exact"/>
              <w:rPr>
                <w:sz w:val="20"/>
                <w:szCs w:val="20"/>
                <w:color w:val="auto"/>
              </w:rPr>
            </w:pPr>
            <w:r>
              <w:rPr>
                <w:rFonts w:ascii="Arial" w:cs="Arial" w:eastAsia="Arial" w:hAnsi="Arial"/>
                <w:sz w:val="18"/>
                <w:szCs w:val="18"/>
                <w:color w:val="auto"/>
              </w:rPr>
              <w:t>5/5</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John P. Friel</w:t>
            </w:r>
          </w:p>
        </w:tc>
        <w:tc>
          <w:tcPr>
            <w:tcW w:w="3760" w:type="dxa"/>
            <w:vAlign w:val="bottom"/>
          </w:tcPr>
          <w:p>
            <w:pPr>
              <w:ind w:left="780"/>
              <w:spacing w:after="0"/>
              <w:rPr>
                <w:sz w:val="20"/>
                <w:szCs w:val="20"/>
                <w:color w:val="auto"/>
              </w:rPr>
            </w:pPr>
            <w:r>
              <w:rPr>
                <w:rFonts w:ascii="Arial" w:cs="Arial" w:eastAsia="Arial" w:hAnsi="Arial"/>
                <w:sz w:val="18"/>
                <w:szCs w:val="18"/>
                <w:color w:val="auto"/>
              </w:rPr>
              <w:t>2016</w:t>
            </w:r>
          </w:p>
        </w:tc>
        <w:tc>
          <w:tcPr>
            <w:tcW w:w="5220" w:type="dxa"/>
            <w:vAlign w:val="bottom"/>
          </w:tcPr>
          <w:p>
            <w:pPr>
              <w:ind w:left="1000"/>
              <w:spacing w:after="0"/>
              <w:rPr>
                <w:sz w:val="20"/>
                <w:szCs w:val="20"/>
                <w:color w:val="auto"/>
              </w:rPr>
            </w:pPr>
            <w:r>
              <w:rPr>
                <w:rFonts w:ascii="Arial" w:cs="Arial" w:eastAsia="Arial" w:hAnsi="Arial"/>
                <w:sz w:val="18"/>
                <w:szCs w:val="18"/>
                <w:color w:val="auto"/>
              </w:rPr>
              <w:t>5/5</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James B. Morgan</w:t>
            </w:r>
          </w:p>
        </w:tc>
        <w:tc>
          <w:tcPr>
            <w:tcW w:w="3760" w:type="dxa"/>
            <w:vAlign w:val="bottom"/>
          </w:tcPr>
          <w:p>
            <w:pPr>
              <w:ind w:left="780"/>
              <w:spacing w:after="0"/>
              <w:rPr>
                <w:sz w:val="20"/>
                <w:szCs w:val="20"/>
                <w:color w:val="auto"/>
              </w:rPr>
            </w:pPr>
            <w:r>
              <w:rPr>
                <w:rFonts w:ascii="Arial" w:cs="Arial" w:eastAsia="Arial" w:hAnsi="Arial"/>
                <w:sz w:val="18"/>
                <w:szCs w:val="18"/>
                <w:color w:val="auto"/>
              </w:rPr>
              <w:t>2017</w:t>
            </w:r>
          </w:p>
        </w:tc>
        <w:tc>
          <w:tcPr>
            <w:tcW w:w="5220" w:type="dxa"/>
            <w:vAlign w:val="bottom"/>
          </w:tcPr>
          <w:p>
            <w:pPr>
              <w:ind w:left="1000"/>
              <w:spacing w:after="0"/>
              <w:rPr>
                <w:sz w:val="20"/>
                <w:szCs w:val="20"/>
                <w:color w:val="auto"/>
              </w:rPr>
            </w:pPr>
            <w:r>
              <w:rPr>
                <w:rFonts w:ascii="Arial" w:cs="Arial" w:eastAsia="Arial" w:hAnsi="Arial"/>
                <w:sz w:val="18"/>
                <w:szCs w:val="18"/>
                <w:color w:val="auto"/>
              </w:rPr>
              <w:t>5/5</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Audit Committee has reviewed and discussed with management and the Independent Auditor our audited consolidated financial statements as of and for the fiscal year ended May 1, 2021 and the audit plans and results of management's assessment and the Independent Auditor's audit of the effectiveness of the Company's internal control over financial reporting; the significant accounting policies, including their quality and acceptability, applied by management in the preparation of our financial statements, as well as alternative treatments; significant estimates and judgements applied by management in the preparation of our financial statements; use of non-GAAP measures, and management's and the Independent Auditor's judgment with respect to risk assessment. The Audit Committee received regular updates from our Chief Financial Officer and general counsel on various matters including the status of litigation and regulatory matters, our banking relationships and credit facilities, and estimated cash flow, capital expenditures, and investments in affiliates. The Audit Committee reviewed and discussed our quarterly earnings press releases and quarterly 10Q filings. We have discussed with our Independent Auditor the matters required by the standards of the Public Company Accounting Oversight Board ("PCAOB"), including PCAOB Auditing Standards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the rules of the Securities and Exchange Commission, and other applicable regulations. We have also received from the Independent Auditor the written disclosures and the letter required by applicable requirements of PCAOB Rule 3526, </w:t>
      </w:r>
      <w:r>
        <w:rPr>
          <w:rFonts w:ascii="Arial" w:cs="Arial" w:eastAsia="Arial" w:hAnsi="Arial"/>
          <w:sz w:val="16"/>
          <w:szCs w:val="16"/>
          <w:i w:val="1"/>
          <w:iCs w:val="1"/>
          <w:color w:val="auto"/>
        </w:rPr>
        <w:t>Communications</w:t>
      </w:r>
      <w:r>
        <w:rPr>
          <w:rFonts w:ascii="Arial" w:cs="Arial" w:eastAsia="Arial" w:hAnsi="Arial"/>
          <w:sz w:val="16"/>
          <w:szCs w:val="16"/>
          <w:color w:val="auto"/>
        </w:rPr>
        <w:t xml:space="preserve"> </w:t>
      </w:r>
      <w:r>
        <w:rPr>
          <w:rFonts w:ascii="Arial" w:cs="Arial" w:eastAsia="Arial" w:hAnsi="Arial"/>
          <w:sz w:val="16"/>
          <w:szCs w:val="16"/>
          <w:i w:val="1"/>
          <w:iCs w:val="1"/>
          <w:color w:val="auto"/>
        </w:rPr>
        <w:t>with Audit Committees Concerning Independence</w:t>
      </w:r>
      <w:r>
        <w:rPr>
          <w:rFonts w:ascii="Arial" w:cs="Arial" w:eastAsia="Arial" w:hAnsi="Arial"/>
          <w:sz w:val="16"/>
          <w:szCs w:val="16"/>
          <w:color w:val="auto"/>
        </w:rPr>
        <w:t>, regarding the Independent Auditor's independence; and reviewed and pre-approved fees charged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and considered whether the Independent Auditor's provision of non-audit services to us is compatible with its independence. The Audit Committee also met in executive session following each of the formal Audit Committee meetings with representatives of our Independent Auditor.</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recognizes the importance of maintaining the independence of the Company's Independent Auditor, both in fact and appearance. Each year, the Audit Committee evaluates the qualifications, performance and independence of the Company's Independent Auditor and determines whether to re-engage such firm. In doing so, the Audit Committee considers, among other things, the quality and efficiency of the services provided by the Independent Auditor, its capabilities and its technical expertise, its knowledge of the Company's operations and industry, and relevant information concerning its independence. Based on this evaluation, the Audit Committee of the Board of Directors recommended the appointment of Deloitte &amp; Touche, LLP as our Independent Auditor to perform reviews of our interim consolidated financial statements and to perform audits of our annual consolidated financial statements and of our internal control over financial reporting for fiscal 2021.</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consolidated financial statements for the fiscal year ended May 1, 2021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P. McDermott,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 of our Annual Report, this Proxy Statement and our Notice of Internet Availability of Proxy Materials may request only one copy of these materials by contacting their bank, broker or other nominee record holder or by contacting the Company as described in the next paragraph.</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or by contacting the Company as described in the next sentence. We will also deliver promptly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May 1, 2021, including financial statements, is being mailed with this Proxy Statement. The Annual Report to Shareholders is not incorporated in this Proxy Statement and is not deemed to be a part of this Proxy Statement.</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Annual Report to Shareholders for the fiscal year ended May 1, 2021 can also be accessed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by selecting "Investors" at the bottom of the website under "Our Company" and then "Annual Reports and Proxy" under the heading "Financial Information." Any person whose proxy is solicited by this Proxy Statement will be provided, upon request and without charge, with a copy of our Annual Report on Form 10-K for the fiscal year ended May 1, 2021. Please submit such requests to Daktronics, Inc., 201 Daktronics Drive, Brookings, South Dakota 57006, Attention: Investor Relations, or by calling (605) 692-0200.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240"/>
          </w:cols>
          <w:pgMar w:left="320" w:top="125" w:right="33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5829300" cy="7620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0" cy="7620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168910</wp:posOffset>
            </wp:positionV>
            <wp:extent cx="5795010" cy="7406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501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lvl w:ilvl="1">
      <w:lvlJc w:val="left"/>
      <w:lvlText w:val="(%2)"/>
      <w:numFmt w:val="decimal"/>
      <w:start w:val="1"/>
    </w:lvl>
  </w:abstractNum>
  <w:abstractNum w:abstractNumId="7">
    <w:nsid w:val="4E6AFB66"/>
    <w:multiLevelType w:val="hybridMultilevel"/>
    <w:lvl w:ilvl="0">
      <w:lvlJc w:val="left"/>
      <w:lvlText w:val="(%1)"/>
      <w:numFmt w:val="decimal"/>
      <w:start w:val="17"/>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2021-07-15T11:45:40Z</dcterms:created>
  <dcterms:modified xsi:type="dcterms:W3CDTF">2021-07-15T11:45:40Z</dcterms:modified>
</cp:coreProperties>
</file>