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145405"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77470"/>
                    </a:xfrm>
                    <a:prstGeom prst="rect">
                      <a:avLst/>
                    </a:prstGeom>
                    <a:noFill/>
                  </pic:spPr>
                </pic:pic>
              </a:graphicData>
            </a:graphic>
          </wp:anchor>
        </w:drawing>
        <w:t>UNITED STATES</w:t>
      </w:r>
    </w:p>
    <w:p>
      <w:pPr>
        <w:spacing w:after="0" w:line="254"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5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FORM 10-Q</w:t>
      </w:r>
    </w:p>
    <w:p>
      <w:pPr>
        <w:spacing w:after="0" w:line="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0"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7"/>
          <w:szCs w:val="17"/>
          <w:b w:val="1"/>
          <w:bCs w:val="1"/>
          <w:color w:val="auto"/>
        </w:rPr>
        <w:t>QUARTERLY REPORT PURSUANT TO SECTION 13 OR 15(d) OF THE SECURITIES</w:t>
      </w:r>
    </w:p>
    <w:p>
      <w:pPr>
        <w:spacing w:after="0" w:line="27"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26, 2008</w:t>
      </w:r>
    </w:p>
    <w:p>
      <w:pPr>
        <w:spacing w:after="0" w:line="238"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oTRANSITION REPORT PURSUANT TO SECTION 13 OR 15(d) OF THE SECURITIES</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i w:val="1"/>
          <w:iCs w:val="1"/>
          <w:color w:val="auto"/>
        </w:rPr>
        <w:t>For the Transition Period From______ to______.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518795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7950" cy="425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Commission File Number: 0-23246</w:t>
      </w:r>
    </w:p>
    <w:p>
      <w:pPr>
        <w:spacing w:after="0" w:line="252"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8"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5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South Dakota</w:t>
            </w:r>
          </w:p>
        </w:tc>
        <w:tc>
          <w:tcPr>
            <w:tcW w:w="204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6"/>
              </w:rPr>
              <w:t>46-0306862</w:t>
            </w:r>
          </w:p>
        </w:tc>
      </w:tr>
      <w:tr>
        <w:trPr>
          <w:trHeight w:val="216"/>
        </w:trPr>
        <w:tc>
          <w:tcPr>
            <w:tcW w:w="25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20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5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20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155575</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3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331 32nd Avenue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Brookings, SD</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57006</w:t>
            </w:r>
          </w:p>
        </w:tc>
        <w:tc>
          <w:tcPr>
            <w:tcW w:w="0" w:type="dxa"/>
            <w:vAlign w:val="bottom"/>
          </w:tcPr>
          <w:p>
            <w:pPr>
              <w:spacing w:after="0"/>
              <w:rPr>
                <w:sz w:val="1"/>
                <w:szCs w:val="1"/>
                <w:color w:val="auto"/>
              </w:rPr>
            </w:pPr>
          </w:p>
        </w:tc>
      </w:tr>
      <w:tr>
        <w:trPr>
          <w:trHeight w:val="82"/>
        </w:trPr>
        <w:tc>
          <w:tcPr>
            <w:tcW w:w="32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(605) 697-4000</w:t>
      </w:r>
    </w:p>
    <w:p>
      <w:pPr>
        <w:spacing w:after="0" w:line="23"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0" w:lineRule="exact"/>
        <w:rPr>
          <w:sz w:val="24"/>
          <w:szCs w:val="24"/>
          <w:color w:val="auto"/>
        </w:rPr>
      </w:pPr>
    </w:p>
    <w:p>
      <w:pPr>
        <w:ind w:right="229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17" w:lineRule="exact"/>
        <w:rPr>
          <w:sz w:val="24"/>
          <w:szCs w:val="24"/>
          <w:color w:val="auto"/>
        </w:rPr>
      </w:pPr>
    </w:p>
    <w:p>
      <w:pPr>
        <w:ind w:right="2159"/>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Large accelerated filer [ X ] Non-accelerated Filer o Accelerated filer o Smaller reporting company 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color w:val="auto"/>
        </w:rPr>
        <w:t>Yes [ ] No [ X ]</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February 20, 2008 was 40,181,682.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For the Quarter Ended January 26, 2008</w:t>
      </w:r>
    </w:p>
    <w:p>
      <w:pPr>
        <w:spacing w:after="0" w:line="23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10219"/>
          </w:cols>
          <w:pgMar w:left="240" w:top="1325"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5"/>
        </w:trPr>
        <w:tc>
          <w:tcPr>
            <w:tcW w:w="5220" w:type="dxa"/>
            <w:vAlign w:val="bottom"/>
            <w:tcBorders>
              <w:bottom w:val="single" w:sz="8" w:color="0000EE"/>
            </w:tcBorders>
            <w:gridSpan w:val="23"/>
          </w:tcPr>
          <w:p>
            <w:pPr>
              <w:spacing w:after="0" w:line="205" w:lineRule="exact"/>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SPECIAL NOTE REGARDING FORWARD-LOOKING STATEMENTS</w:t>
              </w:r>
            </w:hyperlink>
          </w:p>
        </w:tc>
        <w:tc>
          <w:tcPr>
            <w:tcW w:w="2180" w:type="dxa"/>
            <w:vAlign w:val="bottom"/>
            <w:gridSpan w:val="11"/>
          </w:tcPr>
          <w:p>
            <w:pPr>
              <w:spacing w:after="0"/>
              <w:rPr>
                <w:sz w:val="17"/>
                <w:szCs w:val="17"/>
                <w:color w:val="auto"/>
              </w:rPr>
            </w:pPr>
          </w:p>
        </w:tc>
        <w:tc>
          <w:tcPr>
            <w:tcW w:w="960" w:type="dxa"/>
            <w:vAlign w:val="bottom"/>
          </w:tcPr>
          <w:p>
            <w:pPr>
              <w:jc w:val="center"/>
              <w:ind w:left="512"/>
              <w:spacing w:after="0" w:line="205" w:lineRule="exact"/>
              <w:rPr>
                <w:sz w:val="20"/>
                <w:szCs w:val="20"/>
                <w:color w:val="auto"/>
              </w:rPr>
            </w:pPr>
            <w:r>
              <w:rPr>
                <w:rFonts w:ascii="Times New Roman" w:cs="Times New Roman" w:eastAsia="Times New Roman" w:hAnsi="Times New Roman"/>
                <w:sz w:val="18"/>
                <w:szCs w:val="18"/>
                <w:color w:val="auto"/>
                <w:w w:val="88"/>
              </w:rPr>
              <w:t>2</w:t>
            </w:r>
          </w:p>
        </w:tc>
      </w:tr>
      <w:tr>
        <w:trPr>
          <w:trHeight w:val="466"/>
        </w:trPr>
        <w:tc>
          <w:tcPr>
            <w:tcW w:w="300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 xml:space="preserve">PART </w:t>
              </w:r>
            </w:hyperlink>
            <w:r>
              <w:rPr>
                <w:rFonts w:ascii="Times New Roman" w:cs="Times New Roman" w:eastAsia="Times New Roman" w:hAnsi="Times New Roman"/>
                <w:sz w:val="18"/>
                <w:szCs w:val="18"/>
                <w:b w:val="1"/>
                <w:bCs w:val="1"/>
                <w:color w:val="0000EE"/>
                <w:w w:val="96"/>
              </w:rPr>
              <w:t xml:space="preserve">I. </w:t>
            </w:r>
            <w:hyperlink w:anchor="page3">
              <w:r>
                <w:rPr>
                  <w:rFonts w:ascii="Times New Roman" w:cs="Times New Roman" w:eastAsia="Times New Roman" w:hAnsi="Times New Roman"/>
                  <w:sz w:val="18"/>
                  <w:szCs w:val="18"/>
                  <w:b w:val="1"/>
                  <w:bCs w:val="1"/>
                  <w:color w:val="0000EE"/>
                  <w:w w:val="96"/>
                </w:rPr>
                <w:t>FINANCIAL INFORMATION</w:t>
              </w:r>
            </w:hyperlink>
          </w:p>
        </w:tc>
        <w:tc>
          <w:tcPr>
            <w:tcW w:w="4400" w:type="dxa"/>
            <w:vAlign w:val="bottom"/>
            <w:gridSpan w:val="16"/>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2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ITEM 1. FINANCIAL STATEMENTS</w:t>
              </w:r>
            </w:hyperlink>
          </w:p>
        </w:tc>
        <w:tc>
          <w:tcPr>
            <w:tcW w:w="4640" w:type="dxa"/>
            <w:vAlign w:val="bottom"/>
            <w:gridSpan w:val="18"/>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CONSOLIDATED BALANCE SHEETS AS OF JANUARY 26, 2008 AND APRIL 28, 2007</w:t>
              </w:r>
            </w:hyperlink>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0"/>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CONSOLIDATED STATEMENTS OF INCOME FOR THE THREE AND NINE MONTHS</w:t>
              </w:r>
            </w:hyperlink>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0" w:type="dxa"/>
            <w:vAlign w:val="bottom"/>
            <w:tcBorders>
              <w:top w:val="single" w:sz="8" w:color="0000EE"/>
            </w:tcBorders>
            <w:gridSpan w:val="2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ENDED JANUARY 26, 2008 AND JANUARY 27,2007</w:t>
              </w:r>
            </w:hyperlink>
          </w:p>
        </w:tc>
        <w:tc>
          <w:tcPr>
            <w:tcW w:w="4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FOR THE NINE MONTHS</w:t>
              </w:r>
            </w:hyperlink>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57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JANUARY 26, 2008 AND JANUARY 27, 2007</w:t>
              </w:r>
            </w:hyperlink>
          </w:p>
        </w:tc>
        <w:tc>
          <w:tcPr>
            <w:tcW w:w="660" w:type="dxa"/>
            <w:vAlign w:val="bottom"/>
            <w:gridSpan w:val="6"/>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THE CONSOLIDATED FINANCIAL STATEMENTS</w:t>
              </w:r>
            </w:hyperlink>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71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ITEM 2. MANAGEMENT’S DISCUSSION AND ANALYSIS OF FINANCIAL CONDITION AND</w:t>
              </w:r>
            </w:hyperlink>
          </w:p>
        </w:tc>
        <w:tc>
          <w:tcPr>
            <w:tcW w:w="22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0"/>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RESULTS OF OPERATIONS</w:t>
              </w:r>
            </w:hyperlink>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7400" w:type="dxa"/>
            <w:vAlign w:val="bottom"/>
            <w:gridSpan w:val="3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3. QUANTITATIVE AND QUALITATIVE DISCLOSURES ABOUT MARKET RISK</w:t>
              </w:r>
            </w:hyperlink>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27</w:t>
            </w:r>
          </w:p>
        </w:tc>
      </w:tr>
      <w:tr>
        <w:trPr>
          <w:trHeight w:val="196"/>
        </w:trPr>
        <w:tc>
          <w:tcPr>
            <w:tcW w:w="32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4. CONTROLS AND PROCEDURES</w:t>
              </w:r>
            </w:hyperlink>
          </w:p>
        </w:tc>
        <w:tc>
          <w:tcPr>
            <w:tcW w:w="3440" w:type="dxa"/>
            <w:vAlign w:val="bottom"/>
            <w:tcBorders>
              <w:top w:val="single" w:sz="8" w:color="0000EE"/>
            </w:tcBorders>
            <w:gridSpan w:val="8"/>
          </w:tcPr>
          <w:p>
            <w:pPr>
              <w:spacing w:after="0"/>
              <w:rPr>
                <w:sz w:val="17"/>
                <w:szCs w:val="17"/>
                <w:color w:val="auto"/>
              </w:rPr>
            </w:pPr>
          </w:p>
        </w:tc>
        <w:tc>
          <w:tcPr>
            <w:tcW w:w="760" w:type="dxa"/>
            <w:vAlign w:val="bottom"/>
            <w:gridSpan w:val="7"/>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28</w:t>
            </w:r>
          </w:p>
        </w:tc>
      </w:tr>
      <w:tr>
        <w:trPr>
          <w:trHeight w:val="466"/>
        </w:trPr>
        <w:tc>
          <w:tcPr>
            <w:tcW w:w="7400" w:type="dxa"/>
            <w:vAlign w:val="bottom"/>
            <w:gridSpan w:val="34"/>
          </w:tcPr>
          <w:p>
            <w:pPr>
              <w:spacing w:after="0"/>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PART II.OTHER INFORMATION</w:t>
              </w:r>
            </w:hyperlink>
          </w:p>
        </w:tc>
        <w:tc>
          <w:tcPr>
            <w:tcW w:w="960" w:type="dxa"/>
            <w:vAlign w:val="bottom"/>
          </w:tcPr>
          <w:p>
            <w:pPr>
              <w:spacing w:after="0"/>
              <w:rPr>
                <w:sz w:val="24"/>
                <w:szCs w:val="24"/>
                <w:color w:val="auto"/>
              </w:rPr>
            </w:pPr>
          </w:p>
        </w:tc>
      </w:tr>
      <w:tr>
        <w:trPr>
          <w:trHeight w:val="196"/>
        </w:trPr>
        <w:tc>
          <w:tcPr>
            <w:tcW w:w="26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 LEGAL PROCEEDINGS</w:t>
              </w:r>
            </w:hyperlink>
          </w:p>
        </w:tc>
        <w:tc>
          <w:tcPr>
            <w:tcW w:w="4740" w:type="dxa"/>
            <w:vAlign w:val="bottom"/>
            <w:gridSpan w:val="19"/>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24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 RISK FACTORS</w:t>
              </w:r>
            </w:hyperlink>
          </w:p>
        </w:tc>
        <w:tc>
          <w:tcPr>
            <w:tcW w:w="4920" w:type="dxa"/>
            <w:vAlign w:val="bottom"/>
            <w:gridSpan w:val="21"/>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2. UNREGISTERED SALES OF EQUITY SECURITIES AND USE OF PROCEEDS</w:t>
              </w:r>
            </w:hyperlink>
          </w:p>
        </w:tc>
        <w:tc>
          <w:tcPr>
            <w:tcW w:w="820" w:type="dxa"/>
            <w:vAlign w:val="bottom"/>
            <w:gridSpan w:val="8"/>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7400" w:type="dxa"/>
            <w:vAlign w:val="bottom"/>
            <w:gridSpan w:val="34"/>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3. DEFAULTS UPON SENIOR SECURITIES</w:t>
              </w:r>
            </w:hyperlink>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4. SUBMISSION OF MATTERS TO A VOTE OF SECURITY HOLDERS</w:t>
              </w:r>
            </w:hyperlink>
          </w:p>
        </w:tc>
        <w:tc>
          <w:tcPr>
            <w:tcW w:w="1580" w:type="dxa"/>
            <w:vAlign w:val="bottom"/>
            <w:gridSpan w:val="9"/>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2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ITEM 5. OTHER INFORMATION</w:t>
              </w:r>
            </w:hyperlink>
          </w:p>
        </w:tc>
        <w:tc>
          <w:tcPr>
            <w:tcW w:w="4900" w:type="dxa"/>
            <w:vAlign w:val="bottom"/>
            <w:gridSpan w:val="20"/>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1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ITEM 6. EXHIBITS</w:t>
              </w:r>
            </w:hyperlink>
          </w:p>
        </w:tc>
        <w:tc>
          <w:tcPr>
            <w:tcW w:w="5940" w:type="dxa"/>
            <w:vAlign w:val="bottom"/>
            <w:gridSpan w:val="25"/>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439"/>
        </w:trPr>
        <w:tc>
          <w:tcPr>
            <w:tcW w:w="10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5"/>
              </w:rPr>
            </w:pPr>
            <w:hyperlink w:anchor="page24">
              <w:r>
                <w:rPr>
                  <w:rFonts w:ascii="Times New Roman" w:cs="Times New Roman" w:eastAsia="Times New Roman" w:hAnsi="Times New Roman"/>
                  <w:sz w:val="18"/>
                  <w:szCs w:val="18"/>
                  <w:b w:val="1"/>
                  <w:bCs w:val="1"/>
                  <w:color w:val="0000EE"/>
                  <w:w w:val="95"/>
                </w:rPr>
                <w:t>SIGNATURE</w:t>
              </w:r>
            </w:hyperlink>
          </w:p>
        </w:tc>
        <w:tc>
          <w:tcPr>
            <w:tcW w:w="6360" w:type="dxa"/>
            <w:vAlign w:val="bottom"/>
            <w:gridSpan w:val="28"/>
          </w:tcPr>
          <w:p>
            <w:pPr>
              <w:spacing w:after="0"/>
              <w:rPr>
                <w:sz w:val="24"/>
                <w:szCs w:val="24"/>
                <w:color w:val="auto"/>
              </w:rPr>
            </w:pPr>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30</w:t>
            </w:r>
          </w:p>
        </w:tc>
      </w:tr>
      <w:tr>
        <w:trPr>
          <w:trHeight w:val="466"/>
        </w:trPr>
        <w:tc>
          <w:tcPr>
            <w:tcW w:w="74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60" w:type="dxa"/>
            <w:vAlign w:val="bottom"/>
          </w:tcPr>
          <w:p>
            <w:pPr>
              <w:spacing w:after="0"/>
              <w:rPr>
                <w:sz w:val="24"/>
                <w:szCs w:val="24"/>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2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9"/>
              </w:rPr>
              <w:t>Ex.</w:t>
            </w:r>
          </w:p>
        </w:tc>
        <w:tc>
          <w:tcPr>
            <w:tcW w:w="240" w:type="dxa"/>
            <w:vAlign w:val="bottom"/>
          </w:tcPr>
          <w:p>
            <w:pPr>
              <w:spacing w:after="0"/>
              <w:rPr>
                <w:sz w:val="24"/>
                <w:szCs w:val="24"/>
                <w:color w:val="auto"/>
              </w:rPr>
            </w:pPr>
          </w:p>
        </w:tc>
        <w:tc>
          <w:tcPr>
            <w:tcW w:w="66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w w:val="99"/>
              </w:rPr>
              <w:t>31.</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CERTIFICATION OF THE CHIEF EXECUTIVE OFFICER REQUIRED BY RULE</w:t>
            </w:r>
          </w:p>
        </w:tc>
        <w:tc>
          <w:tcPr>
            <w:tcW w:w="960" w:type="dxa"/>
            <w:vAlign w:val="bottom"/>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2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7"/>
              </w:rPr>
              <w:t>13a-14(a) OR RULE 15d-14(a) OF THE SECURITIES EXCHANGE ACT OF 1934,</w:t>
            </w:r>
          </w:p>
        </w:tc>
        <w:tc>
          <w:tcPr>
            <w:tcW w:w="10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40" w:type="dxa"/>
            <w:vAlign w:val="bottom"/>
            <w:tcBorders>
              <w:left w:val="single" w:sz="8" w:color="0000EE"/>
            </w:tcBorders>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w w:val="97"/>
              </w:rPr>
              <w:t>AS ADOPTED PURSUANT TO SECTION 302 OF THE SARBANES-OXLEY ACT</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OF 2002</w:t>
            </w:r>
          </w:p>
        </w:tc>
        <w:tc>
          <w:tcPr>
            <w:tcW w:w="5460" w:type="dxa"/>
            <w:vAlign w:val="bottom"/>
            <w:tcBorders>
              <w:top w:val="single" w:sz="8" w:color="0000EE"/>
            </w:tcBorders>
            <w:gridSpan w:val="2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9"/>
              </w:rPr>
              <w:t>Ex.</w:t>
            </w:r>
          </w:p>
        </w:tc>
        <w:tc>
          <w:tcPr>
            <w:tcW w:w="240" w:type="dxa"/>
            <w:vAlign w:val="bottom"/>
          </w:tcPr>
          <w:p>
            <w:pPr>
              <w:spacing w:after="0"/>
              <w:rPr>
                <w:sz w:val="19"/>
                <w:szCs w:val="19"/>
                <w:color w:val="auto"/>
              </w:rPr>
            </w:pPr>
          </w:p>
        </w:tc>
        <w:tc>
          <w:tcPr>
            <w:tcW w:w="66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CERTIFICATION OF THE CHIEF FINANCIAL OFFICER REQUIRED BY RULE</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40" w:type="dxa"/>
            <w:vAlign w:val="bottom"/>
            <w:tcBorders>
              <w:left w:val="single" w:sz="8" w:color="0000EE"/>
            </w:tcBorders>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w w:val="98"/>
              </w:rPr>
              <w:t>13a-14(a) OR RULE 15d-14(a) OF THE SECURITIES EXCHANGE ACT OF 1934,</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40" w:type="dxa"/>
            <w:vAlign w:val="bottom"/>
            <w:tcBorders>
              <w:left w:val="single" w:sz="8" w:color="0000EE"/>
            </w:tcBorders>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w w:val="97"/>
              </w:rPr>
              <w:t>AS ADOPTED PURSUANT TO SECTION 302 OF THE SARBANES-OXLEY ACT</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80" w:type="dxa"/>
            <w:vAlign w:val="bottom"/>
            <w:tcBorders>
              <w:top w:val="single" w:sz="8" w:color="0000EE"/>
            </w:tcBorders>
            <w:gridSpan w:val="26"/>
          </w:tcPr>
          <w:p>
            <w:pPr>
              <w:ind w:left="40"/>
              <w:spacing w:after="0"/>
              <w:rPr>
                <w:sz w:val="20"/>
                <w:szCs w:val="20"/>
                <w:color w:val="auto"/>
              </w:rPr>
            </w:pPr>
            <w:r>
              <w:rPr>
                <w:rFonts w:ascii="Times New Roman" w:cs="Times New Roman" w:eastAsia="Times New Roman" w:hAnsi="Times New Roman"/>
                <w:sz w:val="18"/>
                <w:szCs w:val="18"/>
                <w:color w:val="0000EE"/>
              </w:rPr>
              <w:t>OF 2002</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9"/>
              </w:rPr>
              <w:t>Ex.</w:t>
            </w:r>
          </w:p>
        </w:tc>
        <w:tc>
          <w:tcPr>
            <w:tcW w:w="240" w:type="dxa"/>
            <w:vAlign w:val="bottom"/>
          </w:tcPr>
          <w:p>
            <w:pPr>
              <w:spacing w:after="0"/>
              <w:rPr>
                <w:sz w:val="19"/>
                <w:szCs w:val="19"/>
                <w:color w:val="auto"/>
              </w:rPr>
            </w:pPr>
          </w:p>
        </w:tc>
        <w:tc>
          <w:tcPr>
            <w:tcW w:w="66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CERTIFICATION OF THE CHIEF EXECUTIVE OFFICER PURSUANT TO</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5080" w:type="dxa"/>
            <w:vAlign w:val="bottom"/>
            <w:gridSpan w:val="19"/>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7"/>
              </w:rPr>
              <w:t>SECTION 906 OF THE SARBANES-OXLEY ACT OF 2002 (18 U.S.C. SECTION</w:t>
            </w:r>
          </w:p>
        </w:tc>
        <w:tc>
          <w:tcPr>
            <w:tcW w:w="140" w:type="dxa"/>
            <w:vAlign w:val="bottom"/>
            <w:gridSpan w:val="3"/>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8"/>
          </w:tcPr>
          <w:p>
            <w:pPr>
              <w:ind w:left="780"/>
              <w:spacing w:after="0"/>
              <w:rPr>
                <w:sz w:val="20"/>
                <w:szCs w:val="20"/>
                <w:color w:val="auto"/>
              </w:rPr>
            </w:pPr>
            <w:r>
              <w:rPr>
                <w:rFonts w:ascii="Times New Roman" w:cs="Times New Roman" w:eastAsia="Times New Roman" w:hAnsi="Times New Roman"/>
                <w:sz w:val="18"/>
                <w:szCs w:val="18"/>
                <w:color w:val="0000EE"/>
                <w:w w:val="90"/>
              </w:rPr>
              <w:t>1350)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5080" w:type="dxa"/>
            <w:vAlign w:val="bottom"/>
            <w:gridSpan w:val="19"/>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9"/>
              </w:rPr>
              <w:t>Ex.</w:t>
            </w:r>
          </w:p>
        </w:tc>
        <w:tc>
          <w:tcPr>
            <w:tcW w:w="240" w:type="dxa"/>
            <w:vAlign w:val="bottom"/>
          </w:tcPr>
          <w:p>
            <w:pPr>
              <w:spacing w:after="0"/>
              <w:rPr>
                <w:sz w:val="19"/>
                <w:szCs w:val="19"/>
                <w:color w:val="auto"/>
              </w:rPr>
            </w:pPr>
          </w:p>
        </w:tc>
        <w:tc>
          <w:tcPr>
            <w:tcW w:w="66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CERTIFICATION OF THE CHIEF FINANCIAL OFFICER PURSUANT TO</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5080" w:type="dxa"/>
            <w:vAlign w:val="bottom"/>
            <w:gridSpan w:val="19"/>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7"/>
              </w:rPr>
              <w:t>SECTION 906 OF THE SARBANES-OXLEY ACT OF 2002 (18 U.S.C. SECTION</w:t>
            </w:r>
          </w:p>
        </w:tc>
        <w:tc>
          <w:tcPr>
            <w:tcW w:w="140" w:type="dxa"/>
            <w:vAlign w:val="bottom"/>
            <w:gridSpan w:val="3"/>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8"/>
          </w:tcPr>
          <w:p>
            <w:pPr>
              <w:ind w:left="780"/>
              <w:spacing w:after="0"/>
              <w:rPr>
                <w:sz w:val="20"/>
                <w:szCs w:val="20"/>
                <w:color w:val="auto"/>
              </w:rPr>
            </w:pPr>
            <w:r>
              <w:rPr>
                <w:rFonts w:ascii="Times New Roman" w:cs="Times New Roman" w:eastAsia="Times New Roman" w:hAnsi="Times New Roman"/>
                <w:sz w:val="18"/>
                <w:szCs w:val="18"/>
                <w:color w:val="0000EE"/>
                <w:w w:val="90"/>
              </w:rPr>
              <w:t>1350)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964"/>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5"/>
          </w:tcPr>
          <w:p>
            <w:pPr>
              <w:spacing w:after="0"/>
              <w:rPr>
                <w:sz w:val="24"/>
                <w:szCs w:val="24"/>
                <w:color w:val="auto"/>
              </w:rPr>
            </w:pPr>
          </w:p>
        </w:tc>
        <w:tc>
          <w:tcPr>
            <w:tcW w:w="420" w:type="dxa"/>
            <w:vAlign w:val="bottom"/>
            <w:tcBorders>
              <w:top w:val="single" w:sz="8" w:color="0000EE"/>
            </w:tcBorders>
            <w:gridSpan w:val="3"/>
          </w:tcPr>
          <w:p>
            <w:pPr>
              <w:spacing w:after="0"/>
              <w:rPr>
                <w:sz w:val="24"/>
                <w:szCs w:val="24"/>
                <w:color w:val="auto"/>
              </w:rPr>
            </w:pPr>
          </w:p>
        </w:tc>
        <w:tc>
          <w:tcPr>
            <w:tcW w:w="3260" w:type="dxa"/>
            <w:vAlign w:val="bottom"/>
            <w:gridSpan w:val="11"/>
          </w:tcPr>
          <w:p>
            <w:pPr>
              <w:jc w:val="right"/>
              <w:ind w:right="920"/>
              <w:spacing w:after="0"/>
              <w:rPr>
                <w:sz w:val="20"/>
                <w:szCs w:val="20"/>
                <w:color w:val="auto"/>
              </w:rPr>
            </w:pPr>
            <w:r>
              <w:rPr>
                <w:rFonts w:ascii="Times New Roman" w:cs="Times New Roman" w:eastAsia="Times New Roman" w:hAnsi="Times New Roman"/>
                <w:sz w:val="18"/>
                <w:szCs w:val="18"/>
                <w:color w:val="auto"/>
              </w:rPr>
              <w:t>- 1 -</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2" w:lineRule="exact"/>
        <w:rPr>
          <w:sz w:val="20"/>
          <w:szCs w:val="20"/>
          <w:color w:val="auto"/>
        </w:rPr>
      </w:pPr>
    </w:p>
    <w:p>
      <w:pPr>
        <w:ind w:right="2119" w:firstLine="648"/>
        <w:spacing w:after="0" w:line="286" w:lineRule="auto"/>
        <w:rPr>
          <w:sz w:val="20"/>
          <w:szCs w:val="20"/>
          <w:color w:val="auto"/>
        </w:rPr>
      </w:pPr>
      <w:r>
        <w:rPr>
          <w:rFonts w:ascii="Times New Roman" w:cs="Times New Roman" w:eastAsia="Times New Roman" w:hAnsi="Times New Roman"/>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April 28, 2007 in the section entitled “Item 1A. Risk Factors.”</w:t>
      </w:r>
    </w:p>
    <w:p>
      <w:pPr>
        <w:spacing w:after="0" w:line="1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219"/>
          </w:cols>
          <w:pgMar w:left="240" w:top="123" w:right="1440" w:bottom="0" w:gutter="0" w:footer="0" w:header="0"/>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1669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19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January 26,</w:t>
            </w:r>
          </w:p>
        </w:tc>
        <w:tc>
          <w:tcPr>
            <w:tcW w:w="340" w:type="dxa"/>
            <w:vAlign w:val="bottom"/>
          </w:tcPr>
          <w:p>
            <w:pPr>
              <w:spacing w:after="0"/>
              <w:rPr>
                <w:sz w:val="19"/>
                <w:szCs w:val="19"/>
                <w:color w:val="auto"/>
              </w:rPr>
            </w:pPr>
          </w:p>
        </w:tc>
        <w:tc>
          <w:tcPr>
            <w:tcW w:w="132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6"/>
              </w:rPr>
              <w:t>April 28,</w:t>
            </w:r>
          </w:p>
        </w:tc>
      </w:tr>
      <w:tr>
        <w:trPr>
          <w:trHeight w:val="230"/>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4"/>
              </w:rPr>
              <w:t>2007</w:t>
            </w:r>
          </w:p>
        </w:tc>
      </w:t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40" w:type="dxa"/>
            <w:vAlign w:val="bottom"/>
          </w:tcPr>
          <w:p>
            <w:pPr>
              <w:spacing w:after="0"/>
              <w:rPr>
                <w:sz w:val="20"/>
                <w:szCs w:val="20"/>
                <w:color w:val="auto"/>
              </w:rPr>
            </w:pPr>
          </w:p>
        </w:tc>
        <w:tc>
          <w:tcPr>
            <w:tcW w:w="132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(note 1)</w:t>
            </w:r>
          </w:p>
        </w:tc>
      </w:tr>
      <w:tr>
        <w:trPr>
          <w:trHeight w:val="439"/>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46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1"/>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3,379</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66,187</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56,692</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52,305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45,835</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24,875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22,314</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8,293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6,831</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4,108</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5,044</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7,761</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4700" w:type="dxa"/>
            <w:vAlign w:val="bottom"/>
            <w:tcBorders>
              <w:bottom w:val="single" w:sz="8" w:color="DBE5F1"/>
            </w:tcBorders>
          </w:tcPr>
          <w:p>
            <w:pPr>
              <w:ind w:left="300"/>
              <w:spacing w:after="0"/>
              <w:rPr>
                <w:sz w:val="20"/>
                <w:szCs w:val="20"/>
                <w:color w:val="auto"/>
              </w:rPr>
            </w:pPr>
            <w:r>
              <w:rPr>
                <w:rFonts w:ascii="Times New Roman" w:cs="Times New Roman" w:eastAsia="Times New Roman" w:hAnsi="Times New Roman"/>
                <w:sz w:val="18"/>
                <w:szCs w:val="18"/>
                <w:color w:val="auto"/>
              </w:rPr>
              <w:t>Rental equipment available for sale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r>
      <w:tr>
        <w:trPr>
          <w:trHeight w:val="236"/>
        </w:trPr>
        <w:tc>
          <w:tcPr>
            <w:tcW w:w="4700" w:type="dxa"/>
            <w:vAlign w:val="bottom"/>
            <w:shd w:val="clear" w:color="auto" w:fill="DBE5F1"/>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DBE5F1"/>
          </w:tcPr>
          <w:p>
            <w:pPr>
              <w:spacing w:after="0"/>
              <w:rPr>
                <w:sz w:val="20"/>
                <w:szCs w:val="20"/>
                <w:color w:val="auto"/>
              </w:rPr>
            </w:pP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167,958</w:t>
            </w:r>
          </w:p>
        </w:tc>
        <w:tc>
          <w:tcPr>
            <w:tcW w:w="200" w:type="dxa"/>
            <w:vAlign w:val="bottom"/>
            <w:shd w:val="clear" w:color="auto" w:fill="DBE5F1"/>
          </w:tcPr>
          <w:p>
            <w:pPr>
              <w:spacing w:after="0"/>
              <w:rPr>
                <w:sz w:val="20"/>
                <w:szCs w:val="20"/>
                <w:color w:val="auto"/>
              </w:rPr>
            </w:pPr>
          </w:p>
        </w:tc>
        <w:tc>
          <w:tcPr>
            <w:tcW w:w="340" w:type="dxa"/>
            <w:vAlign w:val="bottom"/>
            <w:tcBorders>
              <w:bottom w:val="single" w:sz="8" w:color="auto"/>
            </w:tcBorders>
            <w:shd w:val="clear" w:color="auto" w:fill="DBE5F1"/>
          </w:tcPr>
          <w:p>
            <w:pPr>
              <w:spacing w:after="0"/>
              <w:rPr>
                <w:sz w:val="20"/>
                <w:szCs w:val="20"/>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147,986</w:t>
            </w:r>
          </w:p>
        </w:tc>
      </w:tr>
      <w:tr>
        <w:trPr>
          <w:trHeight w:val="43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Advertising rights, net</w:t>
            </w:r>
          </w:p>
        </w:tc>
        <w:tc>
          <w:tcPr>
            <w:tcW w:w="26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3,830</w:t>
            </w:r>
          </w:p>
        </w:tc>
      </w:tr>
      <w:tr>
        <w:trPr>
          <w:trHeight w:val="231"/>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15,999</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11,211</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3,797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8,762</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4,733</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4,408</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3,391</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DBE5F1"/>
          </w:tcPr>
          <w:p>
            <w:pPr>
              <w:spacing w:after="0"/>
              <w:rPr>
                <w:sz w:val="19"/>
                <w:szCs w:val="19"/>
                <w:color w:val="auto"/>
              </w:rPr>
            </w:pP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spacing w:after="0"/>
              <w:rPr>
                <w:sz w:val="19"/>
                <w:szCs w:val="19"/>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r>
      <w:tr>
        <w:trPr>
          <w:trHeight w:val="235"/>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31,161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31,738</w:t>
            </w:r>
          </w:p>
        </w:tc>
      </w:tr>
      <w:tr>
        <w:trPr>
          <w:trHeight w:val="44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1"/>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3,275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3,275</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48,055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36,822</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44,954</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38,420</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43,872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37,520</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260" w:type="dxa"/>
            <w:vAlign w:val="bottom"/>
            <w:shd w:val="clear" w:color="auto" w:fill="DBE5F1"/>
          </w:tcPr>
          <w:p>
            <w:pPr>
              <w:spacing w:after="0"/>
              <w:rPr>
                <w:sz w:val="20"/>
                <w:szCs w:val="20"/>
                <w:color w:val="auto"/>
              </w:rPr>
            </w:pPr>
          </w:p>
        </w:tc>
        <w:tc>
          <w:tcPr>
            <w:tcW w:w="13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2,600</w:t>
            </w:r>
          </w:p>
        </w:tc>
      </w:tr>
      <w:tr>
        <w:trPr>
          <w:trHeight w:val="229"/>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Demonstration equipment</w:t>
            </w:r>
          </w:p>
        </w:tc>
        <w:tc>
          <w:tcPr>
            <w:tcW w:w="2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7,482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5,939</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60" w:type="dxa"/>
            <w:vAlign w:val="bottom"/>
            <w:tcBorders>
              <w:bottom w:val="single" w:sz="8" w:color="auto"/>
            </w:tcBorders>
            <w:shd w:val="clear" w:color="auto" w:fill="DBE5F1"/>
          </w:tcPr>
          <w:p>
            <w:pPr>
              <w:spacing w:after="0"/>
              <w:rPr>
                <w:sz w:val="19"/>
                <w:szCs w:val="19"/>
                <w:color w:val="auto"/>
              </w:rPr>
            </w:pP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6,360</w:t>
            </w:r>
          </w:p>
        </w:tc>
        <w:tc>
          <w:tcPr>
            <w:tcW w:w="200" w:type="dxa"/>
            <w:vAlign w:val="bottom"/>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spacing w:after="0"/>
              <w:rPr>
                <w:sz w:val="19"/>
                <w:szCs w:val="19"/>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6,669</w:t>
            </w:r>
          </w:p>
        </w:tc>
      </w:tr>
      <w:tr>
        <w:trPr>
          <w:trHeight w:val="236"/>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157,623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131,245</w:t>
            </w:r>
          </w:p>
        </w:tc>
      </w:tr>
      <w:tr>
        <w:trPr>
          <w:trHeight w:val="230"/>
        </w:trPr>
        <w:tc>
          <w:tcPr>
            <w:tcW w:w="47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DBE5F1"/>
          </w:tcPr>
          <w:p>
            <w:pPr>
              <w:spacing w:after="0"/>
              <w:rPr>
                <w:sz w:val="20"/>
                <w:szCs w:val="20"/>
                <w:color w:val="auto"/>
              </w:rPr>
            </w:pP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58,901</w:t>
            </w:r>
          </w:p>
        </w:tc>
        <w:tc>
          <w:tcPr>
            <w:tcW w:w="200" w:type="dxa"/>
            <w:vAlign w:val="bottom"/>
            <w:shd w:val="clear" w:color="auto" w:fill="DBE5F1"/>
          </w:tcPr>
          <w:p>
            <w:pPr>
              <w:spacing w:after="0"/>
              <w:rPr>
                <w:sz w:val="20"/>
                <w:szCs w:val="20"/>
                <w:color w:val="auto"/>
              </w:rPr>
            </w:pPr>
          </w:p>
        </w:tc>
        <w:tc>
          <w:tcPr>
            <w:tcW w:w="340" w:type="dxa"/>
            <w:vAlign w:val="bottom"/>
            <w:tcBorders>
              <w:bottom w:val="single" w:sz="8" w:color="auto"/>
            </w:tcBorders>
            <w:shd w:val="clear" w:color="auto" w:fill="DBE5F1"/>
          </w:tcPr>
          <w:p>
            <w:pPr>
              <w:spacing w:after="0"/>
              <w:rPr>
                <w:sz w:val="20"/>
                <w:szCs w:val="20"/>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45,119</w:t>
            </w:r>
          </w:p>
        </w:tc>
      </w:tr>
      <w:tr>
        <w:trPr>
          <w:trHeight w:val="236"/>
        </w:trPr>
        <w:tc>
          <w:tcPr>
            <w:tcW w:w="4700" w:type="dxa"/>
            <w:vAlign w:val="bottom"/>
            <w:tcBorders>
              <w:bottom w:val="single" w:sz="8" w:color="DBE5F1"/>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98,722</w:t>
            </w:r>
          </w:p>
        </w:tc>
        <w:tc>
          <w:tcPr>
            <w:tcW w:w="200" w:type="dxa"/>
            <w:vAlign w:val="bottom"/>
            <w:tcBorders>
              <w:bottom w:val="single" w:sz="8" w:color="DBE5F1"/>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86,126</w:t>
            </w:r>
          </w:p>
        </w:tc>
      </w:tr>
      <w:tr>
        <w:trPr>
          <w:trHeight w:val="211"/>
        </w:trPr>
        <w:tc>
          <w:tcPr>
            <w:tcW w:w="47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297,841</w:t>
            </w:r>
          </w:p>
        </w:tc>
        <w:tc>
          <w:tcPr>
            <w:tcW w:w="200" w:type="dxa"/>
            <w:vAlign w:val="bottom"/>
            <w:tcBorders>
              <w:bottom w:val="single" w:sz="8" w:color="DBE5F1"/>
            </w:tcBorders>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265,850</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color w:val="auto"/>
        </w:rPr>
        <w:t>(continued)</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January 26,</w:t>
            </w:r>
          </w:p>
        </w:tc>
        <w:tc>
          <w:tcPr>
            <w:tcW w:w="260" w:type="dxa"/>
            <w:vAlign w:val="bottom"/>
          </w:tcPr>
          <w:p>
            <w:pPr>
              <w:spacing w:after="0"/>
              <w:rPr>
                <w:sz w:val="19"/>
                <w:szCs w:val="19"/>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April 28,</w:t>
            </w:r>
          </w:p>
        </w:tc>
      </w:tr>
      <w:tr>
        <w:trPr>
          <w:trHeight w:val="230"/>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2007</w:t>
            </w:r>
          </w:p>
        </w:tc>
      </w:tr>
      <w:tr>
        <w:trPr>
          <w:trHeight w:val="230"/>
        </w:trPr>
        <w:tc>
          <w:tcPr>
            <w:tcW w:w="540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60" w:type="dxa"/>
            <w:vAlign w:val="bottom"/>
          </w:tcPr>
          <w:p>
            <w:pPr>
              <w:spacing w:after="0"/>
              <w:rPr>
                <w:sz w:val="20"/>
                <w:szCs w:val="20"/>
                <w:color w:val="auto"/>
              </w:rPr>
            </w:pP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5"/>
              </w:rPr>
              <w:t>(note 1)</w:t>
            </w:r>
          </w:p>
        </w:tc>
      </w:tr>
      <w:tr>
        <w:trPr>
          <w:trHeight w:val="4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46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1"/>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Notes payable, bank</w:t>
            </w:r>
          </w:p>
        </w:tc>
        <w:tc>
          <w:tcPr>
            <w:tcW w:w="34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13,414</w:t>
            </w:r>
          </w:p>
        </w:tc>
        <w:tc>
          <w:tcPr>
            <w:tcW w:w="240" w:type="dxa"/>
            <w:vAlign w:val="bottom"/>
            <w:shd w:val="clear" w:color="auto" w:fill="DBE5F1"/>
          </w:tcPr>
          <w:p>
            <w:pPr>
              <w:spacing w:after="0"/>
              <w:rPr>
                <w:sz w:val="20"/>
                <w:szCs w:val="20"/>
                <w:color w:val="auto"/>
              </w:rPr>
            </w:pP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24,615</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26,094</w:t>
            </w:r>
          </w:p>
        </w:tc>
      </w:tr>
      <w:tr>
        <w:trPr>
          <w:trHeight w:val="125"/>
        </w:trPr>
        <w:tc>
          <w:tcPr>
            <w:tcW w:w="5400" w:type="dxa"/>
            <w:vAlign w:val="bottom"/>
            <w:shd w:val="clear" w:color="auto" w:fill="DBE5F1"/>
          </w:tcPr>
          <w:p>
            <w:pPr>
              <w:spacing w:after="0"/>
              <w:rPr>
                <w:sz w:val="10"/>
                <w:szCs w:val="10"/>
                <w:color w:val="auto"/>
              </w:rPr>
            </w:pPr>
          </w:p>
        </w:tc>
        <w:tc>
          <w:tcPr>
            <w:tcW w:w="340" w:type="dxa"/>
            <w:vAlign w:val="bottom"/>
            <w:shd w:val="clear" w:color="auto" w:fill="DBE5F1"/>
          </w:tcPr>
          <w:p>
            <w:pPr>
              <w:spacing w:after="0"/>
              <w:rPr>
                <w:sz w:val="10"/>
                <w:szCs w:val="10"/>
                <w:color w:val="auto"/>
              </w:rPr>
            </w:pPr>
          </w:p>
        </w:tc>
        <w:tc>
          <w:tcPr>
            <w:tcW w:w="90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260" w:type="dxa"/>
            <w:vAlign w:val="bottom"/>
            <w:shd w:val="clear" w:color="auto" w:fill="DBE5F1"/>
          </w:tcPr>
          <w:p>
            <w:pPr>
              <w:spacing w:after="0"/>
              <w:rPr>
                <w:sz w:val="10"/>
                <w:szCs w:val="10"/>
                <w:color w:val="auto"/>
              </w:rPr>
            </w:pPr>
          </w:p>
        </w:tc>
        <w:tc>
          <w:tcPr>
            <w:tcW w:w="980" w:type="dxa"/>
            <w:vAlign w:val="bottom"/>
            <w:shd w:val="clear" w:color="auto" w:fill="DBE5F1"/>
          </w:tcPr>
          <w:p>
            <w:pPr>
              <w:spacing w:after="0"/>
              <w:rPr>
                <w:sz w:val="10"/>
                <w:szCs w:val="10"/>
                <w:color w:val="auto"/>
              </w:rPr>
            </w:pPr>
          </w:p>
        </w:tc>
      </w:tr>
    </w:tbl>
    <w:p>
      <w:pPr>
        <w:sectPr>
          <w:pgSz w:w="11900" w:h="16900" w:orient="portrait"/>
          <w:cols w:equalWidth="0" w:num="1">
            <w:col w:w="10219"/>
          </w:cols>
          <w:pgMar w:left="240" w:top="501"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Accrued expenses and warranty obligations</w:t>
            </w:r>
          </w:p>
        </w:tc>
        <w:tc>
          <w:tcPr>
            <w:tcW w:w="4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27,282</w:t>
            </w:r>
          </w:p>
        </w:tc>
        <w:tc>
          <w:tcPr>
            <w:tcW w:w="240" w:type="dxa"/>
            <w:vAlign w:val="bottom"/>
            <w:shd w:val="clear" w:color="auto" w:fill="DBE5F1"/>
          </w:tcPr>
          <w:p>
            <w:pPr>
              <w:spacing w:after="0"/>
              <w:rPr>
                <w:sz w:val="18"/>
                <w:szCs w:val="18"/>
                <w:color w:val="auto"/>
              </w:rPr>
            </w:pPr>
          </w:p>
        </w:tc>
        <w:tc>
          <w:tcPr>
            <w:tcW w:w="4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21,849</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 and marketing obligations</w:t>
            </w: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21,476</w:t>
            </w:r>
          </w:p>
        </w:tc>
        <w:tc>
          <w:tcPr>
            <w:tcW w:w="24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18,293</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10,675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5,857</w:t>
            </w:r>
          </w:p>
        </w:tc>
      </w:tr>
      <w:tr>
        <w:trPr>
          <w:trHeight w:val="230"/>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7,269</w:t>
            </w:r>
          </w:p>
        </w:tc>
        <w:tc>
          <w:tcPr>
            <w:tcW w:w="24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5,333</w:t>
            </w:r>
          </w:p>
        </w:tc>
      </w:tr>
      <w:tr>
        <w:trPr>
          <w:trHeight w:val="229"/>
        </w:trPr>
        <w:tc>
          <w:tcPr>
            <w:tcW w:w="5400" w:type="dxa"/>
            <w:vAlign w:val="bottom"/>
            <w:tcBorders>
              <w:bottom w:val="single" w:sz="8" w:color="DBE5F1"/>
            </w:tcBorders>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Borders>
              <w:bottom w:val="single" w:sz="8" w:color="DBE5F1"/>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540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114,913</w:t>
            </w:r>
          </w:p>
        </w:tc>
        <w:tc>
          <w:tcPr>
            <w:tcW w:w="240" w:type="dxa"/>
            <w:vAlign w:val="bottom"/>
            <w:shd w:val="clear" w:color="auto" w:fill="DBE5F1"/>
          </w:tcPr>
          <w:p>
            <w:pPr>
              <w:spacing w:after="0"/>
              <w:rPr>
                <w:sz w:val="20"/>
                <w:szCs w:val="20"/>
                <w:color w:val="auto"/>
              </w:rPr>
            </w:pP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103,082</w:t>
            </w:r>
          </w:p>
        </w:tc>
      </w:tr>
      <w:tr>
        <w:trPr>
          <w:trHeight w:val="4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4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592</w:t>
            </w:r>
          </w:p>
        </w:tc>
      </w:tr>
      <w:tr>
        <w:trPr>
          <w:trHeight w:val="231"/>
        </w:trPr>
        <w:tc>
          <w:tcPr>
            <w:tcW w:w="54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Long-term marketing obligations, less current maturities</w:t>
            </w: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warranty obligations and other payables</w:t>
            </w: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5,366</w:t>
            </w:r>
          </w:p>
        </w:tc>
      </w:tr>
      <w:tr>
        <w:trPr>
          <w:trHeight w:val="230"/>
        </w:trPr>
        <w:tc>
          <w:tcPr>
            <w:tcW w:w="54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shd w:val="clear" w:color="auto" w:fill="DBE5F1"/>
          </w:tcPr>
          <w:p>
            <w:pPr>
              <w:spacing w:after="0"/>
              <w:rPr>
                <w:sz w:val="19"/>
                <w:szCs w:val="19"/>
                <w:color w:val="auto"/>
              </w:rPr>
            </w:pPr>
          </w:p>
        </w:tc>
        <w:tc>
          <w:tcPr>
            <w:tcW w:w="4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2,629</w:t>
            </w:r>
          </w:p>
        </w:tc>
      </w:tr>
      <w:tr>
        <w:trPr>
          <w:trHeight w:val="236"/>
        </w:trPr>
        <w:tc>
          <w:tcPr>
            <w:tcW w:w="5400" w:type="dxa"/>
            <w:vAlign w:val="bottom"/>
            <w:tcBorders>
              <w:bottom w:val="single" w:sz="8" w:color="DBE5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6,562</w:t>
            </w:r>
          </w:p>
        </w:tc>
        <w:tc>
          <w:tcPr>
            <w:tcW w:w="240" w:type="dxa"/>
            <w:vAlign w:val="bottom"/>
            <w:tcBorders>
              <w:bottom w:val="single" w:sz="8" w:color="DBE5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9,060</w:t>
            </w:r>
          </w:p>
        </w:tc>
      </w:tr>
      <w:tr>
        <w:trPr>
          <w:trHeight w:val="238"/>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121,475</w:t>
            </w:r>
          </w:p>
        </w:tc>
        <w:tc>
          <w:tcPr>
            <w:tcW w:w="240" w:type="dxa"/>
            <w:vAlign w:val="bottom"/>
            <w:shd w:val="clear" w:color="auto" w:fill="DBE5F1"/>
          </w:tcPr>
          <w:p>
            <w:pPr>
              <w:spacing w:after="0"/>
              <w:rPr>
                <w:sz w:val="20"/>
                <w:szCs w:val="20"/>
                <w:color w:val="auto"/>
              </w:rPr>
            </w:pP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112,142</w:t>
            </w:r>
          </w:p>
        </w:tc>
      </w:tr>
      <w:tr>
        <w:trPr>
          <w:trHeight w:val="667"/>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no par value, authorized</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120,000,000 shares; 40,170,788 and 39,548,938 shares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5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issued at January 26, 2008 and April 28, 2007, respectively</w:t>
            </w: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24,942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21,954</w:t>
            </w:r>
          </w:p>
        </w:tc>
      </w:tr>
      <w:tr>
        <w:trPr>
          <w:trHeight w:val="231"/>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9,637</w:t>
            </w:r>
          </w:p>
        </w:tc>
        <w:tc>
          <w:tcPr>
            <w:tcW w:w="24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7,431</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142,202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124,469</w:t>
            </w:r>
          </w:p>
        </w:tc>
      </w:tr>
      <w:tr>
        <w:trPr>
          <w:trHeight w:val="230"/>
        </w:trPr>
        <w:tc>
          <w:tcPr>
            <w:tcW w:w="54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Treasury stock, at cost, 19,680 shares</w:t>
            </w: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400" w:type="dxa"/>
            <w:vAlign w:val="bottom"/>
            <w:tcBorders>
              <w:bottom w:val="single" w:sz="8" w:color="DBE5F1"/>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Borders>
              <w:bottom w:val="single" w:sz="8" w:color="DBE5F1"/>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54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176,366</w:t>
            </w:r>
          </w:p>
        </w:tc>
        <w:tc>
          <w:tcPr>
            <w:tcW w:w="240" w:type="dxa"/>
            <w:vAlign w:val="bottom"/>
            <w:shd w:val="clear" w:color="auto" w:fill="DBE5F1"/>
          </w:tcPr>
          <w:p>
            <w:pPr>
              <w:spacing w:after="0"/>
              <w:rPr>
                <w:sz w:val="20"/>
                <w:szCs w:val="20"/>
                <w:color w:val="auto"/>
              </w:rPr>
            </w:pPr>
          </w:p>
        </w:tc>
        <w:tc>
          <w:tcPr>
            <w:tcW w:w="4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153,708</w:t>
            </w:r>
          </w:p>
        </w:tc>
      </w:tr>
      <w:tr>
        <w:trPr>
          <w:trHeight w:val="21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297,841</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265,850</w:t>
            </w: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220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3"/>
        </w:trPr>
        <w:tc>
          <w:tcPr>
            <w:tcW w:w="2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40" w:type="dxa"/>
            <w:vAlign w:val="bottom"/>
          </w:tcPr>
          <w:p>
            <w:pPr>
              <w:spacing w:after="0"/>
              <w:rPr>
                <w:sz w:val="18"/>
                <w:szCs w:val="18"/>
                <w:color w:val="auto"/>
              </w:rPr>
            </w:pPr>
          </w:p>
        </w:tc>
        <w:tc>
          <w:tcPr>
            <w:tcW w:w="13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4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January 27,</w:t>
            </w:r>
          </w:p>
        </w:tc>
      </w:tr>
      <w:tr>
        <w:trPr>
          <w:trHeight w:val="231"/>
        </w:trPr>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11"/>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94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118,201</w:t>
            </w:r>
          </w:p>
        </w:tc>
        <w:tc>
          <w:tcPr>
            <w:tcW w:w="220" w:type="dxa"/>
            <w:vAlign w:val="bottom"/>
            <w:shd w:val="clear" w:color="auto" w:fill="DBE5F1"/>
          </w:tcPr>
          <w:p>
            <w:pPr>
              <w:spacing w:after="0"/>
              <w:rPr>
                <w:sz w:val="19"/>
                <w:szCs w:val="19"/>
                <w:color w:val="auto"/>
              </w:rPr>
            </w:pPr>
          </w:p>
        </w:tc>
        <w:tc>
          <w:tcPr>
            <w:tcW w:w="28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106,731</w:t>
            </w:r>
          </w:p>
        </w:tc>
        <w:tc>
          <w:tcPr>
            <w:tcW w:w="240" w:type="dxa"/>
            <w:vAlign w:val="bottom"/>
            <w:shd w:val="clear" w:color="auto" w:fill="DBE5F1"/>
          </w:tcPr>
          <w:p>
            <w:pPr>
              <w:spacing w:after="0"/>
              <w:rPr>
                <w:sz w:val="19"/>
                <w:szCs w:val="19"/>
                <w:color w:val="auto"/>
              </w:rPr>
            </w:pP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370,560</w:t>
            </w:r>
          </w:p>
        </w:tc>
        <w:tc>
          <w:tcPr>
            <w:tcW w:w="240" w:type="dxa"/>
            <w:vAlign w:val="bottom"/>
            <w:shd w:val="clear" w:color="auto" w:fill="DBE5F1"/>
          </w:tcPr>
          <w:p>
            <w:pPr>
              <w:spacing w:after="0"/>
              <w:rPr>
                <w:sz w:val="19"/>
                <w:szCs w:val="19"/>
                <w:color w:val="auto"/>
              </w:rPr>
            </w:pPr>
          </w:p>
        </w:tc>
        <w:tc>
          <w:tcPr>
            <w:tcW w:w="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322,414</w:t>
            </w:r>
          </w:p>
        </w:tc>
      </w:tr>
      <w:tr>
        <w:trPr>
          <w:trHeight w:val="229"/>
        </w:trPr>
        <w:tc>
          <w:tcPr>
            <w:tcW w:w="294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83,019</w:t>
            </w:r>
          </w:p>
        </w:tc>
        <w:tc>
          <w:tcPr>
            <w:tcW w:w="2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74,375</w:t>
            </w:r>
          </w:p>
        </w:tc>
        <w:tc>
          <w:tcPr>
            <w:tcW w:w="24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259,299</w:t>
            </w:r>
          </w:p>
        </w:tc>
        <w:tc>
          <w:tcPr>
            <w:tcW w:w="24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228,196</w:t>
            </w:r>
          </w:p>
        </w:tc>
      </w:tr>
      <w:tr>
        <w:trPr>
          <w:trHeight w:val="237"/>
        </w:trPr>
        <w:tc>
          <w:tcPr>
            <w:tcW w:w="2940" w:type="dxa"/>
            <w:vAlign w:val="bottom"/>
            <w:shd w:val="clear" w:color="auto" w:fill="DBE5F1"/>
          </w:tcPr>
          <w:p>
            <w:pPr>
              <w:ind w:left="7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DBE5F1"/>
          </w:tcPr>
          <w:p>
            <w:pPr>
              <w:spacing w:after="0"/>
              <w:rPr>
                <w:sz w:val="20"/>
                <w:szCs w:val="20"/>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35,182</w:t>
            </w:r>
          </w:p>
        </w:tc>
        <w:tc>
          <w:tcPr>
            <w:tcW w:w="22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32,356</w:t>
            </w:r>
          </w:p>
        </w:tc>
        <w:tc>
          <w:tcPr>
            <w:tcW w:w="24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111,261</w:t>
            </w:r>
          </w:p>
        </w:tc>
        <w:tc>
          <w:tcPr>
            <w:tcW w:w="24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94,218</w:t>
            </w:r>
          </w:p>
        </w:tc>
      </w:tr>
      <w:tr>
        <w:trPr>
          <w:trHeight w:val="437"/>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1"/>
        </w:trPr>
        <w:tc>
          <w:tcPr>
            <w:tcW w:w="2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16,379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13,692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38,666</w:t>
            </w:r>
          </w:p>
        </w:tc>
      </w:tr>
      <w:tr>
        <w:trPr>
          <w:trHeight w:val="231"/>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DBE5F1"/>
          </w:tcPr>
          <w:p>
            <w:pPr>
              <w:spacing w:after="0"/>
              <w:rPr>
                <w:sz w:val="20"/>
                <w:szCs w:val="20"/>
                <w:color w:val="auto"/>
              </w:rPr>
            </w:pP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6,868</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5,231</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24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13,587</w:t>
            </w:r>
          </w:p>
        </w:tc>
      </w:tr>
      <w:tr>
        <w:trPr>
          <w:trHeight w:val="229"/>
        </w:trPr>
        <w:tc>
          <w:tcPr>
            <w:tcW w:w="2940" w:type="dxa"/>
            <w:vAlign w:val="bottom"/>
            <w:tcBorders>
              <w:bottom w:val="single" w:sz="8" w:color="DBE5F1"/>
            </w:tcBorders>
          </w:tcPr>
          <w:p>
            <w:pPr>
              <w:ind w:left="4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4,943</w:t>
            </w:r>
          </w:p>
        </w:tc>
        <w:tc>
          <w:tcPr>
            <w:tcW w:w="2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24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11,166</w:t>
            </w:r>
          </w:p>
        </w:tc>
      </w:tr>
      <w:tr>
        <w:trPr>
          <w:trHeight w:val="237"/>
        </w:trPr>
        <w:tc>
          <w:tcPr>
            <w:tcW w:w="294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28,190</w:t>
            </w:r>
          </w:p>
        </w:tc>
        <w:tc>
          <w:tcPr>
            <w:tcW w:w="22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22,534</w:t>
            </w:r>
          </w:p>
        </w:tc>
        <w:tc>
          <w:tcPr>
            <w:tcW w:w="24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80,654</w:t>
            </w:r>
          </w:p>
        </w:tc>
        <w:tc>
          <w:tcPr>
            <w:tcW w:w="24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63,419</w:t>
            </w:r>
          </w:p>
        </w:tc>
      </w:tr>
      <w:tr>
        <w:trPr>
          <w:trHeight w:val="235"/>
        </w:trPr>
        <w:tc>
          <w:tcPr>
            <w:tcW w:w="29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9,822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30,799</w:t>
            </w:r>
          </w:p>
        </w:tc>
      </w:tr>
      <w:tr>
        <w:trPr>
          <w:trHeight w:val="44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1"/>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DBE5F1"/>
          </w:tcPr>
          <w:p>
            <w:pPr>
              <w:spacing w:after="0"/>
              <w:rPr>
                <w:sz w:val="20"/>
                <w:szCs w:val="20"/>
                <w:color w:val="auto"/>
              </w:rPr>
            </w:pP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2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r>
      <w:tr>
        <w:trPr>
          <w:trHeight w:val="244"/>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DBE5F1"/>
          </w:tcPr>
          <w:p>
            <w:pPr>
              <w:spacing w:after="0"/>
              <w:rPr>
                <w:sz w:val="21"/>
                <w:szCs w:val="21"/>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spacing w:after="0"/>
              <w:rPr>
                <w:sz w:val="21"/>
                <w:szCs w:val="21"/>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spacing w:after="0"/>
              <w:rPr>
                <w:sz w:val="21"/>
                <w:szCs w:val="21"/>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(604)</w:t>
            </w:r>
          </w:p>
        </w:tc>
      </w:tr>
      <w:tr>
        <w:trPr>
          <w:trHeight w:val="438"/>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31,341</w:t>
            </w:r>
          </w:p>
        </w:tc>
      </w:tr>
      <w:tr>
        <w:trPr>
          <w:trHeight w:val="231"/>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DBE5F1"/>
          </w:tcPr>
          <w:p>
            <w:pPr>
              <w:spacing w:after="0"/>
              <w:rPr>
                <w:sz w:val="20"/>
                <w:szCs w:val="20"/>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3,557</w:t>
            </w:r>
          </w:p>
        </w:tc>
        <w:tc>
          <w:tcPr>
            <w:tcW w:w="22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24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10,435</w:t>
            </w:r>
          </w:p>
        </w:tc>
      </w:tr>
      <w:tr>
        <w:trPr>
          <w:trHeight w:val="21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7,027</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20,906</w:t>
            </w:r>
          </w:p>
        </w:tc>
      </w:tr>
      <w:tr>
        <w:trPr>
          <w:trHeight w:val="20"/>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74310" cy="104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104775"/>
                    </a:xfrm>
                    <a:prstGeom prst="rect">
                      <a:avLst/>
                    </a:prstGeom>
                    <a:noFill/>
                  </pic:spPr>
                </pic:pic>
              </a:graphicData>
            </a:graphic>
          </wp:anchor>
        </w:drawing>
      </w:r>
    </w:p>
    <w:p>
      <w:pPr>
        <w:sectPr>
          <w:pgSz w:w="11900" w:h="16838" w:orient="portrait"/>
          <w:cols w:equalWidth="0" w:num="1">
            <w:col w:w="10219"/>
          </w:cols>
          <w:pgMar w:left="240" w:top="14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39,936</w:t>
            </w:r>
          </w:p>
        </w:tc>
        <w:tc>
          <w:tcPr>
            <w:tcW w:w="220" w:type="dxa"/>
            <w:vAlign w:val="bottom"/>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spacing w:after="0"/>
              <w:rPr>
                <w:sz w:val="21"/>
                <w:szCs w:val="21"/>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39,290</w:t>
            </w:r>
          </w:p>
        </w:tc>
        <w:tc>
          <w:tcPr>
            <w:tcW w:w="240" w:type="dxa"/>
            <w:vAlign w:val="bottom"/>
            <w:shd w:val="clear" w:color="auto" w:fill="DBE5F1"/>
          </w:tcPr>
          <w:p>
            <w:pPr>
              <w:spacing w:after="0"/>
              <w:rPr>
                <w:sz w:val="21"/>
                <w:szCs w:val="21"/>
                <w:color w:val="auto"/>
              </w:rPr>
            </w:pPr>
          </w:p>
        </w:tc>
        <w:tc>
          <w:tcPr>
            <w:tcW w:w="380" w:type="dxa"/>
            <w:vAlign w:val="bottom"/>
            <w:tcBorders>
              <w:bottom w:val="single" w:sz="8" w:color="auto"/>
            </w:tcBorders>
            <w:shd w:val="clear" w:color="auto" w:fill="DBE5F1"/>
          </w:tcPr>
          <w:p>
            <w:pPr>
              <w:spacing w:after="0"/>
              <w:rPr>
                <w:sz w:val="21"/>
                <w:szCs w:val="21"/>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240" w:type="dxa"/>
            <w:vAlign w:val="bottom"/>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spacing w:after="0"/>
              <w:rPr>
                <w:sz w:val="21"/>
                <w:szCs w:val="21"/>
                <w:color w:val="auto"/>
              </w:rPr>
            </w:pP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39,148</w:t>
            </w:r>
          </w:p>
        </w:tc>
        <w:tc>
          <w:tcPr>
            <w:tcW w:w="0" w:type="dxa"/>
            <w:vAlign w:val="bottom"/>
          </w:tcPr>
          <w:p>
            <w:pPr>
              <w:spacing w:after="0"/>
              <w:rPr>
                <w:sz w:val="1"/>
                <w:szCs w:val="1"/>
                <w:color w:val="auto"/>
              </w:rPr>
            </w:pPr>
          </w:p>
        </w:tc>
      </w:tr>
      <w:tr>
        <w:trPr>
          <w:trHeight w:val="237"/>
        </w:trPr>
        <w:tc>
          <w:tcPr>
            <w:tcW w:w="2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41,266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41,479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41,304</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9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DBE5F1"/>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DBE5F1"/>
          </w:tcPr>
          <w:p>
            <w:pPr>
              <w:spacing w:after="0"/>
              <w:rPr>
                <w:sz w:val="20"/>
                <w:szCs w:val="20"/>
                <w:color w:val="auto"/>
              </w:rPr>
            </w:pPr>
          </w:p>
        </w:tc>
        <w:tc>
          <w:tcPr>
            <w:tcW w:w="38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DBE5F1"/>
          </w:tcPr>
          <w:p>
            <w:pPr>
              <w:spacing w:after="0"/>
              <w:rPr>
                <w:sz w:val="20"/>
                <w:szCs w:val="20"/>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0"/>
        </w:trPr>
        <w:tc>
          <w:tcPr>
            <w:tcW w:w="2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Cash dividend paid per share</w:t>
            </w:r>
          </w:p>
        </w:tc>
        <w:tc>
          <w:tcPr>
            <w:tcW w:w="440" w:type="dxa"/>
            <w:vAlign w:val="bottom"/>
            <w:tcBorders>
              <w:bottom w:val="single" w:sz="8" w:color="auto"/>
            </w:tcBorders>
            <w:shd w:val="clear" w:color="auto" w:fill="DBE5F1"/>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BE5F1"/>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auto"/>
            </w:tcBorders>
            <w:shd w:val="clear" w:color="auto" w:fill="DBE5F1"/>
          </w:tcPr>
          <w:p>
            <w:pPr>
              <w:spacing w:after="0"/>
              <w:rPr>
                <w:sz w:val="21"/>
                <w:szCs w:val="21"/>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January 26,</w:t>
            </w:r>
          </w:p>
        </w:tc>
        <w:tc>
          <w:tcPr>
            <w:tcW w:w="260" w:type="dxa"/>
            <w:vAlign w:val="bottom"/>
          </w:tcPr>
          <w:p>
            <w:pPr>
              <w:spacing w:after="0"/>
              <w:rPr>
                <w:sz w:val="16"/>
                <w:szCs w:val="16"/>
                <w:color w:val="auto"/>
              </w:rPr>
            </w:pPr>
          </w:p>
        </w:tc>
        <w:tc>
          <w:tcPr>
            <w:tcW w:w="1320" w:type="dxa"/>
            <w:vAlign w:val="bottom"/>
          </w:tcPr>
          <w:p>
            <w:pPr>
              <w:jc w:val="right"/>
              <w:ind w:right="272"/>
              <w:spacing w:after="0" w:line="195"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1"/>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20,504</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20,906</w:t>
            </w:r>
          </w:p>
        </w:tc>
        <w:tc>
          <w:tcPr>
            <w:tcW w:w="0" w:type="dxa"/>
            <w:vAlign w:val="bottom"/>
          </w:tcPr>
          <w:p>
            <w:pPr>
              <w:spacing w:after="0"/>
              <w:rPr>
                <w:sz w:val="1"/>
                <w:szCs w:val="1"/>
                <w:color w:val="auto"/>
              </w:rPr>
            </w:pPr>
          </w:p>
        </w:tc>
      </w:tr>
      <w:tr>
        <w:trPr>
          <w:trHeight w:val="202"/>
        </w:trPr>
        <w:tc>
          <w:tcPr>
            <w:tcW w:w="5540" w:type="dxa"/>
            <w:vAlign w:val="bottom"/>
          </w:tcPr>
          <w:p>
            <w:pPr>
              <w:ind w:left="46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15,389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7"/>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Gain on sale of equity investments</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(2,878)</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Equity in earnings and losses of affiliates</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DBE5F1"/>
            </w:tcBorders>
          </w:tcPr>
          <w:p>
            <w:pPr>
              <w:ind w:left="8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(1,535)</w:t>
            </w:r>
          </w:p>
        </w:tc>
        <w:tc>
          <w:tcPr>
            <w:tcW w:w="200" w:type="dxa"/>
            <w:vAlign w:val="bottom"/>
            <w:tcBorders>
              <w:bottom w:val="single" w:sz="8" w:color="DBE5F1"/>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(22,105)</w:t>
            </w:r>
          </w:p>
        </w:tc>
        <w:tc>
          <w:tcPr>
            <w:tcW w:w="0" w:type="dxa"/>
            <w:vAlign w:val="bottom"/>
          </w:tcPr>
          <w:p>
            <w:pPr>
              <w:spacing w:after="0"/>
              <w:rPr>
                <w:sz w:val="1"/>
                <w:szCs w:val="1"/>
                <w:color w:val="auto"/>
              </w:rPr>
            </w:pPr>
          </w:p>
        </w:tc>
      </w:tr>
      <w:tr>
        <w:trPr>
          <w:trHeight w:val="237"/>
        </w:trPr>
        <w:tc>
          <w:tcPr>
            <w:tcW w:w="5540" w:type="dxa"/>
            <w:vAlign w:val="bottom"/>
            <w:shd w:val="clear" w:color="auto" w:fill="DBE5F1"/>
          </w:tcPr>
          <w:p>
            <w:pPr>
              <w:ind w:left="11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shd w:val="clear" w:color="auto" w:fill="DBE5F1"/>
          </w:tcPr>
          <w:p>
            <w:pPr>
              <w:spacing w:after="0"/>
              <w:rPr>
                <w:sz w:val="20"/>
                <w:szCs w:val="20"/>
                <w:color w:val="auto"/>
              </w:rPr>
            </w:pP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35,435</w:t>
            </w:r>
          </w:p>
        </w:tc>
        <w:tc>
          <w:tcPr>
            <w:tcW w:w="20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371"/>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(46,576)</w:t>
            </w:r>
          </w:p>
        </w:tc>
        <w:tc>
          <w:tcPr>
            <w:tcW w:w="0" w:type="dxa"/>
            <w:vAlign w:val="bottom"/>
          </w:tcPr>
          <w:p>
            <w:pPr>
              <w:spacing w:after="0"/>
              <w:rPr>
                <w:sz w:val="1"/>
                <w:szCs w:val="1"/>
                <w:color w:val="auto"/>
              </w:rPr>
            </w:pPr>
          </w:p>
        </w:tc>
      </w:tr>
      <w:tr>
        <w:trPr>
          <w:trHeight w:val="217"/>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Cash consideration paid for investment in affiliates</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Proceeds from sale of equity investments</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Sales (purchases) of marketable securities, net</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DBE5F1"/>
            </w:tcBorders>
          </w:tcPr>
          <w:p>
            <w:pPr>
              <w:ind w:left="8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Borders>
              <w:bottom w:val="single" w:sz="8" w:color="DBE5F1"/>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5540" w:type="dxa"/>
            <w:vAlign w:val="bottom"/>
            <w:shd w:val="clear" w:color="auto" w:fill="DBE5F1"/>
          </w:tcPr>
          <w:p>
            <w:pPr>
              <w:ind w:left="11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shd w:val="clear" w:color="auto" w:fill="DBE5F1"/>
          </w:tcPr>
          <w:p>
            <w:pPr>
              <w:spacing w:after="0"/>
              <w:rPr>
                <w:sz w:val="20"/>
                <w:szCs w:val="20"/>
                <w:color w:val="auto"/>
              </w:rPr>
            </w:pP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(21,697)</w:t>
            </w:r>
          </w:p>
        </w:tc>
        <w:tc>
          <w:tcPr>
            <w:tcW w:w="20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(52,004)</w:t>
            </w:r>
          </w:p>
        </w:tc>
        <w:tc>
          <w:tcPr>
            <w:tcW w:w="0" w:type="dxa"/>
            <w:vAlign w:val="bottom"/>
          </w:tcPr>
          <w:p>
            <w:pPr>
              <w:spacing w:after="0"/>
              <w:rPr>
                <w:sz w:val="1"/>
                <w:szCs w:val="1"/>
                <w:color w:val="auto"/>
              </w:rPr>
            </w:pPr>
          </w:p>
        </w:tc>
      </w:tr>
      <w:tr>
        <w:trPr>
          <w:trHeight w:val="371"/>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2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104,108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35,387</w:t>
            </w:r>
          </w:p>
        </w:tc>
        <w:tc>
          <w:tcPr>
            <w:tcW w:w="0" w:type="dxa"/>
            <w:vAlign w:val="bottom"/>
          </w:tcPr>
          <w:p>
            <w:pPr>
              <w:spacing w:after="0"/>
              <w:rPr>
                <w:sz w:val="1"/>
                <w:szCs w:val="1"/>
                <w:color w:val="auto"/>
              </w:rPr>
            </w:pPr>
          </w:p>
        </w:tc>
      </w:tr>
      <w:tr>
        <w:trPr>
          <w:trHeight w:val="217"/>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(115,308)</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(16,170)</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20" w:type="dxa"/>
            <w:vAlign w:val="bottom"/>
            <w:shd w:val="clear" w:color="auto" w:fill="DBE5F1"/>
          </w:tcPr>
          <w:p>
            <w:pPr>
              <w:spacing w:after="0"/>
              <w:rPr>
                <w:sz w:val="18"/>
                <w:szCs w:val="18"/>
                <w:color w:val="auto"/>
              </w:rPr>
            </w:pP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Dividend paid</w:t>
            </w:r>
          </w:p>
        </w:tc>
        <w:tc>
          <w:tcPr>
            <w:tcW w:w="220" w:type="dxa"/>
            <w:vAlign w:val="bottom"/>
            <w:tcBorders>
              <w:bottom w:val="single" w:sz="8" w:color="auto"/>
            </w:tcBorders>
            <w:shd w:val="clear" w:color="auto" w:fill="DBE5F1"/>
          </w:tcPr>
          <w:p>
            <w:pPr>
              <w:spacing w:after="0"/>
              <w:rPr>
                <w:sz w:val="18"/>
                <w:szCs w:val="18"/>
                <w:color w:val="auto"/>
              </w:rPr>
            </w:pP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spacing w:after="0"/>
              <w:rPr>
                <w:sz w:val="18"/>
                <w:szCs w:val="18"/>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6"/>
        </w:trPr>
        <w:tc>
          <w:tcPr>
            <w:tcW w:w="55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(12,545)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18,818</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shd w:val="clear" w:color="auto" w:fill="DBE5F1"/>
          </w:tcPr>
          <w:p>
            <w:pPr>
              <w:spacing w:after="0"/>
              <w:rPr>
                <w:sz w:val="19"/>
                <w:szCs w:val="19"/>
                <w:color w:val="auto"/>
              </w:rPr>
            </w:pP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65"/>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(23,430)</w:t>
            </w:r>
          </w:p>
        </w:tc>
        <w:tc>
          <w:tcPr>
            <w:tcW w:w="0" w:type="dxa"/>
            <w:vAlign w:val="bottom"/>
          </w:tcPr>
          <w:p>
            <w:pPr>
              <w:spacing w:after="0"/>
              <w:rPr>
                <w:sz w:val="1"/>
                <w:szCs w:val="1"/>
                <w:color w:val="auto"/>
              </w:rPr>
            </w:pPr>
          </w:p>
        </w:tc>
      </w:tr>
      <w:tr>
        <w:trPr>
          <w:trHeight w:val="454"/>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Beginning</w:t>
            </w:r>
          </w:p>
        </w:tc>
        <w:tc>
          <w:tcPr>
            <w:tcW w:w="220" w:type="dxa"/>
            <w:vAlign w:val="bottom"/>
            <w:tcBorders>
              <w:bottom w:val="single" w:sz="8" w:color="auto"/>
            </w:tcBorders>
            <w:shd w:val="clear" w:color="auto" w:fill="DBE5F1"/>
          </w:tcPr>
          <w:p>
            <w:pPr>
              <w:spacing w:after="0"/>
              <w:rPr>
                <w:sz w:val="20"/>
                <w:szCs w:val="20"/>
                <w:color w:val="auto"/>
              </w:rPr>
            </w:pP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c>
          <w:tcPr>
            <w:tcW w:w="20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26,921</w:t>
            </w:r>
          </w:p>
        </w:tc>
        <w:tc>
          <w:tcPr>
            <w:tcW w:w="0" w:type="dxa"/>
            <w:vAlign w:val="bottom"/>
          </w:tcPr>
          <w:p>
            <w:pPr>
              <w:spacing w:after="0"/>
              <w:rPr>
                <w:sz w:val="1"/>
                <w:szCs w:val="1"/>
                <w:color w:val="auto"/>
              </w:rPr>
            </w:pPr>
          </w:p>
        </w:tc>
      </w:tr>
      <w:tr>
        <w:trPr>
          <w:trHeight w:val="210"/>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Ending</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3,379</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payments for:</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shd w:val="clear" w:color="auto" w:fill="DBE5F1"/>
          </w:tcPr>
          <w:p>
            <w:pPr>
              <w:spacing w:after="0"/>
              <w:rPr>
                <w:sz w:val="18"/>
                <w:szCs w:val="18"/>
                <w:color w:val="auto"/>
              </w:rPr>
            </w:pP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8"/>
        </w:trPr>
        <w:tc>
          <w:tcPr>
            <w:tcW w:w="5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11,564</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0"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schedule of non-cash investing and</w:t>
            </w: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5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activities:</w:t>
            </w:r>
          </w:p>
        </w:tc>
        <w:tc>
          <w:tcPr>
            <w:tcW w:w="20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7"/>
        </w:trPr>
        <w:tc>
          <w:tcPr>
            <w:tcW w:w="5500" w:type="dxa"/>
            <w:vAlign w:val="bottom"/>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Demonstration equipment transferred to (from) inventory</w:t>
            </w:r>
          </w:p>
        </w:tc>
        <w:tc>
          <w:tcPr>
            <w:tcW w:w="2080" w:type="dxa"/>
            <w:vAlign w:val="bottom"/>
            <w:shd w:val="clear" w:color="auto" w:fill="DBE5F1"/>
          </w:tcPr>
          <w:p>
            <w:pPr>
              <w:jc w:val="right"/>
              <w:ind w:right="592"/>
              <w:spacing w:after="0"/>
              <w:rPr>
                <w:sz w:val="20"/>
                <w:szCs w:val="20"/>
                <w:color w:val="auto"/>
              </w:rPr>
            </w:pPr>
            <w:r>
              <w:rPr>
                <w:rFonts w:ascii="Times New Roman" w:cs="Times New Roman" w:eastAsia="Times New Roman" w:hAnsi="Times New Roman"/>
                <w:sz w:val="18"/>
                <w:szCs w:val="18"/>
                <w:color w:val="auto"/>
              </w:rPr>
              <w:t>1,055</w:t>
            </w:r>
          </w:p>
        </w:tc>
        <w:tc>
          <w:tcPr>
            <w:tcW w:w="12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1,625</w:t>
            </w:r>
          </w:p>
        </w:tc>
      </w:tr>
      <w:tr>
        <w:trPr>
          <w:trHeight w:val="202"/>
        </w:trPr>
        <w:tc>
          <w:tcPr>
            <w:tcW w:w="5500" w:type="dxa"/>
            <w:vAlign w:val="bottom"/>
          </w:tcPr>
          <w:p>
            <w:pPr>
              <w:ind w:left="460"/>
              <w:spacing w:after="0" w:line="201" w:lineRule="exact"/>
              <w:rPr>
                <w:sz w:val="20"/>
                <w:szCs w:val="20"/>
                <w:color w:val="auto"/>
              </w:rPr>
            </w:pPr>
            <w:r>
              <w:rPr>
                <w:rFonts w:ascii="Times New Roman" w:cs="Times New Roman" w:eastAsia="Times New Roman" w:hAnsi="Times New Roman"/>
                <w:sz w:val="18"/>
                <w:szCs w:val="18"/>
                <w:color w:val="auto"/>
              </w:rPr>
              <w:t>Purchase of property and equipment included in accounts</w:t>
            </w:r>
          </w:p>
        </w:tc>
        <w:tc>
          <w:tcPr>
            <w:tcW w:w="2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5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payable</w:t>
            </w:r>
          </w:p>
        </w:tc>
        <w:tc>
          <w:tcPr>
            <w:tcW w:w="20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447</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2,040</w:t>
            </w:r>
          </w:p>
        </w:tc>
      </w:tr>
      <w:tr>
        <w:trPr>
          <w:trHeight w:val="217"/>
        </w:trPr>
        <w:tc>
          <w:tcPr>
            <w:tcW w:w="5500" w:type="dxa"/>
            <w:vAlign w:val="bottom"/>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Transfers of equipment to affiliates</w:t>
            </w:r>
          </w:p>
        </w:tc>
        <w:tc>
          <w:tcPr>
            <w:tcW w:w="2080" w:type="dxa"/>
            <w:vAlign w:val="bottom"/>
            <w:shd w:val="clear" w:color="auto" w:fill="DBE5F1"/>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r>
      <w:tr>
        <w:trPr>
          <w:trHeight w:val="228"/>
        </w:trPr>
        <w:tc>
          <w:tcPr>
            <w:tcW w:w="5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benefits related to exercises of stock options</w:t>
            </w:r>
          </w:p>
        </w:tc>
        <w:tc>
          <w:tcPr>
            <w:tcW w:w="20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324</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1,431</w:t>
            </w:r>
          </w:p>
        </w:tc>
      </w:tr>
    </w:tbl>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54" w:lineRule="exact"/>
        <w:rPr>
          <w:sz w:val="20"/>
          <w:szCs w:val="20"/>
          <w:color w:val="auto"/>
        </w:rPr>
      </w:pPr>
    </w:p>
    <w:p>
      <w:pPr>
        <w:ind w:right="2179" w:firstLine="648"/>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20" w:lineRule="exact"/>
        <w:rPr>
          <w:sz w:val="20"/>
          <w:szCs w:val="20"/>
          <w:color w:val="auto"/>
        </w:rPr>
      </w:pPr>
    </w:p>
    <w:p>
      <w:pPr>
        <w:ind w:right="2119"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The balance sheet at April 28, 2007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April 28, 2007,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24" w:lineRule="exact"/>
        <w:rPr>
          <w:sz w:val="20"/>
          <w:szCs w:val="20"/>
          <w:color w:val="auto"/>
        </w:rPr>
      </w:pPr>
    </w:p>
    <w:p>
      <w:pPr>
        <w:ind w:right="2139" w:firstLine="596"/>
        <w:spacing w:after="0" w:line="301"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our wholly-owned subsidiaries, Daktronics France SARL; Daktronics Shanghai, Ltd.; Daktronics GmbH; Star Circuits, Inc.; Daktronics Media Holdings, Inc.; MSC Technologies, Inc.; Daktronics UK, Ltd.; Daktronics Hong Kong, Ltd.; Daktronics Canada, Inc.; Daktronics Hoist, Inc.; and Daktronics FZE. Intercompany balances and transactions have been eliminated in consolidation.</w:t>
      </w:r>
    </w:p>
    <w:p>
      <w:pPr>
        <w:spacing w:after="0" w:line="184" w:lineRule="exact"/>
        <w:rPr>
          <w:sz w:val="20"/>
          <w:szCs w:val="20"/>
          <w:color w:val="auto"/>
        </w:rPr>
      </w:pPr>
    </w:p>
    <w:p>
      <w:pPr>
        <w:ind w:right="2119" w:firstLine="622"/>
        <w:spacing w:after="0" w:line="256" w:lineRule="auto"/>
        <w:rPr>
          <w:sz w:val="20"/>
          <w:szCs w:val="20"/>
          <w:color w:val="auto"/>
        </w:rPr>
      </w:pPr>
      <w:r>
        <w:rPr>
          <w:rFonts w:ascii="Times New Roman" w:cs="Times New Roman" w:eastAsia="Times New Roman" w:hAnsi="Times New Roman"/>
          <w:sz w:val="18"/>
          <w:szCs w:val="18"/>
          <w:color w:val="auto"/>
        </w:rPr>
        <w:t>Investments in affiliates are accounted for by the equity method. We have evaluated our relationships with affiliates and have determined that these entities are not variable interest entities and therefore are not required to be considered for consolidation in our consolidated financial statements. Accordingly, our proportional share of the respective affiliate’s earnings or losses is included in other income (expense) in our consolidated statement of income.</w:t>
      </w:r>
    </w:p>
    <w:p>
      <w:pPr>
        <w:spacing w:after="0" w:line="247" w:lineRule="exact"/>
        <w:rPr>
          <w:sz w:val="20"/>
          <w:szCs w:val="20"/>
          <w:color w:val="auto"/>
        </w:rPr>
      </w:pPr>
    </w:p>
    <w:p>
      <w:pPr>
        <w:ind w:right="2159" w:firstLine="622"/>
        <w:spacing w:after="0" w:line="289"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(“long-term contracts”), estimated costs to be incurred for product warranties and extended maintenance contracts, excess and obsolete inventory, the reserve for doubtful accounts, stock-based compensation and income taxes. Changes in estimates are reflected in the periods in which they become known.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79" w:lineRule="exact"/>
        <w:rPr>
          <w:sz w:val="20"/>
          <w:szCs w:val="20"/>
          <w:color w:val="auto"/>
        </w:rPr>
      </w:pPr>
    </w:p>
    <w:p>
      <w:pPr>
        <w:jc w:val="both"/>
        <w:ind w:right="2299" w:firstLine="648"/>
        <w:spacing w:after="0" w:line="288" w:lineRule="auto"/>
        <w:rPr>
          <w:sz w:val="20"/>
          <w:szCs w:val="20"/>
          <w:color w:val="auto"/>
        </w:rPr>
      </w:pPr>
      <w:r>
        <w:rPr>
          <w:rFonts w:ascii="Times New Roman" w:cs="Times New Roman" w:eastAsia="Times New Roman" w:hAnsi="Times New Roman"/>
          <w:sz w:val="16"/>
          <w:szCs w:val="16"/>
          <w:i w:val="1"/>
          <w:iCs w:val="1"/>
          <w:u w:val="single" w:color="auto"/>
          <w:color w:val="auto"/>
        </w:rPr>
        <w:t>Income taxes.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account for income taxes under Statement of Financial Accounting Standard (SFAS)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 109, “Accounting for Income Taxes,” which requires recognition of deferred tax liabilities and assets for the expected future tax consequences of events that have been included in our financial statements or tax returns.</w:t>
      </w:r>
    </w:p>
    <w:p>
      <w:pPr>
        <w:ind w:right="2139"/>
        <w:spacing w:after="0" w:line="253" w:lineRule="auto"/>
        <w:rPr>
          <w:sz w:val="20"/>
          <w:szCs w:val="20"/>
          <w:color w:val="auto"/>
        </w:rPr>
      </w:pPr>
      <w:r>
        <w:rPr>
          <w:rFonts w:ascii="Times New Roman" w:cs="Times New Roman" w:eastAsia="Times New Roman" w:hAnsi="Times New Roman"/>
          <w:sz w:val="18"/>
          <w:szCs w:val="18"/>
          <w:color w:val="auto"/>
        </w:rPr>
        <w:t>Under this method, deferred tax liabilities and assets are determined based on the difference between the financial statement and tax basis of assets and liabilities, using enacted tax rates in effect for the year in which the differences are expected to reverse. SFAS No. 109 requires the consideration of a valuation allowance for deferred tax assets if it is “more likely than not” that some component or all of the benefits of deferred tax assets will not be realized.</w:t>
      </w:r>
    </w:p>
    <w:p>
      <w:pPr>
        <w:spacing w:after="0" w:line="2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67" w:gutter="0" w:footer="0" w:header="0"/>
        </w:sectPr>
      </w:pPr>
    </w:p>
    <w:bookmarkStart w:id="6" w:name="page7"/>
    <w:bookmarkEnd w:id="6"/>
    <w:p>
      <w:pPr>
        <w:ind w:right="2179" w:firstLine="622"/>
        <w:spacing w:after="0" w:line="288" w:lineRule="auto"/>
        <w:rPr>
          <w:sz w:val="20"/>
          <w:szCs w:val="20"/>
          <w:color w:val="auto"/>
        </w:rPr>
      </w:pPr>
      <w:r>
        <w:rPr>
          <w:rFonts w:ascii="Times New Roman" w:cs="Times New Roman" w:eastAsia="Times New Roman" w:hAnsi="Times New Roman"/>
          <w:sz w:val="16"/>
          <w:szCs w:val="16"/>
          <w:color w:val="auto"/>
        </w:rPr>
        <w:t>We adopted the provisions of Financial Accounting Standards Board (FASB) Interpretation No. 48 (FIN 48), “Accounting for Uncertainty in Income Taxes, an Interpretation of SFAS No. 109” on April 29, 2007, the beginning of our fiscal year. FIN 48 creates a single model to address uncertainty in tax positions and clarifies the accounting for income taxes by prescribing the minimum recognition threshold a tax position is required to meet before being recognized in the financial statements. FIN 48 also provides guidance on derecognition, measurement, classification, interest and penalties, accounting in interim periods, disclosure and transition. At the adoption date, which was April 29, 2007, we did not have a material liability under FIN 48 for unrecognized tax benefits. As a result of the implementation of FIN 48, we have recognized no material adjustment in the liability for unrecognized income tax benefits, and there is no related effect to our effective tax rate. Our continuing practice is to recognize interest and/or penalties related to income tax matters in income tax expense.</w:t>
      </w:r>
    </w:p>
    <w:p>
      <w:pPr>
        <w:spacing w:after="0" w:line="200" w:lineRule="exact"/>
        <w:rPr>
          <w:sz w:val="20"/>
          <w:szCs w:val="20"/>
          <w:color w:val="auto"/>
        </w:rPr>
      </w:pPr>
    </w:p>
    <w:p>
      <w:pPr>
        <w:spacing w:after="0" w:line="217" w:lineRule="exact"/>
        <w:rPr>
          <w:sz w:val="20"/>
          <w:szCs w:val="20"/>
          <w:color w:val="auto"/>
        </w:rPr>
      </w:pPr>
    </w:p>
    <w:p>
      <w:pPr>
        <w:ind w:right="2299" w:firstLine="622"/>
        <w:spacing w:after="0" w:line="301" w:lineRule="auto"/>
        <w:rPr>
          <w:sz w:val="20"/>
          <w:szCs w:val="20"/>
          <w:color w:val="auto"/>
        </w:rPr>
      </w:pPr>
      <w:r>
        <w:rPr>
          <w:rFonts w:ascii="Times New Roman" w:cs="Times New Roman" w:eastAsia="Times New Roman" w:hAnsi="Times New Roman"/>
          <w:sz w:val="16"/>
          <w:szCs w:val="16"/>
          <w:color w:val="auto"/>
        </w:rPr>
        <w:t>Our company, along with our subsidiaries, is subject to U.S. Federal income tax as well as income taxes of multiple state jurisdictions. As a result of the completion of IRS exams on prior years, fiscal years 2006 and 2007 are the only years remaining open under statutes of limitations. Certain subsidiaries are also subject to income tax in several foreign jurisdictions which have open tax years varying by jurisdiction back to 2003.</w:t>
      </w:r>
    </w:p>
    <w:p>
      <w:pPr>
        <w:spacing w:after="0" w:line="211" w:lineRule="exact"/>
        <w:rPr>
          <w:sz w:val="20"/>
          <w:szCs w:val="20"/>
          <w:color w:val="auto"/>
        </w:rPr>
      </w:pPr>
    </w:p>
    <w:p>
      <w:pPr>
        <w:ind w:right="2199" w:firstLine="622"/>
        <w:spacing w:after="0" w:line="310" w:lineRule="auto"/>
        <w:rPr>
          <w:sz w:val="20"/>
          <w:szCs w:val="20"/>
          <w:color w:val="auto"/>
        </w:rPr>
      </w:pPr>
      <w:r>
        <w:rPr>
          <w:rFonts w:ascii="Times New Roman" w:cs="Times New Roman" w:eastAsia="Times New Roman" w:hAnsi="Times New Roman"/>
          <w:sz w:val="16"/>
          <w:szCs w:val="16"/>
          <w:u w:val="single" w:color="auto"/>
          <w:color w:val="auto"/>
        </w:rPr>
        <w:t>Commitments and Contingencies.</w:t>
      </w:r>
      <w:r>
        <w:rPr>
          <w:rFonts w:ascii="Times New Roman" w:cs="Times New Roman" w:eastAsia="Times New Roman" w:hAnsi="Times New Roman"/>
          <w:sz w:val="16"/>
          <w:szCs w:val="16"/>
          <w:color w:val="auto"/>
        </w:rPr>
        <w:t xml:space="preserve"> 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178" w:lineRule="exact"/>
        <w:rPr>
          <w:sz w:val="20"/>
          <w:szCs w:val="20"/>
          <w:color w:val="auto"/>
        </w:rPr>
      </w:pPr>
    </w:p>
    <w:p>
      <w:pPr>
        <w:ind w:right="2139" w:firstLine="622"/>
        <w:spacing w:after="0" w:line="256" w:lineRule="auto"/>
        <w:rPr>
          <w:sz w:val="20"/>
          <w:szCs w:val="20"/>
          <w:color w:val="auto"/>
        </w:rPr>
      </w:pPr>
      <w:r>
        <w:rPr>
          <w:rFonts w:ascii="Times New Roman" w:cs="Times New Roman" w:eastAsia="Times New Roman" w:hAnsi="Times New Roman"/>
          <w:sz w:val="18"/>
          <w:szCs w:val="18"/>
          <w:color w:val="auto"/>
        </w:rPr>
        <w:t>In connection with the sale of equipment to a financial institution, we entered into a contractual arrangement whereby we agreed to repurchase equipment at the end of the lease term at a fixed price of approximately $1,100. We have recognized a guarantee liability in the amount of $200 under the provisions of FIN No. 45, “Guarantor’s Accounting and Disclosure Requirements for Guarantees, Including Indirect Guarantees of Indebtedness of Others” In the accompanying financial statements.</w:t>
      </w:r>
    </w:p>
    <w:p>
      <w:pPr>
        <w:spacing w:after="0" w:line="247" w:lineRule="exact"/>
        <w:rPr>
          <w:sz w:val="20"/>
          <w:szCs w:val="20"/>
          <w:color w:val="auto"/>
        </w:rPr>
      </w:pPr>
    </w:p>
    <w:p>
      <w:pPr>
        <w:ind w:right="21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Product Warranties.</w:t>
      </w:r>
      <w:r>
        <w:rPr>
          <w:rFonts w:ascii="Times New Roman" w:cs="Times New Roman" w:eastAsia="Times New Roman" w:hAnsi="Times New Roman"/>
          <w:sz w:val="18"/>
          <w:szCs w:val="18"/>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222" w:lineRule="exact"/>
        <w:rPr>
          <w:sz w:val="20"/>
          <w:szCs w:val="20"/>
          <w:color w:val="auto"/>
        </w:rPr>
      </w:pPr>
    </w:p>
    <w:p>
      <w:pPr>
        <w:ind w:right="2879" w:firstLine="648"/>
        <w:spacing w:after="0" w:line="275" w:lineRule="auto"/>
        <w:rPr>
          <w:sz w:val="20"/>
          <w:szCs w:val="20"/>
          <w:color w:val="auto"/>
        </w:rPr>
      </w:pPr>
      <w:r>
        <w:rPr>
          <w:rFonts w:ascii="Times New Roman" w:cs="Times New Roman" w:eastAsia="Times New Roman" w:hAnsi="Times New Roman"/>
          <w:sz w:val="18"/>
          <w:szCs w:val="18"/>
          <w:color w:val="auto"/>
        </w:rPr>
        <w:t>Changes in our product warranties for the nine months ended January 26, 2008 consisted of the following:</w:t>
      </w:r>
    </w:p>
    <w:p>
      <w:pPr>
        <w:sectPr>
          <w:pgSz w:w="11900" w:h="16838" w:orient="portrait"/>
          <w:cols w:equalWidth="0" w:num="1">
            <w:col w:w="10219"/>
          </w:cols>
          <w:pgMar w:left="240" w:top="368" w:right="1440" w:bottom="0" w:gutter="0" w:footer="0" w:header="0"/>
        </w:sectPr>
      </w:pPr>
    </w:p>
    <w:p>
      <w:pPr>
        <w:spacing w:after="0" w:line="200" w:lineRule="exact"/>
        <w:rPr>
          <w:sz w:val="20"/>
          <w:szCs w:val="20"/>
          <w:color w:val="auto"/>
        </w:rPr>
      </w:pPr>
    </w:p>
    <w:p>
      <w:pPr>
        <w:spacing w:after="0" w:line="2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-130175</wp:posOffset>
            </wp:positionV>
            <wp:extent cx="338772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14605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-130175</wp:posOffset>
            </wp:positionV>
            <wp:extent cx="33877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14605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Changes in accrued warranty costs for pre-</w:t>
      </w:r>
    </w:p>
    <w:p>
      <w:pPr>
        <w:spacing w:after="0" w:line="46" w:lineRule="exact"/>
        <w:rPr>
          <w:sz w:val="20"/>
          <w:szCs w:val="20"/>
          <w:color w:val="auto"/>
        </w:rPr>
      </w:pPr>
    </w:p>
    <w:p>
      <w:pPr>
        <w:ind w:left="1480" w:right="160"/>
        <w:spacing w:after="0" w:line="274" w:lineRule="auto"/>
        <w:rPr>
          <w:sz w:val="20"/>
          <w:szCs w:val="20"/>
          <w:color w:val="auto"/>
        </w:rPr>
      </w:pPr>
      <w:r>
        <w:rPr>
          <w:rFonts w:ascii="Times New Roman" w:cs="Times New Roman" w:eastAsia="Times New Roman" w:hAnsi="Times New Roman"/>
          <w:sz w:val="18"/>
          <w:szCs w:val="18"/>
          <w:color w:val="auto"/>
        </w:rPr>
        <w:t>existing warranties during the period, including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-7620</wp:posOffset>
            </wp:positionV>
            <wp:extent cx="33877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87725" cy="15430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5" w:lineRule="exact"/>
        <w:rPr>
          <w:sz w:val="20"/>
          <w:szCs w:val="20"/>
          <w:color w:val="auto"/>
        </w:rPr>
      </w:pPr>
    </w:p>
    <w:p>
      <w:pPr>
        <w:ind w:left="520" w:hanging="517"/>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10,515</w:t>
      </w:r>
    </w:p>
    <w:p>
      <w:pPr>
        <w:spacing w:after="0" w:line="2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5,408</w:t>
      </w:r>
    </w:p>
    <w:p>
      <w:pPr>
        <w:spacing w:after="0" w:line="46"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color w:val="auto"/>
        </w:rPr>
        <w:t>(9,681)</w:t>
      </w:r>
    </w:p>
    <w:p>
      <w:pPr>
        <w:spacing w:after="0" w:line="200" w:lineRule="exact"/>
        <w:rPr>
          <w:sz w:val="20"/>
          <w:szCs w:val="20"/>
          <w:color w:val="auto"/>
        </w:rPr>
      </w:pPr>
    </w:p>
    <w:p>
      <w:pPr>
        <w:spacing w:after="0" w:line="282"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color w:val="auto"/>
        </w:rPr>
        <w:t>5,298</w:t>
      </w:r>
    </w:p>
    <w:p>
      <w:pPr>
        <w:spacing w:after="0" w:line="23" w:lineRule="exact"/>
        <w:rPr>
          <w:sz w:val="20"/>
          <w:szCs w:val="20"/>
          <w:color w:val="auto"/>
        </w:rPr>
      </w:pPr>
    </w:p>
    <w:p>
      <w:pPr>
        <w:ind w:left="540" w:hanging="537"/>
        <w:spacing w:after="0"/>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46355</wp:posOffset>
            </wp:positionV>
            <wp:extent cx="763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260" w:space="720"/>
            <w:col w:w="5239"/>
          </w:cols>
          <w:pgMar w:left="240" w:top="368" w:right="1440" w:bottom="0" w:gutter="0" w:footer="0" w:header="0"/>
          <w:type w:val="continuous"/>
        </w:sectPr>
      </w:pPr>
    </w:p>
    <w:p>
      <w:pPr>
        <w:spacing w:after="0" w:line="79" w:lineRule="exact"/>
        <w:rPr>
          <w:sz w:val="20"/>
          <w:szCs w:val="20"/>
          <w:color w:val="auto"/>
        </w:rPr>
      </w:pPr>
    </w:p>
    <w:p>
      <w:pPr>
        <w:ind w:right="221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Lease Commitments</w:t>
      </w:r>
      <w:r>
        <w:rPr>
          <w:rFonts w:ascii="Times New Roman" w:cs="Times New Roman" w:eastAsia="Times New Roman" w:hAnsi="Times New Roman"/>
          <w:sz w:val="18"/>
          <w:szCs w:val="18"/>
          <w:color w:val="auto"/>
        </w:rPr>
        <w:t>. We lease office space for sales and service locations, vehicles and various equipment, primarily office equipment. Rental expense for operating leases was $1,712 and $1,411 for the nine months ended January 26, 2008 and January 27, 2007, respectively. Future minimum payments under noncancelable operating leases, excluding executory costs such as management and maintenance fees, with initial or remaining terms of one year or more consisted of the following at January 26, 2008:</w:t>
      </w:r>
    </w:p>
    <w:p>
      <w:pPr>
        <w:spacing w:after="0" w:line="200" w:lineRule="exact"/>
        <w:rPr>
          <w:sz w:val="20"/>
          <w:szCs w:val="20"/>
          <w:color w:val="auto"/>
        </w:rPr>
      </w:pPr>
    </w:p>
    <w:p>
      <w:pPr>
        <w:spacing w:after="0" w:line="2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2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1000" w:type="dxa"/>
            <w:vAlign w:val="bottom"/>
            <w:tcBorders>
              <w:top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4"/>
              </w:rPr>
              <w:t>2008</w:t>
            </w:r>
          </w:p>
        </w:tc>
        <w:tc>
          <w:tcPr>
            <w:tcW w:w="240" w:type="dxa"/>
            <w:vAlign w:val="bottom"/>
            <w:tcBorders>
              <w:top w:val="single" w:sz="8" w:color="DBE5F1"/>
            </w:tcBorders>
            <w:shd w:val="clear" w:color="auto" w:fill="DBE5F1"/>
          </w:tcPr>
          <w:p>
            <w:pPr>
              <w:spacing w:after="0"/>
              <w:rPr>
                <w:sz w:val="18"/>
                <w:szCs w:val="18"/>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10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4"/>
              </w:rPr>
              <w:t>2010</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2,157</w:t>
            </w:r>
          </w:p>
        </w:tc>
      </w:tr>
      <w:tr>
        <w:trPr>
          <w:trHeight w:val="22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10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4"/>
              </w:rPr>
              <w:t>2012</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2,681</w:t>
            </w:r>
          </w:p>
        </w:tc>
      </w:tr>
      <w:tr>
        <w:trPr>
          <w:trHeight w:val="229"/>
        </w:trPr>
        <w:tc>
          <w:tcPr>
            <w:tcW w:w="1240" w:type="dxa"/>
            <w:vAlign w:val="bottom"/>
            <w:tcBorders>
              <w:bottom w:val="single" w:sz="8" w:color="DBE5F1"/>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Thereafter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777</w:t>
            </w:r>
          </w:p>
        </w:tc>
      </w:tr>
      <w:tr>
        <w:trPr>
          <w:trHeight w:val="210"/>
        </w:trPr>
        <w:tc>
          <w:tcPr>
            <w:tcW w:w="1240" w:type="dxa"/>
            <w:vAlign w:val="bottom"/>
            <w:tcBorders>
              <w:bottom w:val="single" w:sz="8" w:color="DBE5F1"/>
            </w:tcBorders>
            <w:gridSpan w:val="2"/>
            <w:shd w:val="clear" w:color="auto" w:fill="DBE5F1"/>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c>
          <w:tcPr>
            <w:tcW w:w="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10,796</w:t>
            </w: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219" w:firstLine="648"/>
        <w:spacing w:after="0" w:line="262" w:lineRule="auto"/>
        <w:rPr>
          <w:sz w:val="20"/>
          <w:szCs w:val="20"/>
          <w:color w:val="auto"/>
        </w:rPr>
      </w:pPr>
      <w:r>
        <w:rPr>
          <w:rFonts w:ascii="Times New Roman" w:cs="Times New Roman" w:eastAsia="Times New Roman" w:hAnsi="Times New Roman"/>
          <w:sz w:val="18"/>
          <w:szCs w:val="18"/>
          <w:u w:val="single" w:color="auto"/>
          <w:color w:val="auto"/>
        </w:rPr>
        <w:t>Purchase Commitments.</w:t>
      </w:r>
      <w:r>
        <w:rPr>
          <w:rFonts w:ascii="Times New Roman" w:cs="Times New Roman" w:eastAsia="Times New Roman" w:hAnsi="Times New Roman"/>
          <w:sz w:val="18"/>
          <w:szCs w:val="18"/>
          <w:color w:val="auto"/>
        </w:rPr>
        <w:t>From time to time, we commit to purchase inventory and advertising rights over periods that extend over a year. As of January 26, 2008, we were obligated to purchase inventory and advertising rights through fiscal year 2010 as follows:</w:t>
      </w:r>
    </w:p>
    <w:p>
      <w:pPr>
        <w:sectPr>
          <w:pgSz w:w="11900" w:h="16838" w:orient="portrait"/>
          <w:cols w:equalWidth="0" w:num="1">
            <w:col w:w="10219"/>
          </w:cols>
          <w:pgMar w:left="240" w:top="368" w:right="1440" w:bottom="0" w:gutter="0" w:footer="0" w:header="0"/>
          <w:type w:val="continuous"/>
        </w:sectPr>
      </w:pPr>
    </w:p>
    <w:bookmarkStart w:id="7" w:name="page8"/>
    <w:bookmarkEnd w:id="7"/>
    <w:tbl>
      <w:tblPr>
        <w:tblLayout w:type="fixed"/>
        <w:tblInd w:w="760" w:type="dxa"/>
        <w:tblCellMar>
          <w:top w:w="0" w:type="dxa"/>
          <w:left w:w="0" w:type="dxa"/>
          <w:bottom w:w="0" w:type="dxa"/>
          <w:right w:w="0" w:type="dxa"/>
        </w:tblCellMar>
      </w:tblPr>
      <w:tr>
        <w:trPr>
          <w:trHeight w:val="216"/>
        </w:trPr>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260" w:type="dxa"/>
            <w:vAlign w:val="bottom"/>
          </w:tcPr>
          <w:p>
            <w:pPr>
              <w:spacing w:after="0"/>
              <w:rPr>
                <w:sz w:val="20"/>
                <w:szCs w:val="20"/>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860" w:type="dxa"/>
            <w:vAlign w:val="bottom"/>
            <w:tcBorders>
              <w:top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4"/>
              </w:rPr>
              <w:t>2008</w:t>
            </w:r>
          </w:p>
        </w:tc>
        <w:tc>
          <w:tcPr>
            <w:tcW w:w="300" w:type="dxa"/>
            <w:vAlign w:val="bottom"/>
            <w:tcBorders>
              <w:top w:val="single" w:sz="8" w:color="DBE5F1"/>
            </w:tcBorders>
            <w:shd w:val="clear" w:color="auto" w:fill="DBE5F1"/>
          </w:tcPr>
          <w:p>
            <w:pPr>
              <w:spacing w:after="0"/>
              <w:rPr>
                <w:sz w:val="18"/>
                <w:szCs w:val="18"/>
                <w:color w:val="auto"/>
              </w:rPr>
            </w:pPr>
          </w:p>
        </w:tc>
        <w:tc>
          <w:tcPr>
            <w:tcW w:w="26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8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4"/>
              </w:rPr>
              <w:t>2010</w:t>
            </w:r>
          </w:p>
        </w:tc>
        <w:tc>
          <w:tcPr>
            <w:tcW w:w="30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13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less the cost of selling the asset. If any assets are considered to be impaired, the impairment is measured by the amount by which the carrying amount of the assets exceeds the estimated fair value.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Recently Issued Accounting Pronouncements</w:t>
      </w:r>
    </w:p>
    <w:p>
      <w:pPr>
        <w:spacing w:after="0" w:line="254" w:lineRule="exact"/>
        <w:rPr>
          <w:sz w:val="20"/>
          <w:szCs w:val="20"/>
          <w:color w:val="auto"/>
        </w:rPr>
      </w:pPr>
    </w:p>
    <w:p>
      <w:pPr>
        <w:ind w:right="2139" w:firstLine="622"/>
        <w:spacing w:after="0" w:line="253" w:lineRule="auto"/>
        <w:rPr>
          <w:sz w:val="20"/>
          <w:szCs w:val="20"/>
          <w:color w:val="auto"/>
        </w:rPr>
      </w:pPr>
      <w:r>
        <w:rPr>
          <w:rFonts w:ascii="Times New Roman" w:cs="Times New Roman" w:eastAsia="Times New Roman" w:hAnsi="Times New Roman"/>
          <w:sz w:val="18"/>
          <w:szCs w:val="18"/>
          <w:color w:val="auto"/>
        </w:rPr>
        <w:t>In February 2007, the FASB issued SFAS No. 159, "The Fair Value Option for Financial Assets and Liabilities."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Adoption is not expected to have a material impact on our consolidated earnings, financial position or cash flows.</w:t>
      </w:r>
    </w:p>
    <w:p>
      <w:pPr>
        <w:spacing w:after="0" w:line="220" w:lineRule="exact"/>
        <w:rPr>
          <w:sz w:val="20"/>
          <w:szCs w:val="20"/>
          <w:color w:val="auto"/>
        </w:rPr>
      </w:pPr>
    </w:p>
    <w:p>
      <w:pPr>
        <w:ind w:right="2139" w:firstLine="622"/>
        <w:spacing w:after="0" w:line="254"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 SFAS No. 157 provides guidance for using fair value to measure assets and liabilities. SFAS No. 157 clarifies the principle that fair value should be based on the assumptions that market participants would use when pricing an asset or liability and establishes a fair value hierarchy that prioritizes the information used to develop those assumptions. Under SFAS No. 157, fair value measurements would be separately disclosed by level within the fair value hierarchy. SFAS No. 157 is effective for us beginning in fiscal year 2009; however, early adoption is permitted. We are currently assessing the impact of our adoption of SFAS No. 157.</w:t>
      </w:r>
    </w:p>
    <w:p>
      <w:pPr>
        <w:spacing w:after="0" w:line="2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79" w:lineRule="exact"/>
        <w:rPr>
          <w:sz w:val="20"/>
          <w:szCs w:val="20"/>
          <w:color w:val="auto"/>
        </w:rPr>
      </w:pPr>
    </w:p>
    <w:p>
      <w:pPr>
        <w:ind w:right="2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Long-term construction contracts: </w:t>
      </w:r>
      <w:r>
        <w:rPr>
          <w:rFonts w:ascii="Times New Roman" w:cs="Times New Roman" w:eastAsia="Times New Roman" w:hAnsi="Times New Roman"/>
          <w:sz w:val="18"/>
          <w:szCs w:val="18"/>
          <w:color w:val="auto"/>
        </w:rPr>
        <w:t>Earnings on long-term construction contracts are recognized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242" w:lineRule="exact"/>
        <w:rPr>
          <w:sz w:val="20"/>
          <w:szCs w:val="20"/>
          <w:color w:val="auto"/>
        </w:rPr>
      </w:pPr>
    </w:p>
    <w:p>
      <w:pPr>
        <w:ind w:right="2339"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Equipment other than long-term contracts: </w:t>
      </w:r>
      <w:r>
        <w:rPr>
          <w:rFonts w:ascii="Times New Roman" w:cs="Times New Roman" w:eastAsia="Times New Roman" w:hAnsi="Times New Roman"/>
          <w:sz w:val="18"/>
          <w:szCs w:val="18"/>
          <w:color w:val="auto"/>
        </w:rPr>
        <w:t>We recognize revenue on equipment sales, other than long-term contracts, when title passes, which is usually upon shipment and then only if the revenue is fixed and determinable and collectability is reasonably assured.</w:t>
      </w:r>
    </w:p>
    <w:p>
      <w:pPr>
        <w:spacing w:after="0" w:line="235" w:lineRule="exact"/>
        <w:rPr>
          <w:sz w:val="20"/>
          <w:szCs w:val="20"/>
          <w:color w:val="auto"/>
        </w:rPr>
      </w:pPr>
    </w:p>
    <w:p>
      <w:pPr>
        <w:ind w:right="2119" w:firstLine="68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Long-term receivables and advertising rights: </w:t>
      </w:r>
      <w:r>
        <w:rPr>
          <w:rFonts w:ascii="Times New Roman" w:cs="Times New Roman" w:eastAsia="Times New Roman" w:hAnsi="Times New Roman"/>
          <w:sz w:val="18"/>
          <w:szCs w:val="18"/>
          <w:color w:val="auto"/>
        </w:rPr>
        <w:t>We occasionally sell and install our products at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26" w:lineRule="exact"/>
        <w:rPr>
          <w:sz w:val="20"/>
          <w:szCs w:val="20"/>
          <w:color w:val="auto"/>
        </w:rPr>
      </w:pPr>
    </w:p>
    <w:p>
      <w:pPr>
        <w:ind w:right="2139" w:firstLine="648"/>
        <w:spacing w:after="0" w:line="258" w:lineRule="auto"/>
        <w:rPr>
          <w:sz w:val="20"/>
          <w:szCs w:val="20"/>
          <w:color w:val="auto"/>
        </w:rPr>
      </w:pPr>
      <w:r>
        <w:rPr>
          <w:rFonts w:ascii="Times New Roman" w:cs="Times New Roman" w:eastAsia="Times New Roman" w:hAnsi="Times New Roman"/>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17" w:lineRule="exact"/>
        <w:rPr>
          <w:sz w:val="20"/>
          <w:szCs w:val="20"/>
          <w:color w:val="auto"/>
        </w:rPr>
      </w:pPr>
    </w:p>
    <w:p>
      <w:pPr>
        <w:ind w:right="2359" w:firstLine="648"/>
        <w:spacing w:after="0" w:line="275" w:lineRule="auto"/>
        <w:rPr>
          <w:sz w:val="20"/>
          <w:szCs w:val="20"/>
          <w:color w:val="auto"/>
        </w:rPr>
      </w:pPr>
      <w:r>
        <w:rPr>
          <w:rFonts w:ascii="Times New Roman" w:cs="Times New Roman" w:eastAsia="Times New Roman" w:hAnsi="Times New Roman"/>
          <w:sz w:val="18"/>
          <w:szCs w:val="18"/>
          <w:color w:val="auto"/>
        </w:rPr>
        <w:t>The cost of advertising rights, net of amortization, was $3,454 as of January 26, 2008 and $3,830 as of April 28, 2007.</w:t>
      </w:r>
    </w:p>
    <w:p>
      <w:pPr>
        <w:sectPr>
          <w:pgSz w:w="11900" w:h="16838" w:orient="portrait"/>
          <w:cols w:equalWidth="0" w:num="1">
            <w:col w:w="10219"/>
          </w:cols>
          <w:pgMar w:left="240" w:top="123" w:right="1440" w:bottom="0" w:gutter="0" w:footer="0" w:header="0"/>
        </w:sectPr>
      </w:pPr>
    </w:p>
    <w:bookmarkStart w:id="8" w:name="page9"/>
    <w:bookmarkEnd w:id="8"/>
    <w:p>
      <w:pPr>
        <w:jc w:val="both"/>
        <w:ind w:right="2339" w:firstLine="648"/>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Product maintenance: </w:t>
      </w:r>
      <w:r>
        <w:rPr>
          <w:rFonts w:ascii="Times New Roman" w:cs="Times New Roman" w:eastAsia="Times New Roman" w:hAnsi="Times New Roman"/>
          <w:sz w:val="16"/>
          <w:szCs w:val="16"/>
          <w:color w:val="auto"/>
        </w:rPr>
        <w:t>In connection with the sale of our products, we also occasionally sell separately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priced extended warranties and product maintenance contracts. The revenue related to such contracts is deferred and recognized ratably as net sales over the term of the contracts, which varies up to 10 years.</w:t>
      </w:r>
    </w:p>
    <w:p>
      <w:pPr>
        <w:spacing w:after="0" w:line="201" w:lineRule="exact"/>
        <w:rPr>
          <w:sz w:val="20"/>
          <w:szCs w:val="20"/>
          <w:color w:val="auto"/>
        </w:rPr>
      </w:pPr>
    </w:p>
    <w:p>
      <w:pPr>
        <w:ind w:right="2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We sell our proprietary software bundled with displays and certain other products.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251" w:lineRule="exact"/>
        <w:rPr>
          <w:sz w:val="20"/>
          <w:szCs w:val="20"/>
          <w:color w:val="auto"/>
        </w:rPr>
      </w:pPr>
    </w:p>
    <w:p>
      <w:pPr>
        <w:ind w:right="22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Revenues generated by us for services such as event support, control room design, on-site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equipment service and continuing technical support for operators of our equipment are recognized as net sales when the services are performed. Net sales from services offerings which are not included in long-term contracts approximated 5.5% net sales for the nine months ended January 26, 2008 and January 27, 2007, respectively.</w:t>
      </w:r>
    </w:p>
    <w:p>
      <w:pPr>
        <w:spacing w:after="0" w:line="242" w:lineRule="exact"/>
        <w:rPr>
          <w:sz w:val="20"/>
          <w:szCs w:val="20"/>
          <w:color w:val="auto"/>
        </w:rPr>
      </w:pPr>
    </w:p>
    <w:p>
      <w:pPr>
        <w:jc w:val="both"/>
        <w:ind w:right="2139"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We utilize derivative financial instruments to manage the economic impact of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on those transactions that are denominated in currency other than our functional currency, which is the U.S. Dollar. We enter into currency forward contracts to manage these economic risks. SFAS No. 133, “Accounting for Derivative Instruments and Hedging Activities, as amended by SFAS No. 137</w:t>
      </w:r>
    </w:p>
    <w:p>
      <w:pPr>
        <w:spacing w:after="0" w:line="21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319"/>
        <w:spacing w:after="0" w:line="256" w:lineRule="auto"/>
        <w:rPr>
          <w:sz w:val="20"/>
          <w:szCs w:val="20"/>
          <w:color w:val="auto"/>
        </w:rPr>
      </w:pPr>
      <w:r>
        <w:rPr>
          <w:rFonts w:ascii="Times New Roman" w:cs="Times New Roman" w:eastAsia="Times New Roman" w:hAnsi="Times New Roman"/>
          <w:sz w:val="18"/>
          <w:szCs w:val="18"/>
          <w:color w:val="auto"/>
        </w:rPr>
        <w:t>and No.138,” requires us to recognize all derivatives on the balance sheet at fair value. Derivatives that are not hedges must be adjusted to fair value through earnings. If a derivative qualifies as an effective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20" w:lineRule="exact"/>
        <w:rPr>
          <w:sz w:val="20"/>
          <w:szCs w:val="20"/>
          <w:color w:val="auto"/>
        </w:rPr>
      </w:pPr>
    </w:p>
    <w:p>
      <w:pPr>
        <w:ind w:right="2119" w:firstLine="648"/>
        <w:spacing w:after="0" w:line="293" w:lineRule="auto"/>
        <w:rPr>
          <w:sz w:val="20"/>
          <w:szCs w:val="20"/>
          <w:color w:val="auto"/>
        </w:rPr>
      </w:pPr>
      <w:r>
        <w:rPr>
          <w:rFonts w:ascii="Times New Roman" w:cs="Times New Roman" w:eastAsia="Times New Roman" w:hAnsi="Times New Roman"/>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2" w:lineRule="exact"/>
        <w:rPr>
          <w:sz w:val="20"/>
          <w:szCs w:val="20"/>
          <w:color w:val="auto"/>
        </w:rPr>
      </w:pPr>
    </w:p>
    <w:p>
      <w:pPr>
        <w:ind w:right="2239" w:firstLine="648"/>
        <w:spacing w:after="0" w:line="262" w:lineRule="auto"/>
        <w:rPr>
          <w:sz w:val="20"/>
          <w:szCs w:val="20"/>
          <w:color w:val="auto"/>
        </w:rPr>
      </w:pPr>
      <w:r>
        <w:rPr>
          <w:rFonts w:ascii="Times New Roman" w:cs="Times New Roman" w:eastAsia="Times New Roman" w:hAnsi="Times New Roman"/>
          <w:sz w:val="18"/>
          <w:szCs w:val="18"/>
          <w:color w:val="auto"/>
        </w:rPr>
        <w:t>During the nine months ended January 26, 2008, we assessed all hedges to be effective and recorded changes of value in other comprehensive income. The fair value of all derivatives is included in prepaid expenses and other in the statement of financial condition.</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26, 2008, we did not have any derivative instruments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254" w:lineRule="exact"/>
        <w:rPr>
          <w:sz w:val="20"/>
          <w:szCs w:val="20"/>
          <w:color w:val="auto"/>
        </w:rPr>
      </w:pPr>
    </w:p>
    <w:p>
      <w:pPr>
        <w:jc w:val="both"/>
        <w:ind w:right="2119" w:firstLine="622"/>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the income and common share amounts used in the calculation of basic and diluted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EPS for the three and nine months ended January 26, 2008 and January 27, 2007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1"/>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the three months ended January 26, 2008:</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DBE5F1"/>
          </w:tcPr>
          <w:p>
            <w:pPr>
              <w:ind w:left="7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39,936</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E5F1"/>
          </w:tcPr>
          <w:p>
            <w:pPr>
              <w:ind w:left="1020"/>
              <w:spacing w:after="0"/>
              <w:rPr>
                <w:sz w:val="20"/>
                <w:szCs w:val="20"/>
                <w:color w:val="auto"/>
              </w:rPr>
            </w:pPr>
            <w:r>
              <w:rPr>
                <w:rFonts w:ascii="Times New Roman" w:cs="Times New Roman" w:eastAsia="Times New Roman" w:hAnsi="Times New Roman"/>
                <w:sz w:val="18"/>
                <w:szCs w:val="18"/>
                <w:color w:val="auto"/>
                <w:w w:val="98"/>
              </w:rPr>
              <w:t>Exercise of outstanding stock options</w:t>
            </w:r>
          </w:p>
        </w:tc>
        <w:tc>
          <w:tcPr>
            <w:tcW w:w="220" w:type="dxa"/>
            <w:vAlign w:val="bottom"/>
            <w:tcBorders>
              <w:bottom w:val="single" w:sz="8" w:color="auto"/>
            </w:tcBorders>
            <w:shd w:val="clear" w:color="auto" w:fill="DBE5F1"/>
          </w:tcPr>
          <w:p>
            <w:pPr>
              <w:spacing w:after="0"/>
              <w:rPr>
                <w:sz w:val="19"/>
                <w:szCs w:val="19"/>
                <w:color w:val="auto"/>
              </w:rPr>
            </w:pPr>
          </w:p>
        </w:tc>
        <w:tc>
          <w:tcPr>
            <w:tcW w:w="110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spacing w:after="0"/>
              <w:rPr>
                <w:sz w:val="19"/>
                <w:szCs w:val="19"/>
                <w:color w:val="auto"/>
              </w:rPr>
            </w:pPr>
          </w:p>
        </w:tc>
        <w:tc>
          <w:tcPr>
            <w:tcW w:w="1280" w:type="dxa"/>
            <w:vAlign w:val="bottom"/>
            <w:tcBorders>
              <w:bottom w:val="single" w:sz="8" w:color="auto"/>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41,266</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For the three months ended January 27, 2007:</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DBE5F1"/>
          </w:tcPr>
          <w:p>
            <w:pPr>
              <w:ind w:left="7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7,027</w:t>
            </w:r>
          </w:p>
        </w:tc>
        <w:tc>
          <w:tcPr>
            <w:tcW w:w="22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39,290</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E5F1"/>
          </w:tcPr>
          <w:p>
            <w:pPr>
              <w:ind w:left="1020"/>
              <w:spacing w:after="0"/>
              <w:rPr>
                <w:sz w:val="20"/>
                <w:szCs w:val="20"/>
                <w:color w:val="auto"/>
              </w:rPr>
            </w:pPr>
            <w:r>
              <w:rPr>
                <w:rFonts w:ascii="Times New Roman" w:cs="Times New Roman" w:eastAsia="Times New Roman" w:hAnsi="Times New Roman"/>
                <w:sz w:val="18"/>
                <w:szCs w:val="18"/>
                <w:color w:val="auto"/>
                <w:w w:val="98"/>
              </w:rPr>
              <w:t>Exercise of outstanding stock options</w:t>
            </w:r>
          </w:p>
        </w:tc>
        <w:tc>
          <w:tcPr>
            <w:tcW w:w="220" w:type="dxa"/>
            <w:vAlign w:val="bottom"/>
            <w:tcBorders>
              <w:bottom w:val="single" w:sz="8" w:color="auto"/>
            </w:tcBorders>
            <w:shd w:val="clear" w:color="auto" w:fill="DBE5F1"/>
          </w:tcPr>
          <w:p>
            <w:pPr>
              <w:spacing w:after="0"/>
              <w:rPr>
                <w:sz w:val="19"/>
                <w:szCs w:val="19"/>
                <w:color w:val="auto"/>
              </w:rPr>
            </w:pPr>
          </w:p>
        </w:tc>
        <w:tc>
          <w:tcPr>
            <w:tcW w:w="110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spacing w:after="0"/>
              <w:rPr>
                <w:sz w:val="19"/>
                <w:szCs w:val="19"/>
                <w:color w:val="auto"/>
              </w:rPr>
            </w:pPr>
          </w:p>
        </w:tc>
        <w:tc>
          <w:tcPr>
            <w:tcW w:w="12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7,027</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41,479</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393"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the nine months ended January 26, 2008:</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DBE5F1"/>
          </w:tcPr>
          <w:p>
            <w:pPr>
              <w:ind w:left="7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60" w:type="dxa"/>
            <w:vAlign w:val="bottom"/>
            <w:shd w:val="clear" w:color="auto" w:fill="DBE5F1"/>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39,832</w:t>
            </w:r>
          </w:p>
        </w:tc>
        <w:tc>
          <w:tcPr>
            <w:tcW w:w="24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29"/>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E5F1"/>
          </w:tcPr>
          <w:p>
            <w:pPr>
              <w:ind w:left="1020"/>
              <w:spacing w:after="0"/>
              <w:rPr>
                <w:sz w:val="20"/>
                <w:szCs w:val="20"/>
                <w:color w:val="auto"/>
              </w:rPr>
            </w:pPr>
            <w:r>
              <w:rPr>
                <w:rFonts w:ascii="Times New Roman" w:cs="Times New Roman" w:eastAsia="Times New Roman" w:hAnsi="Times New Roman"/>
                <w:sz w:val="18"/>
                <w:szCs w:val="18"/>
                <w:color w:val="auto"/>
                <w:w w:val="98"/>
              </w:rPr>
              <w:t>Exercise of outstanding stock options</w:t>
            </w:r>
          </w:p>
        </w:tc>
        <w:tc>
          <w:tcPr>
            <w:tcW w:w="460" w:type="dxa"/>
            <w:vAlign w:val="bottom"/>
            <w:tcBorders>
              <w:bottom w:val="single" w:sz="8" w:color="auto"/>
            </w:tcBorders>
            <w:shd w:val="clear" w:color="auto" w:fill="DBE5F1"/>
          </w:tcPr>
          <w:p>
            <w:pPr>
              <w:spacing w:after="0"/>
              <w:rPr>
                <w:sz w:val="19"/>
                <w:szCs w:val="19"/>
                <w:color w:val="auto"/>
              </w:rPr>
            </w:pPr>
          </w:p>
        </w:tc>
        <w:tc>
          <w:tcPr>
            <w:tcW w:w="86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1,548</w:t>
            </w:r>
          </w:p>
        </w:tc>
        <w:tc>
          <w:tcPr>
            <w:tcW w:w="240" w:type="dxa"/>
            <w:vAlign w:val="bottom"/>
            <w:shd w:val="clear" w:color="auto" w:fill="DBE5F1"/>
          </w:tcPr>
          <w:p>
            <w:pPr>
              <w:spacing w:after="0"/>
              <w:rPr>
                <w:sz w:val="19"/>
                <w:szCs w:val="19"/>
                <w:color w:val="auto"/>
              </w:rPr>
            </w:pPr>
          </w:p>
        </w:tc>
        <w:tc>
          <w:tcPr>
            <w:tcW w:w="64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41,380</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For the nine months ended January 27, 2007:</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DBE5F1"/>
          </w:tcPr>
          <w:p>
            <w:pPr>
              <w:ind w:left="7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60" w:type="dxa"/>
            <w:vAlign w:val="bottom"/>
            <w:shd w:val="clear" w:color="auto" w:fill="DBE5F1"/>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20,906</w:t>
            </w:r>
          </w:p>
        </w:tc>
        <w:tc>
          <w:tcPr>
            <w:tcW w:w="22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39,148</w:t>
            </w:r>
          </w:p>
        </w:tc>
        <w:tc>
          <w:tcPr>
            <w:tcW w:w="24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29"/>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E5F1"/>
          </w:tcPr>
          <w:p>
            <w:pPr>
              <w:ind w:left="1020"/>
              <w:spacing w:after="0"/>
              <w:rPr>
                <w:sz w:val="20"/>
                <w:szCs w:val="20"/>
                <w:color w:val="auto"/>
              </w:rPr>
            </w:pPr>
            <w:r>
              <w:rPr>
                <w:rFonts w:ascii="Times New Roman" w:cs="Times New Roman" w:eastAsia="Times New Roman" w:hAnsi="Times New Roman"/>
                <w:sz w:val="18"/>
                <w:szCs w:val="18"/>
                <w:color w:val="auto"/>
                <w:w w:val="98"/>
              </w:rPr>
              <w:t>Exercise of outstanding stock options</w:t>
            </w:r>
          </w:p>
        </w:tc>
        <w:tc>
          <w:tcPr>
            <w:tcW w:w="460" w:type="dxa"/>
            <w:vAlign w:val="bottom"/>
            <w:tcBorders>
              <w:bottom w:val="single" w:sz="8" w:color="auto"/>
            </w:tcBorders>
            <w:shd w:val="clear" w:color="auto" w:fill="DBE5F1"/>
          </w:tcPr>
          <w:p>
            <w:pPr>
              <w:spacing w:after="0"/>
              <w:rPr>
                <w:sz w:val="19"/>
                <w:szCs w:val="19"/>
                <w:color w:val="auto"/>
              </w:rPr>
            </w:pPr>
          </w:p>
        </w:tc>
        <w:tc>
          <w:tcPr>
            <w:tcW w:w="86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shd w:val="clear" w:color="auto" w:fill="DBE5F1"/>
          </w:tcPr>
          <w:p>
            <w:pPr>
              <w:spacing w:after="0"/>
              <w:rPr>
                <w:sz w:val="19"/>
                <w:szCs w:val="19"/>
                <w:color w:val="auto"/>
              </w:rPr>
            </w:pPr>
          </w:p>
        </w:tc>
        <w:tc>
          <w:tcPr>
            <w:tcW w:w="64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20,906</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41,304</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254" w:lineRule="exact"/>
        <w:rPr>
          <w:sz w:val="20"/>
          <w:szCs w:val="20"/>
          <w:color w:val="auto"/>
        </w:rPr>
      </w:pPr>
    </w:p>
    <w:p>
      <w:pPr>
        <w:ind w:right="2179" w:firstLine="622"/>
        <w:spacing w:after="0" w:line="255" w:lineRule="auto"/>
        <w:rPr>
          <w:sz w:val="20"/>
          <w:szCs w:val="20"/>
          <w:color w:val="auto"/>
        </w:rPr>
      </w:pPr>
      <w:r>
        <w:rPr>
          <w:rFonts w:ascii="Times New Roman" w:cs="Times New Roman" w:eastAsia="Times New Roman" w:hAnsi="Times New Roman"/>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 w:lineRule="exact"/>
        <w:rPr>
          <w:sz w:val="20"/>
          <w:szCs w:val="20"/>
          <w:color w:val="auto"/>
        </w:rPr>
      </w:pPr>
    </w:p>
    <w:p>
      <w:pPr>
        <w:jc w:val="both"/>
        <w:ind w:right="2139" w:firstLine="609"/>
        <w:spacing w:after="0" w:line="255" w:lineRule="auto"/>
        <w:rPr>
          <w:sz w:val="20"/>
          <w:szCs w:val="20"/>
          <w:color w:val="auto"/>
        </w:rPr>
      </w:pPr>
      <w:r>
        <w:rPr>
          <w:rFonts w:ascii="Times New Roman" w:cs="Times New Roman" w:eastAsia="Times New Roman" w:hAnsi="Times New Roman"/>
          <w:sz w:val="18"/>
          <w:szCs w:val="18"/>
          <w:color w:val="auto"/>
        </w:rPr>
        <w:t>Goodwill, net of accumulated amortization, was $4,733 at January 26, 2008 and $4,408 at April 28, 2007. We performed an impairment analysis of goodwill as of October 27, 2007. The result of this analysis indicated that no goodwill impairment existed as of that date.</w:t>
      </w:r>
    </w:p>
    <w:p>
      <w:pPr>
        <w:spacing w:after="0" w:line="219" w:lineRule="exact"/>
        <w:rPr>
          <w:sz w:val="20"/>
          <w:szCs w:val="20"/>
          <w:color w:val="auto"/>
        </w:rPr>
      </w:pPr>
    </w:p>
    <w:p>
      <w:pPr>
        <w:ind w:right="2139" w:firstLine="648"/>
        <w:spacing w:after="0" w:line="293" w:lineRule="auto"/>
        <w:rPr>
          <w:sz w:val="20"/>
          <w:szCs w:val="20"/>
          <w:color w:val="auto"/>
        </w:rPr>
      </w:pPr>
      <w:r>
        <w:rPr>
          <w:rFonts w:ascii="Times New Roman" w:cs="Times New Roman" w:eastAsia="Times New Roman" w:hAnsi="Times New Roman"/>
          <w:sz w:val="16"/>
          <w:szCs w:val="16"/>
          <w:color w:val="auto"/>
        </w:rPr>
        <w:t>As required by SFAS No. 142, intangibles with finite lives continue to be amortized. Included in intangible assets are non-compete agreements and a patent license. The net value of intangible assets is included as a component of intangible and other assets in the accompanying consolidated balance sheets. Estimated amortization expense based on intangibles as of January 26, 2008 is $315 for each of fiscal 2008, 2009 and 2010, $284 for 2011, $229 for 2012 and $894 thereafter. The following table sets forth the gross carrying amount and accumulated amortization of intangible assets by major intangible class as of January 26, 2008:</w:t>
      </w:r>
    </w:p>
    <w:p>
      <w:pPr>
        <w:spacing w:after="0" w:line="192"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Carrying</w:t>
            </w:r>
          </w:p>
        </w:tc>
        <w:tc>
          <w:tcPr>
            <w:tcW w:w="26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Amount</w:t>
            </w:r>
          </w:p>
        </w:tc>
        <w:tc>
          <w:tcPr>
            <w:tcW w:w="26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0"/>
                <w:szCs w:val="20"/>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Net Value</w:t>
            </w:r>
          </w:p>
        </w:tc>
      </w:tr>
      <w:tr>
        <w:trPr>
          <w:trHeight w:val="211"/>
        </w:trPr>
        <w:tc>
          <w:tcPr>
            <w:tcW w:w="2060" w:type="dxa"/>
            <w:vAlign w:val="bottom"/>
            <w:tcBorders>
              <w:top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60" w:type="dxa"/>
            <w:vAlign w:val="bottom"/>
            <w:tcBorders>
              <w:top w:val="single" w:sz="8" w:color="DBE5F1"/>
            </w:tcBorders>
            <w:shd w:val="clear" w:color="auto" w:fill="DBE5F1"/>
          </w:tcPr>
          <w:p>
            <w:pPr>
              <w:spacing w:after="0"/>
              <w:rPr>
                <w:sz w:val="18"/>
                <w:szCs w:val="18"/>
                <w:color w:val="auto"/>
              </w:rPr>
            </w:pPr>
          </w:p>
        </w:tc>
        <w:tc>
          <w:tcPr>
            <w:tcW w:w="26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top w:val="single" w:sz="8" w:color="DBE5F1"/>
            </w:tcBorders>
            <w:shd w:val="clear" w:color="auto" w:fill="DBE5F1"/>
          </w:tcPr>
          <w:p>
            <w:pPr>
              <w:spacing w:after="0"/>
              <w:rPr>
                <w:sz w:val="18"/>
                <w:szCs w:val="18"/>
                <w:color w:val="auto"/>
              </w:rPr>
            </w:pPr>
          </w:p>
        </w:tc>
        <w:tc>
          <w:tcPr>
            <w:tcW w:w="340" w:type="dxa"/>
            <w:vAlign w:val="bottom"/>
            <w:tcBorders>
              <w:top w:val="single" w:sz="8" w:color="auto"/>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20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Registered trademarks</w:t>
            </w:r>
          </w:p>
        </w:tc>
        <w:tc>
          <w:tcPr>
            <w:tcW w:w="240" w:type="dxa"/>
            <w:vAlign w:val="bottom"/>
            <w:shd w:val="clear" w:color="auto" w:fill="DBE5F1"/>
          </w:tcPr>
          <w:p>
            <w:pPr>
              <w:spacing w:after="0"/>
              <w:rPr>
                <w:sz w:val="20"/>
                <w:szCs w:val="20"/>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3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20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2060" w:type="dxa"/>
            <w:vAlign w:val="bottom"/>
            <w:tcBorders>
              <w:bottom w:val="single" w:sz="8" w:color="DBE5F1"/>
            </w:tcBorders>
            <w:shd w:val="clear" w:color="auto" w:fill="DBE5F1"/>
          </w:tcPr>
          <w:p>
            <w:pPr>
              <w:spacing w:after="0"/>
              <w:rPr>
                <w:sz w:val="18"/>
                <w:szCs w:val="18"/>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6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Borders>
              <w:bottom w:val="single" w:sz="8" w:color="DBE5F1"/>
            </w:tcBorders>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2,650</w:t>
            </w:r>
          </w:p>
        </w:tc>
      </w:tr>
      <w:tr>
        <w:trPr>
          <w:trHeight w:val="20"/>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9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360" w:type="dxa"/>
            <w:vAlign w:val="bottom"/>
          </w:tcPr>
          <w:p>
            <w:pPr>
              <w:spacing w:after="0"/>
              <w:rPr>
                <w:sz w:val="19"/>
                <w:szCs w:val="19"/>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1"/>
        </w:trPr>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11"/>
        </w:trPr>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23,497</w:t>
            </w:r>
          </w:p>
        </w:tc>
        <w:tc>
          <w:tcPr>
            <w:tcW w:w="340" w:type="dxa"/>
            <w:vAlign w:val="bottom"/>
            <w:shd w:val="clear" w:color="auto" w:fill="DBE5F1"/>
          </w:tcPr>
          <w:p>
            <w:pPr>
              <w:spacing w:after="0"/>
              <w:rPr>
                <w:sz w:val="19"/>
                <w:szCs w:val="19"/>
                <w:color w:val="auto"/>
              </w:rPr>
            </w:pPr>
          </w:p>
        </w:tc>
        <w:tc>
          <w:tcPr>
            <w:tcW w:w="36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29"/>
        </w:trPr>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8,680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r>
      <w:tr>
        <w:trPr>
          <w:trHeight w:val="230"/>
        </w:trPr>
        <w:tc>
          <w:tcPr>
            <w:tcW w:w="20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DBE5F1"/>
          </w:tcPr>
          <w:p>
            <w:pPr>
              <w:spacing w:after="0"/>
              <w:rPr>
                <w:sz w:val="19"/>
                <w:szCs w:val="19"/>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20,128</w:t>
            </w:r>
          </w:p>
        </w:tc>
        <w:tc>
          <w:tcPr>
            <w:tcW w:w="340" w:type="dxa"/>
            <w:vAlign w:val="bottom"/>
            <w:shd w:val="clear" w:color="auto" w:fill="DBE5F1"/>
          </w:tcPr>
          <w:p>
            <w:pPr>
              <w:spacing w:after="0"/>
              <w:rPr>
                <w:sz w:val="19"/>
                <w:szCs w:val="19"/>
                <w:color w:val="auto"/>
              </w:rPr>
            </w:pPr>
          </w:p>
        </w:tc>
        <w:tc>
          <w:tcPr>
            <w:tcW w:w="360" w:type="dxa"/>
            <w:vAlign w:val="bottom"/>
            <w:tcBorders>
              <w:bottom w:val="single" w:sz="8" w:color="auto"/>
            </w:tcBorders>
            <w:shd w:val="clear" w:color="auto" w:fill="DBE5F1"/>
          </w:tcPr>
          <w:p>
            <w:pPr>
              <w:spacing w:after="0"/>
              <w:rPr>
                <w:sz w:val="19"/>
                <w:szCs w:val="19"/>
                <w:color w:val="auto"/>
              </w:rPr>
            </w:pPr>
          </w:p>
        </w:tc>
        <w:tc>
          <w:tcPr>
            <w:tcW w:w="13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10"/>
        </w:trPr>
        <w:tc>
          <w:tcPr>
            <w:tcW w:w="202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52,305</w:t>
            </w:r>
          </w:p>
        </w:tc>
        <w:tc>
          <w:tcPr>
            <w:tcW w:w="340" w:type="dxa"/>
            <w:vAlign w:val="bottom"/>
          </w:tcPr>
          <w:p>
            <w:pPr>
              <w:spacing w:after="0"/>
              <w:rPr>
                <w:sz w:val="18"/>
                <w:szCs w:val="18"/>
                <w:color w:val="auto"/>
              </w:rPr>
            </w:pP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r>
      <w:tr>
        <w:trPr>
          <w:trHeight w:val="20"/>
        </w:trPr>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Disclosure</w:t>
      </w:r>
    </w:p>
    <w:p>
      <w:pPr>
        <w:spacing w:after="0" w:line="254" w:lineRule="exact"/>
        <w:rPr>
          <w:sz w:val="20"/>
          <w:szCs w:val="20"/>
          <w:color w:val="auto"/>
        </w:rPr>
      </w:pPr>
    </w:p>
    <w:p>
      <w:pPr>
        <w:ind w:right="2159" w:firstLine="648"/>
        <w:spacing w:after="0" w:line="291" w:lineRule="auto"/>
        <w:rPr>
          <w:sz w:val="20"/>
          <w:szCs w:val="20"/>
          <w:color w:val="auto"/>
        </w:rPr>
      </w:pPr>
      <w:r>
        <w:rPr>
          <w:rFonts w:ascii="Times New Roman" w:cs="Times New Roman" w:eastAsia="Times New Roman" w:hAnsi="Times New Roman"/>
          <w:sz w:val="16"/>
          <w:szCs w:val="16"/>
          <w:color w:val="auto"/>
        </w:rPr>
        <w:t>At the beginning of fiscal year 2008, we reorganized our business into five business units, and during the second quarter of fiscal year 2008, we implemented limited discrete financial reporting about these business units to the chief operating decision maker, which required us to change our segment disclosures under SFAS 131, “Disclosures about Segments of an Enterprise and Related Information.” We have five business units which meet the definition of reportable segments under SFAS No. 131: the Commercial segment, the Live Events segment, the Schools and Theatres segment, the Transportation segment and the International segment. The comparable prior period segment information has been retrospectively adjusted to comply with our new reportable segments.</w:t>
      </w:r>
    </w:p>
    <w:p>
      <w:pPr>
        <w:spacing w:after="0" w:line="194" w:lineRule="exact"/>
        <w:rPr>
          <w:sz w:val="20"/>
          <w:szCs w:val="20"/>
          <w:color w:val="auto"/>
        </w:rPr>
      </w:pPr>
    </w:p>
    <w:p>
      <w:pPr>
        <w:ind w:right="2179" w:firstLine="648"/>
        <w:spacing w:after="0" w:line="254" w:lineRule="auto"/>
        <w:rPr>
          <w:sz w:val="20"/>
          <w:szCs w:val="20"/>
          <w:color w:val="auto"/>
        </w:rPr>
      </w:pPr>
      <w:r>
        <w:rPr>
          <w:rFonts w:ascii="Times New Roman" w:cs="Times New Roman" w:eastAsia="Times New Roman" w:hAnsi="Times New Roman"/>
          <w:sz w:val="18"/>
          <w:szCs w:val="18"/>
          <w:color w:val="auto"/>
        </w:rPr>
        <w:t>Our Commercial segment consists of primarily sales of our ProStar, Galaxy and Valo product lines to resellers, primarily sign companies, outdoor advertisers, national retailers and quick-serve restaurants, casinos and petroleum retailers. Our Live Events segments consists of primarily sales of integrated scoring and ProStar and ProAd video systems to college and professional sports facilities and mobile ProTour displays to video</w:t>
      </w:r>
    </w:p>
    <w:p>
      <w:pPr>
        <w:ind w:left="3700"/>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209" w:gutter="0" w:footer="0" w:header="0"/>
        </w:sectPr>
      </w:pPr>
    </w:p>
    <w:bookmarkStart w:id="10" w:name="page11"/>
    <w:bookmarkEnd w:id="10"/>
    <w:p>
      <w:pPr>
        <w:ind w:right="2259"/>
        <w:spacing w:after="0" w:line="293" w:lineRule="auto"/>
        <w:rPr>
          <w:sz w:val="20"/>
          <w:szCs w:val="20"/>
          <w:color w:val="auto"/>
        </w:rPr>
      </w:pPr>
      <w:r>
        <w:rPr>
          <w:rFonts w:ascii="Times New Roman" w:cs="Times New Roman" w:eastAsia="Times New Roman" w:hAnsi="Times New Roman"/>
          <w:sz w:val="16"/>
          <w:szCs w:val="16"/>
          <w:color w:val="auto"/>
        </w:rPr>
        <w:t>rental organizations and other live events type venues. Our Schools and Theatres segment primarily consists of sales of scoring systems, Galaxy and ProStar display systems to primary and secondary education facilities and sales of our Vortek automated rigging systems for theatre applications. Our Transportation segment primarily consists of sales of our Vanguard product line as well as Prostar and Galaxy product lines to governmental transportation departments, airlines and other transportation related customers. Finally, our International segment primarily consists of sales of all product lines throughout the world, except the United States and Canada.</w:t>
      </w:r>
    </w:p>
    <w:p>
      <w:pPr>
        <w:spacing w:after="0" w:line="192" w:lineRule="exact"/>
        <w:rPr>
          <w:sz w:val="20"/>
          <w:szCs w:val="20"/>
          <w:color w:val="auto"/>
        </w:rPr>
      </w:pPr>
    </w:p>
    <w:p>
      <w:pPr>
        <w:jc w:val="both"/>
        <w:ind w:right="2319" w:firstLine="622"/>
        <w:spacing w:after="0" w:line="262" w:lineRule="auto"/>
        <w:rPr>
          <w:sz w:val="20"/>
          <w:szCs w:val="20"/>
          <w:color w:val="auto"/>
        </w:rPr>
      </w:pPr>
      <w:r>
        <w:rPr>
          <w:rFonts w:ascii="Times New Roman" w:cs="Times New Roman" w:eastAsia="Times New Roman" w:hAnsi="Times New Roman"/>
          <w:sz w:val="18"/>
          <w:szCs w:val="18"/>
          <w:color w:val="auto"/>
        </w:rPr>
        <w:t>Business unit level reports present results through operating income, which is comprised of gross profit less selling, general and administrative and product development costs. Assets are not allocated to the segments. Depreciation and amortization are allocated to each segment based on various financial measures.</w:t>
      </w:r>
    </w:p>
    <w:p>
      <w:pPr>
        <w:spacing w:after="0" w:line="213" w:lineRule="exact"/>
        <w:rPr>
          <w:sz w:val="20"/>
          <w:szCs w:val="20"/>
          <w:color w:val="auto"/>
        </w:rPr>
      </w:pPr>
    </w:p>
    <w:p>
      <w:pPr>
        <w:ind w:right="2159" w:firstLine="648"/>
        <w:spacing w:after="0" w:line="275" w:lineRule="auto"/>
        <w:rPr>
          <w:sz w:val="20"/>
          <w:szCs w:val="20"/>
          <w:color w:val="auto"/>
        </w:rPr>
      </w:pPr>
      <w:r>
        <w:rPr>
          <w:rFonts w:ascii="Times New Roman" w:cs="Times New Roman" w:eastAsia="Times New Roman" w:hAnsi="Times New Roman"/>
          <w:sz w:val="18"/>
          <w:szCs w:val="18"/>
          <w:color w:val="auto"/>
        </w:rPr>
        <w:t>We do not maintain information on sales by products and, therefore, disclosure of such information is not practical.</w:t>
      </w:r>
    </w:p>
    <w:p>
      <w:pPr>
        <w:spacing w:after="0" w:line="201" w:lineRule="exact"/>
        <w:rPr>
          <w:sz w:val="20"/>
          <w:szCs w:val="20"/>
          <w:color w:val="auto"/>
        </w:rPr>
      </w:pPr>
    </w:p>
    <w:p>
      <w:pPr>
        <w:ind w:right="2599" w:firstLine="622"/>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functional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4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40" w:type="dxa"/>
            <w:vAlign w:val="bottom"/>
          </w:tcPr>
          <w:p>
            <w:pPr>
              <w:spacing w:after="0"/>
              <w:rPr>
                <w:sz w:val="18"/>
                <w:szCs w:val="18"/>
                <w:color w:val="auto"/>
              </w:rPr>
            </w:pPr>
          </w:p>
        </w:tc>
        <w:tc>
          <w:tcPr>
            <w:tcW w:w="14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6"/>
              </w:rPr>
              <w:t>January 27,</w:t>
            </w:r>
          </w:p>
        </w:tc>
        <w:tc>
          <w:tcPr>
            <w:tcW w:w="0" w:type="dxa"/>
            <w:vAlign w:val="bottom"/>
          </w:tcPr>
          <w:p>
            <w:pPr>
              <w:spacing w:after="0"/>
              <w:rPr>
                <w:sz w:val="1"/>
                <w:szCs w:val="1"/>
                <w:color w:val="auto"/>
              </w:rPr>
            </w:pPr>
          </w:p>
        </w:tc>
      </w:tr>
      <w:tr>
        <w:trPr>
          <w:trHeight w:val="231"/>
        </w:trPr>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38,173</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134,918</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96,626</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Live Events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127,922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138,171</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Schools &amp; Theatres</w:t>
            </w:r>
          </w:p>
        </w:tc>
        <w:tc>
          <w:tcPr>
            <w:tcW w:w="300" w:type="dxa"/>
            <w:vAlign w:val="bottom"/>
            <w:shd w:val="clear" w:color="auto" w:fill="DBE5F1"/>
          </w:tcPr>
          <w:p>
            <w:pPr>
              <w:spacing w:after="0"/>
              <w:rPr>
                <w:sz w:val="20"/>
                <w:szCs w:val="20"/>
                <w:color w:val="auto"/>
              </w:rPr>
            </w:pP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12,157</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49,104</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38,783</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18,821</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6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10,604</w:t>
            </w:r>
          </w:p>
        </w:tc>
        <w:tc>
          <w:tcPr>
            <w:tcW w:w="24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31,737</w:t>
            </w:r>
          </w:p>
        </w:tc>
        <w:tc>
          <w:tcPr>
            <w:tcW w:w="2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30,013</w:t>
            </w:r>
          </w:p>
        </w:tc>
        <w:tc>
          <w:tcPr>
            <w:tcW w:w="0" w:type="dxa"/>
            <w:vAlign w:val="bottom"/>
          </w:tcPr>
          <w:p>
            <w:pPr>
              <w:spacing w:after="0"/>
              <w:rPr>
                <w:sz w:val="1"/>
                <w:szCs w:val="1"/>
                <w:color w:val="auto"/>
              </w:rPr>
            </w:pPr>
          </w:p>
        </w:tc>
      </w:tr>
      <w:tr>
        <w:trPr>
          <w:trHeight w:val="210"/>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106,731</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370,560</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322,414</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4,784</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20,272</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10,531</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Live Events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12,678</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Schools &amp; Theatres</w:t>
            </w:r>
          </w:p>
        </w:tc>
        <w:tc>
          <w:tcPr>
            <w:tcW w:w="300" w:type="dxa"/>
            <w:vAlign w:val="bottom"/>
            <w:shd w:val="clear" w:color="auto" w:fill="DBE5F1"/>
          </w:tcPr>
          <w:p>
            <w:pPr>
              <w:spacing w:after="0"/>
              <w:rPr>
                <w:sz w:val="20"/>
                <w:szCs w:val="20"/>
                <w:color w:val="auto"/>
              </w:rPr>
            </w:pP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6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1,585</w:t>
            </w:r>
          </w:p>
        </w:tc>
        <w:tc>
          <w:tcPr>
            <w:tcW w:w="24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2,141</w:t>
            </w:r>
          </w:p>
        </w:tc>
        <w:tc>
          <w:tcPr>
            <w:tcW w:w="2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182"/>
        </w:trPr>
        <w:tc>
          <w:tcPr>
            <w:tcW w:w="2960" w:type="dxa"/>
            <w:vAlign w:val="bottom"/>
          </w:tcPr>
          <w:p>
            <w:pPr>
              <w:ind w:left="800"/>
              <w:spacing w:after="0" w:line="182" w:lineRule="exact"/>
              <w:rPr>
                <w:sz w:val="20"/>
                <w:szCs w:val="20"/>
                <w:color w:val="auto"/>
              </w:rPr>
            </w:pPr>
            <w:r>
              <w:rPr>
                <w:rFonts w:ascii="Times New Roman" w:cs="Times New Roman" w:eastAsia="Times New Roman" w:hAnsi="Times New Roman"/>
                <w:sz w:val="18"/>
                <w:szCs w:val="18"/>
                <w:color w:val="auto"/>
              </w:rPr>
              <w:t>Segment Operating</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30,799</w:t>
            </w:r>
          </w:p>
        </w:tc>
        <w:tc>
          <w:tcPr>
            <w:tcW w:w="0" w:type="dxa"/>
            <w:vAlign w:val="bottom"/>
          </w:tcPr>
          <w:p>
            <w:pPr>
              <w:spacing w:after="0"/>
              <w:rPr>
                <w:sz w:val="1"/>
                <w:szCs w:val="1"/>
                <w:color w:val="auto"/>
              </w:rPr>
            </w:pPr>
          </w:p>
        </w:tc>
      </w:tr>
      <w:tr>
        <w:trPr>
          <w:trHeight w:val="231"/>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DBE5F1"/>
          </w:tcPr>
          <w:p>
            <w:pPr>
              <w:spacing w:after="0"/>
              <w:rPr>
                <w:sz w:val="20"/>
                <w:szCs w:val="20"/>
                <w:color w:val="auto"/>
              </w:rPr>
            </w:pP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438"/>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32,147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31,341</w:t>
            </w: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11,643</w:t>
            </w:r>
          </w:p>
        </w:tc>
        <w:tc>
          <w:tcPr>
            <w:tcW w:w="2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0"/>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60" w:type="dxa"/>
            <w:vAlign w:val="bottom"/>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7,027</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20,504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20,906</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4,862</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Live Events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Schools &amp; Theatres</w:t>
            </w:r>
          </w:p>
        </w:tc>
        <w:tc>
          <w:tcPr>
            <w:tcW w:w="300" w:type="dxa"/>
            <w:vAlign w:val="bottom"/>
            <w:shd w:val="clear" w:color="auto" w:fill="DBE5F1"/>
          </w:tcPr>
          <w:p>
            <w:pPr>
              <w:spacing w:after="0"/>
              <w:rPr>
                <w:sz w:val="20"/>
                <w:szCs w:val="20"/>
                <w:color w:val="auto"/>
              </w:rPr>
            </w:pP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2,576</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29"/>
        </w:trPr>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2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15,626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single geographic area comprises a material amount of net sales or long-lived assets other than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The following table presents information about us in the United States and elsewhere:</w:t>
      </w:r>
    </w:p>
    <w:p>
      <w:pPr>
        <w:spacing w:after="0" w:line="27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34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05"/>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 for three months ended:</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44"/>
        </w:trPr>
        <w:tc>
          <w:tcPr>
            <w:tcW w:w="2900" w:type="dxa"/>
            <w:vAlign w:val="bottom"/>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January 26, 2008</w:t>
            </w: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106,104</w:t>
            </w:r>
          </w:p>
        </w:tc>
        <w:tc>
          <w:tcPr>
            <w:tcW w:w="260" w:type="dxa"/>
            <w:vAlign w:val="bottom"/>
            <w:shd w:val="clear" w:color="auto" w:fill="DBE5F1"/>
          </w:tcPr>
          <w:p>
            <w:pPr>
              <w:spacing w:after="0"/>
              <w:rPr>
                <w:sz w:val="21"/>
                <w:szCs w:val="21"/>
                <w:color w:val="auto"/>
              </w:rPr>
            </w:pPr>
          </w:p>
        </w:tc>
        <w:tc>
          <w:tcPr>
            <w:tcW w:w="32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280" w:type="dxa"/>
            <w:vAlign w:val="bottom"/>
            <w:shd w:val="clear" w:color="auto" w:fill="DBE5F1"/>
          </w:tcPr>
          <w:p>
            <w:pPr>
              <w:spacing w:after="0"/>
              <w:rPr>
                <w:sz w:val="21"/>
                <w:szCs w:val="21"/>
                <w:color w:val="auto"/>
              </w:rPr>
            </w:pPr>
          </w:p>
        </w:tc>
        <w:tc>
          <w:tcPr>
            <w:tcW w:w="34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118,201</w:t>
            </w:r>
          </w:p>
        </w:tc>
      </w:tr>
    </w:tbl>
    <w:p>
      <w:pPr>
        <w:sectPr>
          <w:pgSz w:w="11900" w:h="16838" w:orient="portrait"/>
          <w:cols w:equalWidth="0" w:num="1">
            <w:col w:w="10219"/>
          </w:cols>
          <w:pgMar w:left="240" w:top="368" w:right="1440" w:bottom="0" w:gutter="0" w:footer="0" w:header="0"/>
        </w:sectPr>
      </w:pPr>
    </w:p>
    <w:bookmarkStart w:id="11" w:name="page12"/>
    <w:bookmarkEnd w:id="11"/>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January 27, 2007</w:t>
            </w:r>
          </w:p>
        </w:tc>
        <w:tc>
          <w:tcPr>
            <w:tcW w:w="84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88,819</w:t>
            </w:r>
          </w:p>
        </w:tc>
        <w:tc>
          <w:tcPr>
            <w:tcW w:w="6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17,912</w:t>
            </w:r>
          </w:p>
        </w:tc>
        <w:tc>
          <w:tcPr>
            <w:tcW w:w="6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106,731</w:t>
            </w:r>
          </w:p>
        </w:tc>
      </w:tr>
      <w:tr>
        <w:trPr>
          <w:trHeight w:val="514"/>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 for nine months ended:</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4"/>
        </w:trPr>
        <w:tc>
          <w:tcPr>
            <w:tcW w:w="2660" w:type="dxa"/>
            <w:vAlign w:val="bottom"/>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January 26, 2008</w:t>
            </w:r>
          </w:p>
        </w:tc>
        <w:tc>
          <w:tcPr>
            <w:tcW w:w="840" w:type="dxa"/>
            <w:vAlign w:val="bottom"/>
            <w:shd w:val="clear" w:color="auto" w:fill="DBE5F1"/>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329,307</w:t>
            </w:r>
          </w:p>
        </w:tc>
        <w:tc>
          <w:tcPr>
            <w:tcW w:w="640" w:type="dxa"/>
            <w:vAlign w:val="bottom"/>
            <w:shd w:val="clear" w:color="auto" w:fill="DBE5F1"/>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41,253</w:t>
            </w:r>
          </w:p>
        </w:tc>
        <w:tc>
          <w:tcPr>
            <w:tcW w:w="600" w:type="dxa"/>
            <w:vAlign w:val="bottom"/>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370,560</w:t>
            </w:r>
          </w:p>
        </w:tc>
      </w:tr>
      <w:tr>
        <w:trPr>
          <w:trHeight w:val="241"/>
        </w:trPr>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January 27, 2007</w:t>
            </w:r>
          </w:p>
        </w:tc>
        <w:tc>
          <w:tcPr>
            <w:tcW w:w="84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280,759</w:t>
            </w:r>
          </w:p>
        </w:tc>
        <w:tc>
          <w:tcPr>
            <w:tcW w:w="6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41,655</w:t>
            </w:r>
          </w:p>
        </w:tc>
        <w:tc>
          <w:tcPr>
            <w:tcW w:w="6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322,414</w:t>
            </w:r>
          </w:p>
        </w:tc>
      </w:tr>
      <w:tr>
        <w:trPr>
          <w:trHeight w:val="487"/>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Long-lived assets at: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4"/>
        </w:trPr>
        <w:tc>
          <w:tcPr>
            <w:tcW w:w="2660" w:type="dxa"/>
            <w:vAlign w:val="bottom"/>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January 26, 2008</w:t>
            </w:r>
          </w:p>
        </w:tc>
        <w:tc>
          <w:tcPr>
            <w:tcW w:w="840" w:type="dxa"/>
            <w:vAlign w:val="bottom"/>
            <w:shd w:val="clear" w:color="auto" w:fill="DBE5F1"/>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96,526</w:t>
            </w:r>
          </w:p>
        </w:tc>
        <w:tc>
          <w:tcPr>
            <w:tcW w:w="640" w:type="dxa"/>
            <w:vAlign w:val="bottom"/>
            <w:shd w:val="clear" w:color="auto" w:fill="DBE5F1"/>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1,868</w:t>
            </w:r>
          </w:p>
        </w:tc>
        <w:tc>
          <w:tcPr>
            <w:tcW w:w="600" w:type="dxa"/>
            <w:vAlign w:val="bottom"/>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98,722</w:t>
            </w:r>
          </w:p>
        </w:tc>
      </w:tr>
      <w:tr>
        <w:trPr>
          <w:trHeight w:val="241"/>
        </w:trPr>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April 28, 2007</w:t>
            </w:r>
          </w:p>
        </w:tc>
        <w:tc>
          <w:tcPr>
            <w:tcW w:w="84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84,746</w:t>
            </w:r>
          </w:p>
        </w:tc>
        <w:tc>
          <w:tcPr>
            <w:tcW w:w="6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1,380</w:t>
            </w:r>
          </w:p>
        </w:tc>
        <w:tc>
          <w:tcPr>
            <w:tcW w:w="6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86,126</w:t>
            </w:r>
          </w:p>
        </w:tc>
      </w:tr>
      <w:tr>
        <w:trPr>
          <w:trHeight w:val="702"/>
        </w:trPr>
        <w:tc>
          <w:tcPr>
            <w:tcW w:w="2660" w:type="dxa"/>
            <w:vAlign w:val="bottom"/>
          </w:tcPr>
          <w:p>
            <w:pPr>
              <w:spacing w:after="0"/>
              <w:rPr>
                <w:sz w:val="24"/>
                <w:szCs w:val="24"/>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- 14 -</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Acquisitions</w:t>
      </w:r>
    </w:p>
    <w:p>
      <w:pPr>
        <w:spacing w:after="0" w:line="254" w:lineRule="exact"/>
        <w:rPr>
          <w:sz w:val="20"/>
          <w:szCs w:val="20"/>
          <w:color w:val="auto"/>
        </w:rPr>
      </w:pPr>
    </w:p>
    <w:p>
      <w:pPr>
        <w:ind w:right="2939" w:firstLine="648"/>
        <w:spacing w:after="0" w:line="310" w:lineRule="auto"/>
        <w:rPr>
          <w:sz w:val="20"/>
          <w:szCs w:val="20"/>
          <w:color w:val="auto"/>
        </w:rPr>
      </w:pPr>
      <w:r>
        <w:rPr>
          <w:rFonts w:ascii="Times New Roman" w:cs="Times New Roman" w:eastAsia="Times New Roman" w:hAnsi="Times New Roman"/>
          <w:sz w:val="16"/>
          <w:szCs w:val="16"/>
          <w:color w:val="auto"/>
        </w:rPr>
        <w:t>During the second quarter of fiscal year 2007, we acquired a 50% interest in FuelCast Media International, the largest pump-top display network in the nation. We paid approximately $4,000 for the investment, and we account for this transaction under the equity method of accounting.</w:t>
      </w:r>
    </w:p>
    <w:p>
      <w:pPr>
        <w:spacing w:after="0" w:line="178" w:lineRule="exact"/>
        <w:rPr>
          <w:sz w:val="20"/>
          <w:szCs w:val="20"/>
          <w:color w:val="auto"/>
        </w:rPr>
      </w:pPr>
    </w:p>
    <w:p>
      <w:pPr>
        <w:ind w:right="2139" w:firstLine="622"/>
        <w:spacing w:after="0" w:line="252" w:lineRule="auto"/>
        <w:rPr>
          <w:sz w:val="20"/>
          <w:szCs w:val="20"/>
          <w:color w:val="auto"/>
        </w:rPr>
      </w:pPr>
      <w:r>
        <w:rPr>
          <w:rFonts w:ascii="Times New Roman" w:cs="Times New Roman" w:eastAsia="Times New Roman" w:hAnsi="Times New Roman"/>
          <w:sz w:val="18"/>
          <w:szCs w:val="18"/>
          <w:color w:val="auto"/>
        </w:rPr>
        <w:t>During the second quarter of fiscal year 2007, we acquired certain operating assets and liabilities of Hoffend &amp; Sons, Inc. The business operates under the name Vortek, and is part of our Schools and Theatres business unit. Results of the operations of Vortek have been included in the consolidated financial statements since the date of acquisition. We have not made pro forma disclosures, as the results of operations are not material to our consolidated financial statements. Hoffend was the world’s leading supplier of patented hoist systems for theatre and sporting facilities and has been a supplier of ours in connection with center hung arena systems. The aggregate purchase price, excluding contingent consideration, was approximately $4,270 and includes $500 due one year from the closing date subject to offset for claims of indemnification. As of January 26, 2008, there were outstanding claims for which indemnifications are provided by the seller and which offset all currently earned contingent payments. Contingent consideration of approximately $1,500 is due over the three calendar years following the closing date to the extent the gross profit on net sales of hoist products exceed predefined thresholds. In addition, contingent payments are due at the end of the fifth calendar year following closing to the extent gross profit on net sales of hoist products exceeds $50,000. We do not anticipate there being any future contingent payments based on expected performance of this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279" w:lineRule="exact"/>
        <w:rPr>
          <w:sz w:val="20"/>
          <w:szCs w:val="20"/>
          <w:color w:val="auto"/>
        </w:rPr>
      </w:pPr>
    </w:p>
    <w:p>
      <w:pPr>
        <w:ind w:right="2139" w:firstLine="648"/>
        <w:spacing w:after="0" w:line="302" w:lineRule="auto"/>
        <w:rPr>
          <w:sz w:val="20"/>
          <w:szCs w:val="20"/>
          <w:color w:val="auto"/>
        </w:rPr>
      </w:pPr>
      <w:r>
        <w:rPr>
          <w:rFonts w:ascii="Times New Roman" w:cs="Times New Roman" w:eastAsia="Times New Roman" w:hAnsi="Times New Roman"/>
          <w:sz w:val="16"/>
          <w:szCs w:val="16"/>
          <w:i w:val="1"/>
          <w:iCs w:val="1"/>
          <w:u w:val="single" w:color="auto"/>
          <w:color w:val="auto"/>
        </w:rPr>
        <w:t>Description of Plans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August 15, 2007, our shareholders approved, making it effective, the 2007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Incentive Plan (2007 Plan), which authorizes grants of incentive and non-qualified stock options, restricted stock awards, restricted stock units and deferred stock to our employees, non-employee directors and various consultants as compensation for services rendered. There were a total of 4,000 shares authorized under the 2007 Plan.</w:t>
      </w:r>
    </w:p>
    <w:p>
      <w:pPr>
        <w:spacing w:after="0" w:line="183" w:lineRule="exact"/>
        <w:rPr>
          <w:sz w:val="20"/>
          <w:szCs w:val="20"/>
          <w:color w:val="auto"/>
        </w:rPr>
      </w:pPr>
    </w:p>
    <w:p>
      <w:pPr>
        <w:ind w:right="2179" w:firstLine="648"/>
        <w:spacing w:after="0" w:line="254" w:lineRule="auto"/>
        <w:rPr>
          <w:sz w:val="20"/>
          <w:szCs w:val="20"/>
          <w:color w:val="auto"/>
        </w:rPr>
      </w:pPr>
      <w:r>
        <w:rPr>
          <w:rFonts w:ascii="Times New Roman" w:cs="Times New Roman" w:eastAsia="Times New Roman" w:hAnsi="Times New Roman"/>
          <w:sz w:val="18"/>
          <w:szCs w:val="18"/>
          <w:color w:val="auto"/>
        </w:rPr>
        <w:t>Options granted under the plan contain terms as determined by the Compensation Committee of our Board of Directors, except that the 2007 exercise price of all stock options, whether incentive stock options or nonqualified options, may not be less than 100% (or 110% with respect to incentive stock options granted to 10% shareholders) of the fair market value of our common stock as of the date of grant. In addition, unless the Compensation Committee determines otherwise, an option will become exercisable in equal installments of 20% of the shares subject to the option on each anniversary of the grant date, beginning with the first anniversary of the grant date, until fully exercisable, and an option will have a ten-year term (or no more than a five-year term with respect to incentive stock options granted to 10% shareholders).</w:t>
      </w:r>
    </w:p>
    <w:p>
      <w:pPr>
        <w:spacing w:after="0" w:line="219" w:lineRule="exact"/>
        <w:rPr>
          <w:sz w:val="20"/>
          <w:szCs w:val="20"/>
          <w:color w:val="auto"/>
        </w:rPr>
      </w:pPr>
    </w:p>
    <w:p>
      <w:pPr>
        <w:ind w:right="2159" w:firstLine="648"/>
        <w:spacing w:after="0" w:line="258" w:lineRule="auto"/>
        <w:rPr>
          <w:sz w:val="20"/>
          <w:szCs w:val="20"/>
          <w:color w:val="auto"/>
        </w:rPr>
      </w:pPr>
      <w:r>
        <w:rPr>
          <w:rFonts w:ascii="Times New Roman" w:cs="Times New Roman" w:eastAsia="Times New Roman" w:hAnsi="Times New Roman"/>
          <w:sz w:val="18"/>
          <w:szCs w:val="18"/>
          <w:color w:val="auto"/>
        </w:rPr>
        <w:t>With respect to restricted stock, the 2007 Plan provides that recipients may be conferred all of the rights of a shareholder with respect to such stock unless an award agreement provides otherwise. Restricted stock will be forfeited to us if the recipient ceases to be employed by us or to provide services to us. Restricted stock may be subject to vesting over time or upon the achievement of performance goals.</w:t>
      </w:r>
    </w:p>
    <w:p>
      <w:pPr>
        <w:spacing w:after="0" w:line="217" w:lineRule="exact"/>
        <w:rPr>
          <w:sz w:val="20"/>
          <w:szCs w:val="20"/>
          <w:color w:val="auto"/>
        </w:rPr>
      </w:pPr>
    </w:p>
    <w:p>
      <w:pPr>
        <w:ind w:right="2119" w:firstLine="648"/>
        <w:spacing w:after="0" w:line="258" w:lineRule="auto"/>
        <w:rPr>
          <w:sz w:val="20"/>
          <w:szCs w:val="20"/>
          <w:color w:val="auto"/>
        </w:rPr>
      </w:pPr>
      <w:r>
        <w:rPr>
          <w:rFonts w:ascii="Times New Roman" w:cs="Times New Roman" w:eastAsia="Times New Roman" w:hAnsi="Times New Roman"/>
          <w:sz w:val="18"/>
          <w:szCs w:val="18"/>
          <w:color w:val="auto"/>
        </w:rPr>
        <w:t>Restricted stock units, each representing one share of our common stock, are subject to vesting conditions based on a vesting schedule and/or performance criteria established by the Compensation Committee. Restricted stock units will be settled in shares of our common stock, but unlike restricted stock, these shares will not be issued until the restricted stock units have vested.</w:t>
      </w:r>
    </w:p>
    <w:p>
      <w:pPr>
        <w:spacing w:after="0" w:line="217" w:lineRule="exact"/>
        <w:rPr>
          <w:sz w:val="20"/>
          <w:szCs w:val="20"/>
          <w:color w:val="auto"/>
        </w:rPr>
      </w:pPr>
    </w:p>
    <w:p>
      <w:pPr>
        <w:ind w:right="2559" w:firstLine="648"/>
        <w:spacing w:after="0" w:line="262" w:lineRule="auto"/>
        <w:rPr>
          <w:sz w:val="20"/>
          <w:szCs w:val="20"/>
          <w:color w:val="auto"/>
        </w:rPr>
      </w:pPr>
      <w:r>
        <w:rPr>
          <w:rFonts w:ascii="Times New Roman" w:cs="Times New Roman" w:eastAsia="Times New Roman" w:hAnsi="Times New Roman"/>
          <w:sz w:val="18"/>
          <w:szCs w:val="18"/>
          <w:color w:val="auto"/>
        </w:rPr>
        <w:t>Deferred stock awards are awards of the right to receive shares of our common stock at the end of a specified deferral period or upon the achievement of specified performance criteria as determined by the Compensation Committee.</w:t>
      </w:r>
    </w:p>
    <w:p>
      <w:pPr>
        <w:spacing w:after="0" w:line="213" w:lineRule="exact"/>
        <w:rPr>
          <w:sz w:val="20"/>
          <w:szCs w:val="20"/>
          <w:color w:val="auto"/>
        </w:rPr>
      </w:pPr>
    </w:p>
    <w:p>
      <w:pPr>
        <w:ind w:right="2259" w:firstLine="648"/>
        <w:spacing w:after="0" w:line="275" w:lineRule="auto"/>
        <w:rPr>
          <w:sz w:val="20"/>
          <w:szCs w:val="20"/>
          <w:color w:val="auto"/>
        </w:rPr>
      </w:pPr>
      <w:r>
        <w:rPr>
          <w:rFonts w:ascii="Times New Roman" w:cs="Times New Roman" w:eastAsia="Times New Roman" w:hAnsi="Times New Roman"/>
          <w:sz w:val="18"/>
          <w:szCs w:val="18"/>
          <w:color w:val="auto"/>
        </w:rPr>
        <w:t>We have an employee stock purchase plan (ESPP), which enables employees to contribute up to 10% of their compensation toward the purchase of our common stock at the end of the participation period at a</w:t>
      </w: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329" w:gutter="0" w:footer="0" w:header="0"/>
        </w:sectPr>
      </w:pPr>
    </w:p>
    <w:bookmarkStart w:id="12" w:name="page13"/>
    <w:bookmarkEnd w:id="12"/>
    <w:p>
      <w:pPr>
        <w:ind w:right="2339"/>
        <w:spacing w:after="0" w:line="275" w:lineRule="auto"/>
        <w:rPr>
          <w:sz w:val="20"/>
          <w:szCs w:val="20"/>
          <w:color w:val="auto"/>
        </w:rPr>
      </w:pPr>
      <w:r>
        <w:rPr>
          <w:rFonts w:ascii="Times New Roman" w:cs="Times New Roman" w:eastAsia="Times New Roman" w:hAnsi="Times New Roman"/>
          <w:sz w:val="18"/>
          <w:szCs w:val="18"/>
          <w:color w:val="auto"/>
        </w:rPr>
        <w:t>purchase price equal to 85% of the lower of the fair market value of the common stock on the first or last day of the participation period.</w:t>
      </w:r>
    </w:p>
    <w:p>
      <w:pPr>
        <w:spacing w:after="0" w:line="199" w:lineRule="exact"/>
        <w:rPr>
          <w:sz w:val="20"/>
          <w:szCs w:val="20"/>
          <w:color w:val="auto"/>
        </w:rPr>
      </w:pPr>
    </w:p>
    <w:p>
      <w:pPr>
        <w:ind w:right="2499" w:firstLine="648"/>
        <w:spacing w:after="0" w:line="277" w:lineRule="auto"/>
        <w:rPr>
          <w:sz w:val="20"/>
          <w:szCs w:val="20"/>
          <w:color w:val="auto"/>
        </w:rPr>
      </w:pPr>
      <w:r>
        <w:rPr>
          <w:rFonts w:ascii="Times New Roman" w:cs="Times New Roman" w:eastAsia="Times New Roman" w:hAnsi="Times New Roman"/>
          <w:sz w:val="18"/>
          <w:szCs w:val="18"/>
          <w:i w:val="1"/>
          <w:iCs w:val="1"/>
          <w:u w:val="single" w:color="auto"/>
          <w:color w:val="auto"/>
        </w:rPr>
        <w:t>Share-Based Compensation Expense.</w:t>
      </w:r>
      <w:r>
        <w:rPr>
          <w:rFonts w:ascii="Times New Roman" w:cs="Times New Roman" w:eastAsia="Times New Roman" w:hAnsi="Times New Roman"/>
          <w:sz w:val="18"/>
          <w:szCs w:val="18"/>
          <w:color w:val="auto"/>
        </w:rPr>
        <w:t>A summary of the share-based compensation expense for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our ESPP that we recorded in accordance with SFAS No. 123(R)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22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January</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52"/>
              <w:spacing w:after="0" w:line="195" w:lineRule="exact"/>
              <w:rPr>
                <w:sz w:val="20"/>
                <w:szCs w:val="20"/>
                <w:color w:val="auto"/>
              </w:rPr>
            </w:pPr>
            <w:r>
              <w:rPr>
                <w:rFonts w:ascii="Times New Roman" w:cs="Times New Roman" w:eastAsia="Times New Roman" w:hAnsi="Times New Roman"/>
                <w:sz w:val="18"/>
                <w:szCs w:val="18"/>
                <w:b w:val="1"/>
                <w:bCs w:val="1"/>
                <w:color w:val="auto"/>
                <w:w w:val="96"/>
              </w:rPr>
              <w:t>January</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1"/>
        </w:trPr>
        <w:tc>
          <w:tcPr>
            <w:tcW w:w="3000" w:type="dxa"/>
            <w:vAlign w:val="bottom"/>
            <w:tcBorders>
              <w:bottom w:val="single" w:sz="8" w:color="DBE5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80" w:type="dxa"/>
            <w:vAlign w:val="bottom"/>
            <w:tcBorders>
              <w:bottom w:val="single" w:sz="8" w:color="DBE5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80" w:type="dxa"/>
            <w:vAlign w:val="bottom"/>
            <w:tcBorders>
              <w:bottom w:val="single" w:sz="8" w:color="DBE5F1"/>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00" w:type="dxa"/>
            <w:vAlign w:val="bottom"/>
            <w:tcBorders>
              <w:bottom w:val="single" w:sz="8" w:color="DBE5F1"/>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211"/>
        </w:trPr>
        <w:tc>
          <w:tcPr>
            <w:tcW w:w="30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DBE5F1"/>
          </w:tcPr>
          <w:p>
            <w:pPr>
              <w:spacing w:after="0"/>
              <w:rPr>
                <w:sz w:val="18"/>
                <w:szCs w:val="18"/>
                <w:color w:val="auto"/>
              </w:rPr>
            </w:pPr>
          </w:p>
        </w:tc>
        <w:tc>
          <w:tcPr>
            <w:tcW w:w="28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DBE5F1"/>
          </w:tcPr>
          <w:p>
            <w:pPr>
              <w:spacing w:after="0"/>
              <w:rPr>
                <w:sz w:val="18"/>
                <w:szCs w:val="18"/>
                <w:color w:val="auto"/>
              </w:rPr>
            </w:pPr>
          </w:p>
        </w:tc>
        <w:tc>
          <w:tcPr>
            <w:tcW w:w="28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30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Product development and design</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0"/>
        </w:trPr>
        <w:tc>
          <w:tcPr>
            <w:tcW w:w="30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Decrease in net income before taxes</w:t>
            </w: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shd w:val="clear" w:color="auto" w:fill="DBE5F1"/>
          </w:tcPr>
          <w:p>
            <w:pPr>
              <w:spacing w:after="0"/>
              <w:rPr>
                <w:sz w:val="18"/>
                <w:szCs w:val="18"/>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shd w:val="clear" w:color="auto" w:fill="DBE5F1"/>
          </w:tcPr>
          <w:p>
            <w:pPr>
              <w:spacing w:after="0"/>
              <w:rPr>
                <w:sz w:val="18"/>
                <w:szCs w:val="18"/>
                <w:color w:val="auto"/>
              </w:rPr>
            </w:pPr>
          </w:p>
        </w:tc>
        <w:tc>
          <w:tcPr>
            <w:tcW w:w="280" w:type="dxa"/>
            <w:vAlign w:val="bottom"/>
            <w:tcBorders>
              <w:bottom w:val="single" w:sz="8" w:color="auto"/>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1,939</w:t>
            </w:r>
          </w:p>
        </w:tc>
        <w:tc>
          <w:tcPr>
            <w:tcW w:w="300" w:type="dxa"/>
            <w:vAlign w:val="bottom"/>
            <w:shd w:val="clear" w:color="auto" w:fill="DBE5F1"/>
          </w:tcPr>
          <w:p>
            <w:pPr>
              <w:spacing w:after="0"/>
              <w:rPr>
                <w:sz w:val="18"/>
                <w:szCs w:val="18"/>
                <w:color w:val="auto"/>
              </w:rPr>
            </w:pPr>
          </w:p>
        </w:tc>
        <w:tc>
          <w:tcPr>
            <w:tcW w:w="280" w:type="dxa"/>
            <w:vAlign w:val="bottom"/>
            <w:tcBorders>
              <w:bottom w:val="single" w:sz="8" w:color="auto"/>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0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on basic and diluted earnings per</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2"/>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79" w:firstLine="622"/>
        <w:spacing w:after="0" w:line="258" w:lineRule="auto"/>
        <w:rPr>
          <w:sz w:val="20"/>
          <w:szCs w:val="20"/>
          <w:color w:val="auto"/>
        </w:rPr>
      </w:pPr>
      <w:r>
        <w:rPr>
          <w:rFonts w:ascii="Times New Roman" w:cs="Times New Roman" w:eastAsia="Times New Roman" w:hAnsi="Times New Roman"/>
          <w:sz w:val="18"/>
          <w:szCs w:val="18"/>
          <w:color w:val="auto"/>
        </w:rPr>
        <w:t>As of January 26, 2008, there was $7,974 of total unrecognized compensation cost related to non-vested share-based compensation arrangements granted under all of our equity compensation plans. Total unrecognized compensation cost will be adjusted for future changes in estimated forfeitures. We expect to recognize that cost over a weighted average period of five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Comprehensive Income</w:t>
      </w:r>
    </w:p>
    <w:p>
      <w:pPr>
        <w:spacing w:after="0" w:line="254" w:lineRule="exact"/>
        <w:rPr>
          <w:sz w:val="20"/>
          <w:szCs w:val="20"/>
          <w:color w:val="auto"/>
        </w:rPr>
      </w:pPr>
    </w:p>
    <w:p>
      <w:pPr>
        <w:ind w:right="2259" w:firstLine="622"/>
        <w:spacing w:after="0" w:line="254" w:lineRule="auto"/>
        <w:rPr>
          <w:sz w:val="20"/>
          <w:szCs w:val="20"/>
          <w:color w:val="auto"/>
        </w:rPr>
      </w:pPr>
      <w:r>
        <w:rPr>
          <w:rFonts w:ascii="Times New Roman" w:cs="Times New Roman" w:eastAsia="Times New Roman" w:hAnsi="Times New Roman"/>
          <w:sz w:val="18"/>
          <w:szCs w:val="18"/>
          <w:color w:val="auto"/>
        </w:rPr>
        <w:t>SFAS No. 130, “Reporting Comprehensive Income”,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 in our annual financial statements.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comprehensive income that we recorded in accordance with SFAS No. 130 is as follows:</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231"/>
        </w:trPr>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8"/>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2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8"/>
              </w:rPr>
              <w:t>January 27,</w:t>
            </w:r>
          </w:p>
        </w:tc>
      </w:tr>
      <w:tr>
        <w:trPr>
          <w:trHeight w:val="231"/>
        </w:trPr>
        <w:tc>
          <w:tcPr>
            <w:tcW w:w="402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0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11"/>
        </w:trPr>
        <w:tc>
          <w:tcPr>
            <w:tcW w:w="40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20,504</w:t>
            </w:r>
          </w:p>
        </w:tc>
        <w:tc>
          <w:tcPr>
            <w:tcW w:w="3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20,906</w:t>
            </w:r>
          </w:p>
        </w:tc>
      </w:tr>
      <w:tr>
        <w:trPr>
          <w:trHeight w:val="228"/>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r>
      <w:tr>
        <w:trPr>
          <w:trHeight w:val="231"/>
        </w:trPr>
        <w:tc>
          <w:tcPr>
            <w:tcW w:w="4020" w:type="dxa"/>
            <w:vAlign w:val="bottom"/>
            <w:shd w:val="clear" w:color="auto" w:fill="DBE5F1"/>
          </w:tcPr>
          <w:p>
            <w:pPr>
              <w:ind w:left="380"/>
              <w:spacing w:after="0"/>
              <w:rPr>
                <w:sz w:val="20"/>
                <w:szCs w:val="20"/>
                <w:color w:val="auto"/>
              </w:rPr>
            </w:pPr>
            <w:r>
              <w:rPr>
                <w:rFonts w:ascii="Times New Roman" w:cs="Times New Roman" w:eastAsia="Times New Roman" w:hAnsi="Times New Roman"/>
                <w:sz w:val="18"/>
                <w:szCs w:val="18"/>
                <w:color w:val="auto"/>
              </w:rPr>
              <w:t>Net gain (loss) on derivatives</w:t>
            </w:r>
          </w:p>
        </w:tc>
        <w:tc>
          <w:tcPr>
            <w:tcW w:w="22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4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20,235</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21,093</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2879"/>
        <w:spacing w:after="0" w:line="2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9" w:lineRule="exact"/>
        <w:rPr>
          <w:sz w:val="20"/>
          <w:szCs w:val="20"/>
          <w:color w:val="auto"/>
        </w:rPr>
      </w:pPr>
    </w:p>
    <w:p>
      <w:pPr>
        <w:ind w:right="2219" w:firstLine="596"/>
        <w:spacing w:after="0" w:line="262" w:lineRule="auto"/>
        <w:rPr>
          <w:sz w:val="20"/>
          <w:szCs w:val="20"/>
          <w:color w:val="auto"/>
        </w:rPr>
      </w:pPr>
      <w:r>
        <w:rPr>
          <w:rFonts w:ascii="Times New Roman" w:cs="Times New Roman" w:eastAsia="Times New Roman" w:hAnsi="Times New Roman"/>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00" w:lineRule="exact"/>
        <w:rPr>
          <w:sz w:val="20"/>
          <w:szCs w:val="20"/>
          <w:color w:val="auto"/>
        </w:rPr>
      </w:pPr>
    </w:p>
    <w:p>
      <w:pPr>
        <w:spacing w:after="0" w:line="25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2399" w:firstLine="583"/>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wide range of display systems to customers in a variety of markets throughout the world. We focus our sales and marketing efforts on geographical regions, markets and products. The primary categories of markets include live events, commercial, transportation, schools and theatres, and international.</w:t>
      </w:r>
    </w:p>
    <w:p>
      <w:pPr>
        <w:spacing w:after="0" w:line="217" w:lineRule="exact"/>
        <w:rPr>
          <w:sz w:val="20"/>
          <w:szCs w:val="20"/>
          <w:color w:val="auto"/>
        </w:rPr>
      </w:pPr>
    </w:p>
    <w:p>
      <w:pPr>
        <w:ind w:right="2119" w:firstLine="622"/>
        <w:spacing w:after="0" w:line="291" w:lineRule="auto"/>
        <w:rPr>
          <w:sz w:val="20"/>
          <w:szCs w:val="20"/>
          <w:color w:val="auto"/>
        </w:rPr>
      </w:pPr>
      <w:r>
        <w:rPr>
          <w:rFonts w:ascii="Times New Roman" w:cs="Times New Roman" w:eastAsia="Times New Roman" w:hAnsi="Times New Roman"/>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w:t>
      </w:r>
    </w:p>
    <w:p>
      <w:pPr>
        <w:sectPr>
          <w:pgSz w:w="11900" w:h="16838" w:orient="portrait"/>
          <w:cols w:equalWidth="0" w:num="1">
            <w:col w:w="10219"/>
          </w:cols>
          <w:pgMar w:left="240" w:top="368" w:right="1440" w:bottom="0" w:gutter="0" w:footer="0" w:header="0"/>
        </w:sectPr>
      </w:pPr>
    </w:p>
    <w:bookmarkStart w:id="13" w:name="page14"/>
    <w:bookmarkEnd w:id="13"/>
    <w:p>
      <w:pPr>
        <w:ind w:right="2539"/>
        <w:spacing w:after="0" w:line="275" w:lineRule="auto"/>
        <w:rPr>
          <w:sz w:val="20"/>
          <w:szCs w:val="20"/>
          <w:color w:val="auto"/>
        </w:rPr>
      </w:pPr>
      <w:r>
        <w:rPr>
          <w:rFonts w:ascii="Times New Roman" w:cs="Times New Roman" w:eastAsia="Times New Roman" w:hAnsi="Times New Roman"/>
          <w:sz w:val="18"/>
          <w:szCs w:val="18"/>
          <w:color w:val="auto"/>
        </w:rPr>
        <w:t>experienced fluctuations in operating results and expect that our future results of operations will be subject to similar fluctuations.</w:t>
      </w:r>
    </w:p>
    <w:p>
      <w:pPr>
        <w:spacing w:after="0" w:line="201" w:lineRule="exact"/>
        <w:rPr>
          <w:sz w:val="20"/>
          <w:szCs w:val="20"/>
          <w:color w:val="auto"/>
        </w:rPr>
      </w:pPr>
    </w:p>
    <w:p>
      <w:pPr>
        <w:ind w:right="2179" w:firstLine="648"/>
        <w:spacing w:after="0" w:line="258" w:lineRule="auto"/>
        <w:rPr>
          <w:sz w:val="20"/>
          <w:szCs w:val="20"/>
          <w:color w:val="auto"/>
        </w:rPr>
      </w:pPr>
      <w:r>
        <w:rPr>
          <w:rFonts w:ascii="Times New Roman" w:cs="Times New Roman" w:eastAsia="Times New Roman" w:hAnsi="Times New Roman"/>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17" w:lineRule="exact"/>
        <w:rPr>
          <w:sz w:val="20"/>
          <w:szCs w:val="20"/>
          <w:color w:val="auto"/>
        </w:rPr>
      </w:pPr>
    </w:p>
    <w:p>
      <w:pPr>
        <w:ind w:right="2399" w:firstLine="622"/>
        <w:spacing w:after="0" w:line="275" w:lineRule="auto"/>
        <w:rPr>
          <w:sz w:val="20"/>
          <w:szCs w:val="20"/>
          <w:color w:val="auto"/>
        </w:rPr>
      </w:pPr>
      <w:r>
        <w:rPr>
          <w:rFonts w:ascii="Times New Roman" w:cs="Times New Roman" w:eastAsia="Times New Roman" w:hAnsi="Times New Roman"/>
          <w:sz w:val="18"/>
          <w:szCs w:val="18"/>
          <w:color w:val="auto"/>
        </w:rPr>
        <w:t>We operate on a 52-53 week fiscal year, with fiscal years ending on the Saturday closest to April 30 of each year. Fiscal years 2008 and 2007 each contains 52 weeks.</w:t>
      </w:r>
    </w:p>
    <w:p>
      <w:pPr>
        <w:spacing w:after="0" w:line="201" w:lineRule="exact"/>
        <w:rPr>
          <w:sz w:val="20"/>
          <w:szCs w:val="20"/>
          <w:color w:val="auto"/>
        </w:rPr>
      </w:pPr>
    </w:p>
    <w:p>
      <w:pPr>
        <w:ind w:right="2139" w:firstLine="622"/>
        <w:spacing w:after="0" w:line="26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4" w:lineRule="exact"/>
        <w:rPr>
          <w:sz w:val="20"/>
          <w:szCs w:val="20"/>
          <w:color w:val="auto"/>
        </w:rPr>
      </w:pPr>
    </w:p>
    <w:p>
      <w:pPr>
        <w:ind w:right="2139" w:firstLine="622"/>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ind w:right="2359" w:firstLine="622"/>
        <w:spacing w:after="0" w:line="275" w:lineRule="auto"/>
        <w:rPr>
          <w:sz w:val="20"/>
          <w:szCs w:val="20"/>
          <w:color w:val="auto"/>
        </w:rPr>
      </w:pPr>
      <w:r>
        <w:rPr>
          <w:rFonts w:ascii="Times New Roman" w:cs="Times New Roman" w:eastAsia="Times New Roman" w:hAnsi="Times New Roman"/>
          <w:sz w:val="18"/>
          <w:szCs w:val="18"/>
          <w:color w:val="auto"/>
        </w:rPr>
        <w:t>We believe the following critical accounting policies require significant judgments and estimates in the preparation of our consolidated financial statements:</w:t>
      </w:r>
    </w:p>
    <w:p>
      <w:pPr>
        <w:spacing w:after="0" w:line="226" w:lineRule="exact"/>
        <w:rPr>
          <w:sz w:val="20"/>
          <w:szCs w:val="20"/>
          <w:color w:val="auto"/>
        </w:rPr>
      </w:pPr>
    </w:p>
    <w:p>
      <w:pPr>
        <w:ind w:right="2119" w:firstLine="72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long-term construction contracts. </w:t>
      </w:r>
      <w:r>
        <w:rPr>
          <w:rFonts w:ascii="Times New Roman" w:cs="Times New Roman" w:eastAsia="Times New Roman" w:hAnsi="Times New Roman"/>
          <w:sz w:val="18"/>
          <w:szCs w:val="18"/>
          <w:color w:val="auto"/>
        </w:rPr>
        <w:t>Earnings on long-term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the percentage-of-completion method, measured by the percentage of costs incurred to date to estimated total costs for each contract. Provisions for estimated losses on uncompleted contracts are made in the period in which such losses are capable of being estimated.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19" w:firstLine="648"/>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Allowance for doubtful accounts. </w:t>
      </w:r>
      <w:r>
        <w:rPr>
          <w:rFonts w:ascii="Times New Roman" w:cs="Times New Roman" w:eastAsia="Times New Roman" w:hAnsi="Times New Roman"/>
          <w:sz w:val="16"/>
          <w:szCs w:val="16"/>
          <w:color w:val="auto"/>
        </w:rPr>
        <w:t>We maintain an allowance for doubtful accounts for estimated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resulting from the inability of our customers to make 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January 26, 2008 and April 28, 2007, we had an allowance for doubtful accounts balance of approximately $1.8 million and $1.6 million, respectively.</w:t>
      </w:r>
    </w:p>
    <w:p>
      <w:pPr>
        <w:spacing w:after="0" w:line="200" w:lineRule="exact"/>
        <w:rPr>
          <w:sz w:val="20"/>
          <w:szCs w:val="20"/>
          <w:color w:val="auto"/>
        </w:rPr>
      </w:pPr>
    </w:p>
    <w:p>
      <w:pPr>
        <w:spacing w:after="0" w:line="237" w:lineRule="exact"/>
        <w:rPr>
          <w:sz w:val="20"/>
          <w:szCs w:val="20"/>
          <w:color w:val="auto"/>
        </w:rPr>
      </w:pPr>
    </w:p>
    <w:p>
      <w:pPr>
        <w:ind w:right="2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 reserve for warranties on our products equal to our estimate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costs to be incurred in connection with our 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We do not believe there is a reasonable likelihood that there will be a material change in the future estimates or assumptions we use to determine our reserve for warranties. As of January 26, 2008 and April 28, 2007, we had approximately $11.5 million and $10.5 million reserved for these costs, respectively.</w:t>
      </w:r>
    </w:p>
    <w:p>
      <w:pPr>
        <w:spacing w:after="0" w:line="243" w:lineRule="exact"/>
        <w:rPr>
          <w:sz w:val="20"/>
          <w:szCs w:val="20"/>
          <w:color w:val="auto"/>
        </w:rPr>
      </w:pPr>
    </w:p>
    <w:p>
      <w:pPr>
        <w:ind w:right="2119" w:firstLine="62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Extended warranty and product maintenance. </w:t>
      </w:r>
      <w:r>
        <w:rPr>
          <w:rFonts w:ascii="Times New Roman" w:cs="Times New Roman" w:eastAsia="Times New Roman" w:hAnsi="Times New Roman"/>
          <w:sz w:val="18"/>
          <w:szCs w:val="18"/>
          <w:color w:val="auto"/>
        </w:rPr>
        <w:t>We recognize deferred revenue related to separately priced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We do not believe there is a reasonable likelihood that there will be a material change in the future estimates or assumptions we use to determine estimated costs under these agreements. As of January 26, 2008 and April 28, 2007, we had $7.3 million and $5.3 million of deferred revenue related to extended warranty and product maintenance, respectively.</w:t>
      </w:r>
    </w:p>
    <w:p>
      <w:pPr>
        <w:sectPr>
          <w:pgSz w:w="11900" w:h="16838" w:orient="portrait"/>
          <w:cols w:equalWidth="0" w:num="1">
            <w:col w:w="10219"/>
          </w:cols>
          <w:pgMar w:left="240" w:top="125" w:right="1440" w:bottom="0" w:gutter="0" w:footer="0" w:header="0"/>
        </w:sectPr>
      </w:pPr>
    </w:p>
    <w:bookmarkStart w:id="14" w:name="page15"/>
    <w:bookmarkEnd w:id="14"/>
    <w:p>
      <w:pPr>
        <w:ind w:right="2119" w:firstLine="5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stated at the lower of cost or market. Market refers to the current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except that market may not exceed the net 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expected sales, we may be exposed to losses or gains that could be material.</w:t>
      </w:r>
    </w:p>
    <w:p>
      <w:pPr>
        <w:spacing w:after="0" w:line="247" w:lineRule="exact"/>
        <w:rPr>
          <w:sz w:val="20"/>
          <w:szCs w:val="20"/>
          <w:color w:val="auto"/>
        </w:rPr>
      </w:pPr>
    </w:p>
    <w:p>
      <w:pPr>
        <w:ind w:right="2119" w:firstLine="5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part of the process of preparing our consolidated financial statements, we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created a valuation allowance. If our estimates of future taxable income are not met, a valuation allowance for some of these deferred tax assets would be required.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219"/>
        <w:spacing w:after="0" w:line="257" w:lineRule="auto"/>
        <w:rPr>
          <w:sz w:val="20"/>
          <w:szCs w:val="20"/>
          <w:color w:val="auto"/>
        </w:rPr>
      </w:pPr>
      <w:r>
        <w:rPr>
          <w:rFonts w:ascii="Times New Roman" w:cs="Times New Roman" w:eastAsia="Times New Roman" w:hAnsi="Times New Roman"/>
          <w:sz w:val="18"/>
          <w:szCs w:val="18"/>
          <w:color w:val="auto"/>
        </w:rPr>
        <w:t>We operate within multiple taxing jurisdictions, both domestic and international, and are subject to audits in these jurisdictions. These audits can involve complex issues, including challenges regarding the timing and</w:t>
      </w:r>
    </w:p>
    <w:p>
      <w:pPr>
        <w:spacing w:after="0" w:line="1" w:lineRule="exact"/>
        <w:rPr>
          <w:sz w:val="20"/>
          <w:szCs w:val="20"/>
          <w:color w:val="auto"/>
        </w:rPr>
      </w:pPr>
    </w:p>
    <w:p>
      <w:pPr>
        <w:ind w:right="2219"/>
        <w:spacing w:after="0" w:line="261" w:lineRule="auto"/>
        <w:rPr>
          <w:sz w:val="20"/>
          <w:szCs w:val="20"/>
          <w:color w:val="auto"/>
        </w:rPr>
      </w:pPr>
      <w:r>
        <w:rPr>
          <w:rFonts w:ascii="Times New Roman" w:cs="Times New Roman" w:eastAsia="Times New Roman" w:hAnsi="Times New Roman"/>
          <w:sz w:val="18"/>
          <w:szCs w:val="18"/>
          <w:color w:val="auto"/>
        </w:rPr>
        <w:t>amount of deductions and the allocation of income amounts to various tax jurisdictions. At any one time, multiple tax years are subject to audit by various tax authorities.</w:t>
      </w:r>
    </w:p>
    <w:p>
      <w:pPr>
        <w:spacing w:after="0" w:line="213" w:lineRule="exact"/>
        <w:rPr>
          <w:sz w:val="20"/>
          <w:szCs w:val="20"/>
          <w:color w:val="auto"/>
        </w:rPr>
      </w:pPr>
    </w:p>
    <w:p>
      <w:pPr>
        <w:ind w:right="2099" w:firstLine="596"/>
        <w:spacing w:after="0" w:line="252" w:lineRule="auto"/>
        <w:rPr>
          <w:sz w:val="20"/>
          <w:szCs w:val="20"/>
          <w:color w:val="auto"/>
        </w:rPr>
      </w:pPr>
      <w:r>
        <w:rPr>
          <w:rFonts w:ascii="Times New Roman" w:cs="Times New Roman" w:eastAsia="Times New Roman" w:hAnsi="Times New Roman"/>
          <w:sz w:val="18"/>
          <w:szCs w:val="18"/>
          <w:color w:val="auto"/>
        </w:rPr>
        <w:t>We record our income tax provision based on our knowledge of all relevant facts and circumstances, including the existing tax laws, the status of any current examinations and our understanding of how the tax authorities view certain relevant industry and commercial matters. In evaluating the exposures associated with our various tax filing positions, we record reserves for exposures consistent with FIN 48.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or cash flow.</w:t>
      </w:r>
    </w:p>
    <w:p>
      <w:pPr>
        <w:spacing w:after="0" w:line="226" w:lineRule="exact"/>
        <w:rPr>
          <w:sz w:val="20"/>
          <w:szCs w:val="20"/>
          <w:color w:val="auto"/>
        </w:rPr>
      </w:pPr>
    </w:p>
    <w:p>
      <w:pPr>
        <w:ind w:right="2119" w:firstLine="622"/>
        <w:spacing w:after="0" w:line="257"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We use the Black-Scholes standard option pricing model (Black-Scholes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to determine the fair value of stock options and employee stock purchase rights. The determination of the fair value of the awards on the date of grant using the Black-Scholes model is affected by our stock price as well as assumptions of other variables, including projected employee stock option exercise behaviors, risk-free interest rate, expected volatility of our stock price in future periods and expected dividend yield.</w:t>
      </w:r>
    </w:p>
    <w:p>
      <w:pPr>
        <w:spacing w:after="0" w:line="217" w:lineRule="exact"/>
        <w:rPr>
          <w:sz w:val="20"/>
          <w:szCs w:val="20"/>
          <w:color w:val="auto"/>
        </w:rPr>
      </w:pPr>
    </w:p>
    <w:p>
      <w:pPr>
        <w:ind w:right="2199" w:firstLine="622"/>
        <w:spacing w:after="0" w:line="252" w:lineRule="auto"/>
        <w:rPr>
          <w:sz w:val="20"/>
          <w:szCs w:val="20"/>
          <w:color w:val="auto"/>
        </w:rPr>
      </w:pPr>
      <w:r>
        <w:rPr>
          <w:rFonts w:ascii="Times New Roman" w:cs="Times New Roman" w:eastAsia="Times New Roman" w:hAnsi="Times New Roman"/>
          <w:sz w:val="18"/>
          <w:szCs w:val="18"/>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revise those estimates in subsequent periods if actual forfeitures differ from those estimates.</w:t>
      </w:r>
    </w:p>
    <w:p>
      <w:pPr>
        <w:spacing w:after="0" w:line="228" w:lineRule="exact"/>
        <w:rPr>
          <w:sz w:val="20"/>
          <w:szCs w:val="20"/>
          <w:color w:val="auto"/>
        </w:rPr>
      </w:pPr>
    </w:p>
    <w:p>
      <w:pPr>
        <w:ind w:right="2159" w:firstLine="622"/>
        <w:spacing w:after="0" w:line="258" w:lineRule="auto"/>
        <w:rPr>
          <w:sz w:val="20"/>
          <w:szCs w:val="20"/>
          <w:color w:val="auto"/>
        </w:rPr>
      </w:pPr>
      <w:r>
        <w:rPr>
          <w:rFonts w:ascii="Times New Roman" w:cs="Times New Roman" w:eastAsia="Times New Roman" w:hAnsi="Times New Roman"/>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for a future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right="2119" w:firstLine="804"/>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percentage of net sales represented by items included in our consolidated statements of income for the periods indicated:</w:t>
      </w:r>
    </w:p>
    <w:p>
      <w:pPr>
        <w:sectPr>
          <w:pgSz w:w="11900" w:h="16838" w:orient="portrait"/>
          <w:cols w:equalWidth="0" w:num="1">
            <w:col w:w="10219"/>
          </w:cols>
          <w:pgMar w:left="240" w:top="393" w:right="1440" w:bottom="0" w:gutter="0" w:footer="0" w:header="0"/>
        </w:sectPr>
      </w:pPr>
    </w:p>
    <w:bookmarkStart w:id="15" w:name="page16"/>
    <w:bookmarkEnd w:id="15"/>
    <w:p>
      <w:pPr>
        <w:spacing w:after="0" w:line="1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30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6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9"/>
        </w:trPr>
        <w:tc>
          <w:tcPr>
            <w:tcW w:w="1960" w:type="dxa"/>
            <w:vAlign w:val="bottom"/>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360" w:type="dxa"/>
            <w:vAlign w:val="bottom"/>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1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January 27,</w:t>
            </w:r>
          </w:p>
        </w:tc>
      </w:tr>
      <w:tr>
        <w:trPr>
          <w:trHeight w:val="231"/>
        </w:trPr>
        <w:tc>
          <w:tcPr>
            <w:tcW w:w="1960" w:type="dxa"/>
            <w:vAlign w:val="bottom"/>
            <w:tcBorders>
              <w:bottom w:val="single" w:sz="8" w:color="DBE5F1"/>
            </w:tcBorders>
          </w:tcPr>
          <w:p>
            <w:pPr>
              <w:spacing w:after="0"/>
              <w:rPr>
                <w:sz w:val="20"/>
                <w:szCs w:val="20"/>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Borders>
              <w:bottom w:val="single" w:sz="8" w:color="DBE5F1"/>
            </w:tcBorders>
          </w:tcPr>
          <w:p>
            <w:pPr>
              <w:spacing w:after="0"/>
              <w:rPr>
                <w:sz w:val="20"/>
                <w:szCs w:val="20"/>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360" w:type="dxa"/>
            <w:vAlign w:val="bottom"/>
            <w:tcBorders>
              <w:bottom w:val="single" w:sz="8" w:color="DBE5F1"/>
            </w:tcBorders>
          </w:tcPr>
          <w:p>
            <w:pPr>
              <w:spacing w:after="0"/>
              <w:rPr>
                <w:sz w:val="20"/>
                <w:szCs w:val="20"/>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60" w:type="dxa"/>
            <w:vAlign w:val="bottom"/>
            <w:tcBorders>
              <w:bottom w:val="single" w:sz="8" w:color="DBE5F1"/>
            </w:tcBorders>
          </w:tcPr>
          <w:p>
            <w:pPr>
              <w:spacing w:after="0"/>
              <w:rPr>
                <w:sz w:val="20"/>
                <w:szCs w:val="20"/>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11"/>
        </w:trPr>
        <w:tc>
          <w:tcPr>
            <w:tcW w:w="19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19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w:t>
            </w:r>
          </w:p>
        </w:tc>
        <w:tc>
          <w:tcPr>
            <w:tcW w:w="34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6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6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70.8%</w:t>
            </w:r>
          </w:p>
        </w:tc>
      </w:tr>
      <w:tr>
        <w:trPr>
          <w:trHeight w:val="210"/>
        </w:trPr>
        <w:tc>
          <w:tcPr>
            <w:tcW w:w="19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19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r>
      <w:tr>
        <w:trPr>
          <w:trHeight w:val="210"/>
        </w:trPr>
        <w:tc>
          <w:tcPr>
            <w:tcW w:w="19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19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DBE5F1"/>
          </w:tcPr>
          <w:p>
            <w:pPr>
              <w:spacing w:after="0"/>
              <w:rPr>
                <w:sz w:val="20"/>
                <w:szCs w:val="20"/>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DBE5F1"/>
          </w:tcPr>
          <w:p>
            <w:pPr>
              <w:spacing w:after="0"/>
              <w:rPr>
                <w:sz w:val="20"/>
                <w:szCs w:val="20"/>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r>
      <w:tr>
        <w:trPr>
          <w:trHeight w:val="215"/>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19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r>
      <w:tr>
        <w:trPr>
          <w:trHeight w:val="183"/>
        </w:trPr>
        <w:tc>
          <w:tcPr>
            <w:tcW w:w="1960" w:type="dxa"/>
            <w:vAlign w:val="bottom"/>
            <w:shd w:val="clear" w:color="auto" w:fill="DBE5F1"/>
          </w:tcPr>
          <w:p>
            <w:pPr>
              <w:ind w:left="100"/>
              <w:spacing w:after="0" w:line="182" w:lineRule="exact"/>
              <w:rPr>
                <w:sz w:val="20"/>
                <w:szCs w:val="20"/>
                <w:color w:val="auto"/>
              </w:rPr>
            </w:pPr>
            <w:r>
              <w:rPr>
                <w:rFonts w:ascii="Times New Roman" w:cs="Times New Roman" w:eastAsia="Times New Roman" w:hAnsi="Times New Roman"/>
                <w:sz w:val="18"/>
                <w:szCs w:val="18"/>
                <w:color w:val="auto"/>
              </w:rPr>
              <w:t>Income before income</w:t>
            </w:r>
          </w:p>
        </w:tc>
        <w:tc>
          <w:tcPr>
            <w:tcW w:w="116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36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360" w:type="dxa"/>
            <w:vAlign w:val="bottom"/>
            <w:shd w:val="clear" w:color="auto" w:fill="DBE5F1"/>
          </w:tcPr>
          <w:p>
            <w:pPr>
              <w:spacing w:after="0"/>
              <w:rPr>
                <w:sz w:val="15"/>
                <w:szCs w:val="15"/>
                <w:color w:val="auto"/>
              </w:rPr>
            </w:pPr>
          </w:p>
        </w:tc>
        <w:tc>
          <w:tcPr>
            <w:tcW w:w="1160" w:type="dxa"/>
            <w:vAlign w:val="bottom"/>
            <w:shd w:val="clear" w:color="auto" w:fill="DBE5F1"/>
          </w:tcPr>
          <w:p>
            <w:pPr>
              <w:spacing w:after="0"/>
              <w:rPr>
                <w:sz w:val="15"/>
                <w:szCs w:val="15"/>
                <w:color w:val="auto"/>
              </w:rPr>
            </w:pPr>
          </w:p>
        </w:tc>
      </w:tr>
      <w:tr>
        <w:trPr>
          <w:trHeight w:val="230"/>
        </w:trPr>
        <w:tc>
          <w:tcPr>
            <w:tcW w:w="19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DBE5F1"/>
          </w:tcPr>
          <w:p>
            <w:pPr>
              <w:spacing w:after="0"/>
              <w:rPr>
                <w:sz w:val="20"/>
                <w:szCs w:val="20"/>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shd w:val="clear" w:color="auto" w:fill="DBE5F1"/>
          </w:tcPr>
          <w:p>
            <w:pPr>
              <w:spacing w:after="0"/>
              <w:rPr>
                <w:sz w:val="20"/>
                <w:szCs w:val="20"/>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19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196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DBE5F1"/>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Borders>
              <w:bottom w:val="single" w:sz="8" w:color="DBE5F1"/>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DBE5F1"/>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4" w:lineRule="exact"/>
        <w:rPr>
          <w:sz w:val="20"/>
          <w:szCs w:val="20"/>
          <w:color w:val="auto"/>
        </w:rPr>
      </w:pPr>
    </w:p>
    <w:p>
      <w:pPr>
        <w:ind w:right="2239" w:firstLine="648"/>
        <w:spacing w:after="0" w:line="310" w:lineRule="auto"/>
        <w:rPr>
          <w:sz w:val="20"/>
          <w:szCs w:val="20"/>
          <w:color w:val="auto"/>
        </w:rPr>
      </w:pPr>
      <w:r>
        <w:rPr>
          <w:rFonts w:ascii="Times New Roman" w:cs="Times New Roman" w:eastAsia="Times New Roman" w:hAnsi="Times New Roman"/>
          <w:sz w:val="16"/>
          <w:szCs w:val="16"/>
          <w:color w:val="auto"/>
        </w:rPr>
        <w:t>Net sales increased 14.9% to $370.6 million for the nine months ended January 26, 2008 as compared to $322.4 million for the same period in fiscal year 2007. Net sales increased 10.7% to $118.2 million for the three months ended January 26, 2008 as compared to $106.7 million for the same period in fiscal year 2007.</w:t>
      </w:r>
    </w:p>
    <w:p>
      <w:pPr>
        <w:spacing w:after="0" w:line="178" w:lineRule="exact"/>
        <w:rPr>
          <w:sz w:val="20"/>
          <w:szCs w:val="20"/>
          <w:color w:val="auto"/>
        </w:rPr>
      </w:pPr>
    </w:p>
    <w:p>
      <w:pPr>
        <w:ind w:right="2219" w:firstLine="648"/>
        <w:spacing w:after="0" w:line="256" w:lineRule="auto"/>
        <w:rPr>
          <w:sz w:val="20"/>
          <w:szCs w:val="20"/>
          <w:color w:val="auto"/>
        </w:rPr>
      </w:pPr>
      <w:r>
        <w:rPr>
          <w:rFonts w:ascii="Times New Roman" w:cs="Times New Roman" w:eastAsia="Times New Roman" w:hAnsi="Times New Roman"/>
          <w:sz w:val="18"/>
          <w:szCs w:val="18"/>
          <w:color w:val="auto"/>
        </w:rPr>
        <w:t>The level of net sales generated through the first three quarters of fiscal year 2007 in all five business units was limited as a result of capacity constraints within our manufacturing facilities, both in terms of space and personnel. This trend began in the second quarter of fiscal year 2007 and diminished to a large degree in the third quarter as a result of the ramping-up of facilities in Brookings and Sioux Falls, South Dakota and Redwood Falls, Minnesota. These capacity constraints did not exist in fiscal year 2008.</w:t>
      </w:r>
    </w:p>
    <w:p>
      <w:pPr>
        <w:spacing w:after="0" w:line="245" w:lineRule="exact"/>
        <w:rPr>
          <w:sz w:val="20"/>
          <w:szCs w:val="20"/>
          <w:color w:val="auto"/>
        </w:rPr>
      </w:pPr>
    </w:p>
    <w:p>
      <w:pPr>
        <w:ind w:right="2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Net sales in the Commercial business unit grew during the third quarter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year 2008 as compared to the same periods of fiscal year 2007. For the first nine months of fiscal year 2008, net sales increased 40% and, for the quarter, net sales increased 35% as compared to the same periods of last fiscal year. The largest growth in terms of dollars and as a percentage is attributable to increases in our outdoor advertising niche followed by a smaller increase in sales of our standard Galaxy product line. During the second quarter of fiscal 2008, we experienced a lengthening of lead times in our Galaxy product line caused by supply chain challenges and plant execution. We addressed these issues in the third quarter of fiscal 2008, but this did negatively impact sales and orders in the second and third quarter and may have some continued adverse impact in the fourth quarter. Addressing this allowed us to catch up on delayed orders of Galaxy products and reduce lead times to acceptable levels in the third quarter of fiscal 2008.</w:t>
      </w:r>
    </w:p>
    <w:p>
      <w:pPr>
        <w:spacing w:after="0" w:line="224" w:lineRule="exact"/>
        <w:rPr>
          <w:sz w:val="20"/>
          <w:szCs w:val="20"/>
          <w:color w:val="auto"/>
        </w:rPr>
      </w:pPr>
    </w:p>
    <w:p>
      <w:pPr>
        <w:ind w:right="2119" w:firstLine="648"/>
        <w:spacing w:after="0" w:line="287" w:lineRule="auto"/>
        <w:rPr>
          <w:sz w:val="20"/>
          <w:szCs w:val="20"/>
          <w:color w:val="auto"/>
        </w:rPr>
      </w:pPr>
      <w:r>
        <w:rPr>
          <w:rFonts w:ascii="Times New Roman" w:cs="Times New Roman" w:eastAsia="Times New Roman" w:hAnsi="Times New Roman"/>
          <w:sz w:val="16"/>
          <w:szCs w:val="16"/>
          <w:color w:val="auto"/>
        </w:rPr>
        <w:t>Overall, the Commercial business unit continues to benefit from increasing product acceptance, lower cost of displays, our expanding distribution network and a better understanding by our customers of the product as a revenue generation tool. The most significant factor for increasing sales has been the order volume of digital displays for outdoor advertising companies. This occurred primarily due to an increase in our customer base and the increasing number of displays being purchased by existing customers. We also believe that our Valo digital billboard product line will help us maintain and potentially grow our market share due to its features and functions. We believe that the outdoor advertising business has a number of constraints, primarily economical and regulatory, which to date our customers have been successful at overcoming. Until other major billboard companies ramp up deployment and award us the business, we expect to see the percentage growth rates in digital billboards to decline in the future. We do expect, however, that the Commercial business unit will continue to grow for the rest of fiscal year 2008, and into fiscal 2009 and is likely to be one of the fastest growing parts of our business.</w:t>
      </w:r>
    </w:p>
    <w:p>
      <w:pPr>
        <w:spacing w:after="0" w:line="2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79" w:firstLine="648"/>
        <w:spacing w:after="0" w:line="301" w:lineRule="auto"/>
        <w:rPr>
          <w:sz w:val="20"/>
          <w:szCs w:val="20"/>
          <w:color w:val="auto"/>
        </w:rPr>
      </w:pPr>
      <w:r>
        <w:rPr>
          <w:rFonts w:ascii="Times New Roman" w:cs="Times New Roman" w:eastAsia="Times New Roman" w:hAnsi="Times New Roman"/>
          <w:sz w:val="16"/>
          <w:szCs w:val="16"/>
          <w:color w:val="auto"/>
        </w:rPr>
        <w:t>As the outdoor advertising business has become a larger percent of our mix, we believe that the seasonality of that business could become a factor in the fluctuation of our net sales because the deployment of displays slows in the winter months in the northern hemisphere. Generally speaking, seasonality is not a material factor in the rest of the Commercial business. Our rate of growth in the Commercial business unit could vary</w:t>
      </w:r>
    </w:p>
    <w:p>
      <w:pPr>
        <w:sectPr>
          <w:pgSz w:w="11900" w:h="16838" w:orient="portrait"/>
          <w:cols w:equalWidth="0" w:num="1">
            <w:col w:w="10219"/>
          </w:cols>
          <w:pgMar w:left="240" w:top="1440" w:right="1440" w:bottom="0" w:gutter="0" w:footer="0" w:header="0"/>
        </w:sectPr>
      </w:pPr>
    </w:p>
    <w:bookmarkStart w:id="16" w:name="page17"/>
    <w:bookmarkEnd w:id="16"/>
    <w:p>
      <w:pPr>
        <w:ind w:right="2179"/>
        <w:spacing w:after="0" w:line="275" w:lineRule="auto"/>
        <w:rPr>
          <w:sz w:val="20"/>
          <w:szCs w:val="20"/>
          <w:color w:val="auto"/>
        </w:rPr>
      </w:pPr>
      <w:r>
        <w:rPr>
          <w:rFonts w:ascii="Times New Roman" w:cs="Times New Roman" w:eastAsia="Times New Roman" w:hAnsi="Times New Roman"/>
          <w:sz w:val="18"/>
          <w:szCs w:val="18"/>
          <w:color w:val="auto"/>
        </w:rPr>
        <w:t>significantly depending on our success in capturing and retaining the business of the major billboard companies as well as on their rate of deployment.</w:t>
      </w:r>
    </w:p>
    <w:p>
      <w:pPr>
        <w:spacing w:after="0" w:line="201" w:lineRule="exact"/>
        <w:rPr>
          <w:sz w:val="20"/>
          <w:szCs w:val="20"/>
          <w:color w:val="auto"/>
        </w:rPr>
      </w:pPr>
    </w:p>
    <w:p>
      <w:pPr>
        <w:ind w:right="2379" w:firstLine="648"/>
        <w:spacing w:after="0" w:line="275" w:lineRule="auto"/>
        <w:rPr>
          <w:sz w:val="20"/>
          <w:szCs w:val="20"/>
          <w:color w:val="auto"/>
        </w:rPr>
      </w:pPr>
      <w:r>
        <w:rPr>
          <w:rFonts w:ascii="Times New Roman" w:cs="Times New Roman" w:eastAsia="Times New Roman" w:hAnsi="Times New Roman"/>
          <w:sz w:val="18"/>
          <w:szCs w:val="18"/>
          <w:color w:val="auto"/>
        </w:rPr>
        <w:t>Our growth in the Commercial business unit also depends to some degree on the state of the economy, which we do not believe had any adverse effects in the first nine months of fiscal year 2008.</w:t>
      </w:r>
    </w:p>
    <w:p>
      <w:pPr>
        <w:spacing w:after="0" w:line="201" w:lineRule="exact"/>
        <w:rPr>
          <w:sz w:val="20"/>
          <w:szCs w:val="20"/>
          <w:color w:val="auto"/>
        </w:rPr>
      </w:pPr>
    </w:p>
    <w:p>
      <w:pPr>
        <w:ind w:right="2159" w:firstLine="648"/>
        <w:spacing w:after="0" w:line="256" w:lineRule="auto"/>
        <w:rPr>
          <w:sz w:val="20"/>
          <w:szCs w:val="20"/>
          <w:color w:val="auto"/>
        </w:rPr>
      </w:pPr>
      <w:r>
        <w:rPr>
          <w:rFonts w:ascii="Times New Roman" w:cs="Times New Roman" w:eastAsia="Times New Roman" w:hAnsi="Times New Roman"/>
          <w:sz w:val="18"/>
          <w:szCs w:val="18"/>
          <w:color w:val="auto"/>
        </w:rPr>
        <w:t>Order bookings in the Commercial business unit were up 12% for the first nine months of fiscal year 2008 as compared to the same period of fiscal year 2007. The smaller than expected increase was due to a lower level of orders in the second quarter of fiscal 2008 that was a result of lower than expected orders of Galaxy products and lower than expected large contract orders. Generally, orders increase due to the same factors as noted in sales.</w:t>
      </w:r>
    </w:p>
    <w:p>
      <w:pPr>
        <w:spacing w:after="0" w:line="245" w:lineRule="exact"/>
        <w:rPr>
          <w:sz w:val="20"/>
          <w:szCs w:val="20"/>
          <w:color w:val="auto"/>
        </w:rPr>
      </w:pPr>
    </w:p>
    <w:p>
      <w:pPr>
        <w:ind w:right="2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Net sales in the Live Events business unit declined by approximately 18%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2008 as compared to the same quarter last year and are down approximately 7% for the year to date in fiscal 2008 over last fiscal year. During the first nine months of fiscal year 2007, orders for live events, primarily large sports venues, were unusually high. As a result, we had expected that the sales for the first nine months of fiscal year 2008 would be limited in growth potential. This is due to the volatility caused by large projects in general. However, orders have increased approximately 16% year to date in fiscal 2008 as compared to the prior fiscal year. Included in these orders are a greater than historical level of dollars that have longer lead times to start manufacturing. This generally happens when a greater percentage of the business is new construction as opposed to major upgrades. It is difficult to assess whether these longer lead time projects will contribute to higher than expected sales when they are actually delivered, which could occur if we were to book a reasonable level of orders in the first half of fiscal year 2009 as compared to the prior year.</w:t>
      </w:r>
    </w:p>
    <w:p>
      <w:pPr>
        <w:spacing w:after="0" w:line="222" w:lineRule="exact"/>
        <w:rPr>
          <w:sz w:val="20"/>
          <w:szCs w:val="20"/>
          <w:color w:val="auto"/>
        </w:rPr>
      </w:pPr>
    </w:p>
    <w:p>
      <w:pPr>
        <w:ind w:right="2139" w:firstLine="648"/>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2008, our live events manufacturing plant had intended to focus efforts on the project for the Kansas City Royals and had begun production of the electronic modules. As a result of some design enhancements specific to this contract, we determined that these modules would be allocated to other products. The reallocated modules impacted sales in the third quarter of fiscal 2008 as we pushed most of the work related to the Royals project into the fourth quarter. This affected efficiencies in the plant because scheduling had to be reset on short notice, which is generally difficult to do.</w:t>
      </w:r>
    </w:p>
    <w:p>
      <w:pPr>
        <w:spacing w:after="0" w:line="220" w:lineRule="exact"/>
        <w:rPr>
          <w:sz w:val="20"/>
          <w:szCs w:val="20"/>
          <w:color w:val="auto"/>
        </w:rPr>
      </w:pPr>
    </w:p>
    <w:p>
      <w:pPr>
        <w:ind w:right="2139" w:firstLine="648"/>
        <w:spacing w:after="0" w:line="287" w:lineRule="auto"/>
        <w:rPr>
          <w:sz w:val="20"/>
          <w:szCs w:val="20"/>
          <w:color w:val="auto"/>
        </w:rPr>
      </w:pPr>
      <w:r>
        <w:rPr>
          <w:rFonts w:ascii="Times New Roman" w:cs="Times New Roman" w:eastAsia="Times New Roman" w:hAnsi="Times New Roman"/>
          <w:sz w:val="16"/>
          <w:szCs w:val="16"/>
          <w:color w:val="auto"/>
        </w:rPr>
        <w:t>Growth over the long-term in the large sports venues is due to a number of factors, including the expanding market, with facilities spending more on larger display systems; our product and services offering, which remains the most integrated and comprehensive offering in the industry; and our network of sales and service offices,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and mobile and modular portion of this business unit were not significant in the first nine months of fiscal year 2007 or 2008. Net sales in both these areas were less than 5% of total sales for the first nine months of fiscal year 2008.</w:t>
      </w:r>
    </w:p>
    <w:p>
      <w:pPr>
        <w:spacing w:after="0" w:line="200" w:lineRule="exact"/>
        <w:rPr>
          <w:sz w:val="20"/>
          <w:szCs w:val="20"/>
          <w:color w:val="auto"/>
        </w:rPr>
      </w:pPr>
    </w:p>
    <w:p>
      <w:pPr>
        <w:spacing w:after="0" w:line="212" w:lineRule="exact"/>
        <w:rPr>
          <w:sz w:val="20"/>
          <w:szCs w:val="20"/>
          <w:color w:val="auto"/>
        </w:rPr>
      </w:pPr>
    </w:p>
    <w:p>
      <w:pPr>
        <w:ind w:right="2119" w:firstLine="648"/>
        <w:spacing w:after="0" w:line="258" w:lineRule="auto"/>
        <w:rPr>
          <w:sz w:val="20"/>
          <w:szCs w:val="20"/>
          <w:color w:val="auto"/>
        </w:rPr>
      </w:pPr>
      <w:r>
        <w:rPr>
          <w:rFonts w:ascii="Times New Roman" w:cs="Times New Roman" w:eastAsia="Times New Roman" w:hAnsi="Times New Roman"/>
          <w:sz w:val="18"/>
          <w:szCs w:val="18"/>
          <w:color w:val="auto"/>
        </w:rPr>
        <w:t>An important factor in orders for the remainder of fiscal year 2008 and for orders and net sales in fiscal year 2009 will be our success in winning a limited number of large contracts expected to be awarded in the large sports venue market in fiscal year 2008. There are a number of transactions each exceeding $4 million which could have a significant impact on both orders and sales during the upcoming four quarters.</w:t>
      </w:r>
    </w:p>
    <w:p>
      <w:pPr>
        <w:spacing w:after="0" w:line="2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119" w:firstLine="622"/>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Schools and Theatres Business Unit. </w:t>
      </w:r>
      <w:r>
        <w:rPr>
          <w:rFonts w:ascii="Times New Roman" w:cs="Times New Roman" w:eastAsia="Times New Roman" w:hAnsi="Times New Roman"/>
          <w:sz w:val="16"/>
          <w:szCs w:val="16"/>
          <w:color w:val="auto"/>
        </w:rPr>
        <w:t>Net sales in the Schools and Theatres business unit were up 2%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third quarter of fiscal 2008 as compared to the same quarter in fiscal 2007. Year to date sales are up 27% in fiscal 2008 as compared to fiscal 2007. During the second quarter of fiscal year 2007, we were experiencing production delays for this unit, and as a result, many orders at that time were pushed into the third quarter of fiscal 2007. This did not happen in fiscal 2008 and, therefore, the comparison of the third quarter of fiscal 2008 to fiscal 2007 third quarter rate of growth is not indicative of the performance of the unit as a whole. The annual rate is more indicative of the overall performance. The increase in net sales year to date has been impacted by the acquisition of the hoist business late in the second quarter of fiscal year 2007 and more orders being booked as we further penetrate the market. The growth of this business is driven to a large degree by the depth, quality, performance and service of the products offered. Orders within this business unit have increased at a much higher rate and are up over 45% year to date as compared to last fiscal year, which has slightly exceeded our expectations.</w:t>
      </w:r>
    </w:p>
    <w:p>
      <w:pPr>
        <w:spacing w:after="0" w:line="200" w:lineRule="exact"/>
        <w:rPr>
          <w:sz w:val="20"/>
          <w:szCs w:val="20"/>
          <w:color w:val="auto"/>
        </w:rPr>
      </w:pPr>
    </w:p>
    <w:p>
      <w:pPr>
        <w:spacing w:after="0" w:line="212" w:lineRule="exact"/>
        <w:rPr>
          <w:sz w:val="20"/>
          <w:szCs w:val="20"/>
          <w:color w:val="auto"/>
        </w:rPr>
      </w:pPr>
    </w:p>
    <w:p>
      <w:pPr>
        <w:ind w:right="21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Transportation Business Unit</w:t>
      </w:r>
      <w:r>
        <w:rPr>
          <w:rFonts w:ascii="Times New Roman" w:cs="Times New Roman" w:eastAsia="Times New Roman" w:hAnsi="Times New Roman"/>
          <w:sz w:val="18"/>
          <w:szCs w:val="18"/>
          <w:color w:val="auto"/>
        </w:rPr>
        <w:t>. Net sales in the Transportation business unit increased 48%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year 2008 as compared to the third quarter of fiscal 2007, and year to date they are up 42% over the first nine months of fiscal year 2007. Orders for the first nine months of fiscal 2008 are up approximately 9%. We believe that the increases in net sales and orders in this business are due to legislation passed during calendar year 2005 by the United States Congress that provided for increased spending on transportation projects, including large increases associated with intelligent transportation systems, and to us gaining market share. For fiscal year 2008 as a whole, we expect that sales will grow in excess of 10%.</w:t>
      </w:r>
    </w:p>
    <w:p>
      <w:pPr>
        <w:sectPr>
          <w:pgSz w:w="11900" w:h="16838" w:orient="portrait"/>
          <w:cols w:equalWidth="0" w:num="1">
            <w:col w:w="10219"/>
          </w:cols>
          <w:pgMar w:left="240" w:top="125" w:right="1440" w:bottom="0" w:gutter="0" w:footer="0" w:header="0"/>
        </w:sectPr>
      </w:pPr>
    </w:p>
    <w:bookmarkStart w:id="17" w:name="page18"/>
    <w:bookmarkEnd w:id="17"/>
    <w:p>
      <w:pPr>
        <w:ind w:right="21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Net sales in the International business unit in the third quarter of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compared to the third quarter of fiscal year 2007 were up 21% and on a year to date basis have increased approximately 6%. The increase in the third quarter was attributable to the increasing success we are experiencing in Europe and Asia, which are the primary geographic areas of focus for us. Orders as compared to net sales have increased 62% year to date over the first nine months of fiscal year 2007. Due to the focus on large contracts in this business unit and the small number of contracts actually booked, volatility is not unusual. Overall, we are making considerable investments in growing our business internationally, where we do not have the same market share as we do domestically, and we believe net sales will increase significantly in all of fiscal year 2008 as compared to 2007. We continue to see success with our efforts in Asia and, as a result of our expanding line of ProTour products, we expect that European sales will also expand. Orders in this business unit were impacted favorably during the third quarter of fiscal 2008 by a large order for an outdoor advertising company. Based on verbal commitments we have received on orders in the Asian market, we are expecting that sales in this unit could set a record in the fourth quarter.</w:t>
      </w:r>
    </w:p>
    <w:p>
      <w:pPr>
        <w:spacing w:after="0" w:line="229" w:lineRule="exact"/>
        <w:rPr>
          <w:sz w:val="20"/>
          <w:szCs w:val="20"/>
          <w:color w:val="auto"/>
        </w:rPr>
      </w:pPr>
    </w:p>
    <w:p>
      <w:pPr>
        <w:ind w:right="2119" w:firstLine="622"/>
        <w:spacing w:after="0" w:line="256" w:lineRule="auto"/>
        <w:rPr>
          <w:sz w:val="20"/>
          <w:szCs w:val="20"/>
          <w:color w:val="auto"/>
        </w:rPr>
      </w:pPr>
      <w:r>
        <w:rPr>
          <w:rFonts w:ascii="Times New Roman" w:cs="Times New Roman" w:eastAsia="Times New Roman" w:hAnsi="Times New Roman"/>
          <w:sz w:val="18"/>
          <w:szCs w:val="18"/>
          <w:color w:val="auto"/>
        </w:rPr>
        <w:t>We occasionally sell products in exchange for the advertising revenues generated from use of the products. These sales represented 1% and less than 2% of net sales for the first nine months of fiscal year 2008 and 2007. The gross profit percent on these transactions have typically been higher than the gross profit percent on other transactions of similar size, although the selling expenses associated with these transactions are typically higher.</w:t>
      </w:r>
    </w:p>
    <w:p>
      <w:pPr>
        <w:spacing w:after="0" w:line="220" w:lineRule="exact"/>
        <w:rPr>
          <w:sz w:val="20"/>
          <w:szCs w:val="20"/>
          <w:color w:val="auto"/>
        </w:rPr>
      </w:pPr>
    </w:p>
    <w:p>
      <w:pPr>
        <w:ind w:right="2179" w:firstLine="648"/>
        <w:spacing w:after="0" w:line="258" w:lineRule="auto"/>
        <w:rPr>
          <w:sz w:val="20"/>
          <w:szCs w:val="20"/>
          <w:color w:val="auto"/>
        </w:rPr>
      </w:pPr>
      <w:r>
        <w:rPr>
          <w:rFonts w:ascii="Times New Roman" w:cs="Times New Roman" w:eastAsia="Times New Roman" w:hAnsi="Times New Roman"/>
          <w:sz w:val="18"/>
          <w:szCs w:val="18"/>
          <w:color w:val="auto"/>
        </w:rPr>
        <w:t>The order backlog as of January 26, 2008 was approximately $138 million as compared to $98 million as of January 27, 2007 and $119 million at the beginning of the third quarter of fiscal year 2008. Historically, our backlog varies due to the timing of large orders. The changes in the backlog were the result of the combination of the changes in orders and net sales discussed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4" w:lineRule="exact"/>
        <w:rPr>
          <w:sz w:val="20"/>
          <w:szCs w:val="20"/>
          <w:color w:val="auto"/>
        </w:rPr>
      </w:pPr>
    </w:p>
    <w:p>
      <w:pPr>
        <w:ind w:right="2119" w:firstLine="648"/>
        <w:spacing w:after="0" w:line="256" w:lineRule="auto"/>
        <w:rPr>
          <w:sz w:val="20"/>
          <w:szCs w:val="20"/>
          <w:color w:val="auto"/>
        </w:rPr>
      </w:pPr>
      <w:r>
        <w:rPr>
          <w:rFonts w:ascii="Times New Roman" w:cs="Times New Roman" w:eastAsia="Times New Roman" w:hAnsi="Times New Roman"/>
          <w:sz w:val="18"/>
          <w:szCs w:val="18"/>
          <w:color w:val="auto"/>
        </w:rPr>
        <w:t>Gross profit increased 8.7% to $35.2 million for the third quarter of fiscal 2008 as compared to $32.4 million for the third quarter of fiscal year 2007. For the nine months ended January 26, 2008, gross profit increased 18.1% to $111.3 million compared to $94.1 million for the nine months ended January 27, 2007. As a percent of net sales, gross profit was 29.8% and 30.0% for the three and nine months ended January 26, 2008 as compared to 30.3% and 29.2% for the three and nine months ended January 27, 2007, respectively.</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139" w:firstLine="648"/>
        <w:spacing w:after="0" w:line="253" w:lineRule="auto"/>
        <w:rPr>
          <w:sz w:val="20"/>
          <w:szCs w:val="20"/>
          <w:color w:val="auto"/>
        </w:rPr>
      </w:pPr>
      <w:r>
        <w:rPr>
          <w:rFonts w:ascii="Times New Roman" w:cs="Times New Roman" w:eastAsia="Times New Roman" w:hAnsi="Times New Roman"/>
          <w:sz w:val="18"/>
          <w:szCs w:val="18"/>
          <w:color w:val="auto"/>
        </w:rPr>
        <w:t>Gross profits have been positively impacted by higher gross margins on contract orders, which have risen consistently throughout the year until the third quarter of fiscal 2008. This higher margin is the result of new products offered, which are able to earn a higher average margin in the marketplace, declines in raw materials pricing and the competitive landscape in some cases. The new products have been the main driver here which has added in excess of 1/2 margin point, while the raw materials pricing has been slightly less than that. Estimated margin on orders in the third quarter of fiscal 2008 declined as a result of the large orders for professional sports facilities which traditionally carry smaller margins. We are optimistic that we can increase the actual margin on these transactions but not sufficiently to keep margins from declining slightly. Thus, for the fourth quarter of fiscal 2008, we expect a slight decrease in gross margin that could extend into fiscal year 2009; however, that is difficult to predict at this time.</w:t>
      </w:r>
    </w:p>
    <w:p>
      <w:pPr>
        <w:spacing w:after="0" w:line="222" w:lineRule="exact"/>
        <w:rPr>
          <w:sz w:val="20"/>
          <w:szCs w:val="20"/>
          <w:color w:val="auto"/>
        </w:rPr>
      </w:pPr>
    </w:p>
    <w:p>
      <w:pPr>
        <w:ind w:right="2499" w:firstLine="648"/>
        <w:spacing w:after="0" w:line="275" w:lineRule="auto"/>
        <w:rPr>
          <w:sz w:val="20"/>
          <w:szCs w:val="20"/>
          <w:color w:val="auto"/>
        </w:rPr>
      </w:pPr>
      <w:r>
        <w:rPr>
          <w:rFonts w:ascii="Times New Roman" w:cs="Times New Roman" w:eastAsia="Times New Roman" w:hAnsi="Times New Roman"/>
          <w:sz w:val="18"/>
          <w:szCs w:val="18"/>
          <w:color w:val="auto"/>
        </w:rPr>
        <w:t>Gross margin percentages were also negatively impacted in the third quarter of fiscal 2008 by higher warranty costs as disclosed in the notes to the consolidated financial statements.</w:t>
      </w:r>
    </w:p>
    <w:p>
      <w:pPr>
        <w:spacing w:after="0" w:line="201" w:lineRule="exact"/>
        <w:rPr>
          <w:sz w:val="20"/>
          <w:szCs w:val="20"/>
          <w:color w:val="auto"/>
        </w:rPr>
      </w:pPr>
    </w:p>
    <w:p>
      <w:pPr>
        <w:ind w:right="2299" w:firstLine="648"/>
        <w:spacing w:after="0" w:line="275" w:lineRule="auto"/>
        <w:rPr>
          <w:sz w:val="20"/>
          <w:szCs w:val="20"/>
          <w:color w:val="auto"/>
        </w:rPr>
      </w:pPr>
      <w:r>
        <w:rPr>
          <w:rFonts w:ascii="Times New Roman" w:cs="Times New Roman" w:eastAsia="Times New Roman" w:hAnsi="Times New Roman"/>
          <w:sz w:val="18"/>
          <w:szCs w:val="18"/>
          <w:color w:val="auto"/>
        </w:rPr>
        <w:t>The third quarter each year is generally the toughest quarter to achieve higher percentages as a result of the impact of the holidays and the slowing down of the sports business.</w:t>
      </w:r>
    </w:p>
    <w:p>
      <w:pPr>
        <w:spacing w:after="0" w:line="201" w:lineRule="exact"/>
        <w:rPr>
          <w:sz w:val="20"/>
          <w:szCs w:val="20"/>
          <w:color w:val="auto"/>
        </w:rPr>
      </w:pPr>
    </w:p>
    <w:p>
      <w:pPr>
        <w:ind w:right="2119" w:firstLine="648"/>
        <w:spacing w:after="0" w:line="258" w:lineRule="auto"/>
        <w:rPr>
          <w:sz w:val="20"/>
          <w:szCs w:val="20"/>
          <w:color w:val="auto"/>
        </w:rPr>
      </w:pPr>
      <w:r>
        <w:rPr>
          <w:rFonts w:ascii="Times New Roman" w:cs="Times New Roman" w:eastAsia="Times New Roman" w:hAnsi="Times New Roman"/>
          <w:sz w:val="18"/>
          <w:szCs w:val="18"/>
          <w:color w:val="auto"/>
        </w:rPr>
        <w:t>We strive toward higher gross margins as a percent of net sales, although depending on the actual mix, the performance of larger projects, and our ability to execute on the business and level of future sales, margin percentages may not increase and are likely to remain below the levels of the last fiscal year in the upcoming quarter due to the continuation of efforts to expand facilities.</w:t>
      </w:r>
    </w:p>
    <w:p>
      <w:pPr>
        <w:spacing w:after="0" w:line="217" w:lineRule="exact"/>
        <w:rPr>
          <w:sz w:val="20"/>
          <w:szCs w:val="20"/>
          <w:color w:val="auto"/>
        </w:rPr>
      </w:pPr>
    </w:p>
    <w:p>
      <w:pPr>
        <w:ind w:right="2339" w:firstLine="648"/>
        <w:spacing w:after="0" w:line="255" w:lineRule="auto"/>
        <w:rPr>
          <w:sz w:val="20"/>
          <w:szCs w:val="20"/>
          <w:color w:val="auto"/>
        </w:rPr>
      </w:pPr>
      <w:r>
        <w:rPr>
          <w:rFonts w:ascii="Times New Roman" w:cs="Times New Roman" w:eastAsia="Times New Roman" w:hAnsi="Times New Roman"/>
          <w:sz w:val="18"/>
          <w:szCs w:val="18"/>
          <w:color w:val="auto"/>
        </w:rPr>
        <w:t>We expect that gross profit margins may decline slightly in the fourth quarter of fiscal year 2008, primarily as a result of the large professional sports projects that we expect will contribute to revenue during the quarter. However, depending on the competitive environment, the actual mix, the level of future sales and other factors described elsewhere, margin percentages may deviate more or less from the level of the third quarter of fiscal 2008. For the year as a whole, however, gross profit margin may be slightly higher as compared to fiscal 2007, depending on the level of the fourth quarter.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79" w:lineRule="exact"/>
        <w:rPr>
          <w:sz w:val="20"/>
          <w:szCs w:val="20"/>
          <w:color w:val="auto"/>
        </w:rPr>
      </w:pPr>
    </w:p>
    <w:p>
      <w:pPr>
        <w:ind w:right="2219" w:firstLine="648"/>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Operating expenses. </w:t>
      </w:r>
      <w:r>
        <w:rPr>
          <w:rFonts w:ascii="Times New Roman" w:cs="Times New Roman" w:eastAsia="Times New Roman" w:hAnsi="Times New Roman"/>
          <w:sz w:val="16"/>
          <w:szCs w:val="16"/>
          <w:color w:val="auto"/>
        </w:rPr>
        <w:t>Operating expenses, which are comprised of selling, general and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and product design and development costs, increased by approximately 25.1% from $22.5 million in the third quarter of fiscal year 2007 to $28.2 million in the third quarter of fiscal year 2008. As a percent of net sales, operating expenses increased from 21.1% of net sales in the third quarter of fiscal 2007 to 23.9% of net sales for the third quarter of fiscal 2008. For the nine months ended January 26, 2008, operating expenses increased 27.2%</w:t>
      </w:r>
    </w:p>
    <w:p>
      <w:pPr>
        <w:sectPr>
          <w:pgSz w:w="11900" w:h="16838" w:orient="portrait"/>
          <w:cols w:equalWidth="0" w:num="1">
            <w:col w:w="10219"/>
          </w:cols>
          <w:pgMar w:left="240" w:top="150" w:right="1440" w:bottom="0" w:gutter="0" w:footer="0" w:header="0"/>
        </w:sectPr>
      </w:pPr>
    </w:p>
    <w:bookmarkStart w:id="18" w:name="page19"/>
    <w:bookmarkEnd w:id="18"/>
    <w:p>
      <w:pPr>
        <w:ind w:right="2119"/>
        <w:spacing w:after="0" w:line="275" w:lineRule="auto"/>
        <w:rPr>
          <w:sz w:val="20"/>
          <w:szCs w:val="20"/>
          <w:color w:val="auto"/>
        </w:rPr>
      </w:pPr>
      <w:r>
        <w:rPr>
          <w:rFonts w:ascii="Times New Roman" w:cs="Times New Roman" w:eastAsia="Times New Roman" w:hAnsi="Times New Roman"/>
          <w:sz w:val="18"/>
          <w:szCs w:val="18"/>
          <w:color w:val="auto"/>
        </w:rPr>
        <w:t>from $63.4 million for the nine months ended January 27, 2007 to $80.7 million for the nine months ended January 26, 2008.</w:t>
      </w:r>
    </w:p>
    <w:p>
      <w:pPr>
        <w:spacing w:after="0" w:line="226" w:lineRule="exact"/>
        <w:rPr>
          <w:sz w:val="20"/>
          <w:szCs w:val="20"/>
          <w:color w:val="auto"/>
        </w:rPr>
      </w:pPr>
    </w:p>
    <w:p>
      <w:pPr>
        <w:jc w:val="both"/>
        <w:ind w:right="2199"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 facilities-related costs for sales and service offices, and expenditures for marketing efforts, including collateral materials, conventions and trade shows, product demos and supplies.</w:t>
      </w:r>
    </w:p>
    <w:p>
      <w:pPr>
        <w:spacing w:after="0" w:line="210" w:lineRule="exact"/>
        <w:rPr>
          <w:sz w:val="20"/>
          <w:szCs w:val="20"/>
          <w:color w:val="auto"/>
        </w:rPr>
      </w:pPr>
    </w:p>
    <w:p>
      <w:pPr>
        <w:ind w:right="2159" w:firstLine="648"/>
        <w:spacing w:after="0" w:line="255" w:lineRule="auto"/>
        <w:rPr>
          <w:sz w:val="20"/>
          <w:szCs w:val="20"/>
          <w:color w:val="auto"/>
        </w:rPr>
      </w:pPr>
      <w:r>
        <w:rPr>
          <w:rFonts w:ascii="Times New Roman" w:cs="Times New Roman" w:eastAsia="Times New Roman" w:hAnsi="Times New Roman"/>
          <w:sz w:val="18"/>
          <w:szCs w:val="18"/>
          <w:color w:val="auto"/>
        </w:rPr>
        <w:t>Selling expenses increased 19.6% to $16.4 million for the three months ended January 26, 2008 as compared to $13.7 million for the same period in fiscal year 2007. Selling expenses increased 20.0% to $46.4 million for the nine months ended January 26, 2008 from $38.7 million for the same period in fiscal year 2007. Selling expenses increased to 13.9% of net sales for the third quarter of fiscal year 2008 from 12.8% of net sales for the third quarter of fiscal year 2007. For the nine months ended January 26, 2008, selling expenses were 12.5% of net sales as compared to 12.0% of net sales for the nine months ended January 27, 2007.</w:t>
      </w:r>
    </w:p>
    <w:p>
      <w:pPr>
        <w:spacing w:after="0" w:line="220" w:lineRule="exact"/>
        <w:rPr>
          <w:sz w:val="20"/>
          <w:szCs w:val="20"/>
          <w:color w:val="auto"/>
        </w:rPr>
      </w:pPr>
    </w:p>
    <w:p>
      <w:pPr>
        <w:ind w:right="2139" w:firstLine="648"/>
        <w:spacing w:after="0" w:line="254" w:lineRule="auto"/>
        <w:rPr>
          <w:sz w:val="20"/>
          <w:szCs w:val="20"/>
          <w:color w:val="auto"/>
        </w:rPr>
      </w:pPr>
      <w:r>
        <w:rPr>
          <w:rFonts w:ascii="Times New Roman" w:cs="Times New Roman" w:eastAsia="Times New Roman" w:hAnsi="Times New Roman"/>
          <w:sz w:val="18"/>
          <w:szCs w:val="18"/>
          <w:color w:val="auto"/>
        </w:rPr>
        <w:t>Selling expenses for the quarter and nine months ended January 26, 2008 were higher than selling expenses in the quarter and nine months ended January 27, 2007 as a result of an increase in personnel costs, which was due primarily to increases made during fiscal year 2007 and into fiscal 2008 as we built our sales infrastructure across all business units, primarily on an international basis; increased travel and entertainment costs; more depreciation; and the increased number of sales and services offices and other costs associated with a higher number of employees. The largest contributor to the increase is the greater number of employees hired to cover growth expectations across all markets and the impact of hiring additional personnel to support various other investments made in growing areas, such as our services business and our international</w:t>
      </w:r>
    </w:p>
    <w:p>
      <w:pPr>
        <w:spacing w:after="0" w:line="21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119"/>
        <w:spacing w:after="0" w:line="255" w:lineRule="auto"/>
        <w:rPr>
          <w:sz w:val="20"/>
          <w:szCs w:val="20"/>
          <w:color w:val="auto"/>
        </w:rPr>
      </w:pPr>
      <w:r>
        <w:rPr>
          <w:rFonts w:ascii="Times New Roman" w:cs="Times New Roman" w:eastAsia="Times New Roman" w:hAnsi="Times New Roman"/>
          <w:sz w:val="18"/>
          <w:szCs w:val="18"/>
          <w:color w:val="auto"/>
        </w:rPr>
        <w:t>business, which is a core strategic growth area of our company. Year to date, we have increased our services personnel by more than 20% and our total international costs have increased by more than $3 million. The increase in travel and entertainment which is less than $0.5 million is due to having more employees and higher sales. Higher depreciation costs of approximately $1 million are primarily due to the increased investment in demonstration products and the build-out of the facilities to handle our expansion. During the third quarter of fiscal year 2008, we also experienced higher than expected health insurance costs.</w:t>
      </w:r>
    </w:p>
    <w:p>
      <w:pPr>
        <w:spacing w:after="0" w:line="220" w:lineRule="exact"/>
        <w:rPr>
          <w:sz w:val="20"/>
          <w:szCs w:val="20"/>
          <w:color w:val="auto"/>
        </w:rPr>
      </w:pPr>
    </w:p>
    <w:p>
      <w:pPr>
        <w:ind w:right="2099" w:firstLine="648"/>
        <w:spacing w:after="0" w:line="289" w:lineRule="auto"/>
        <w:rPr>
          <w:sz w:val="20"/>
          <w:szCs w:val="20"/>
          <w:color w:val="auto"/>
        </w:rPr>
      </w:pPr>
      <w:r>
        <w:rPr>
          <w:rFonts w:ascii="Times New Roman" w:cs="Times New Roman" w:eastAsia="Times New Roman" w:hAnsi="Times New Roman"/>
          <w:sz w:val="16"/>
          <w:szCs w:val="16"/>
          <w:color w:val="auto"/>
        </w:rPr>
        <w:t>We expect to continue to invest in organic growth which, combined with the ramp-up of personnel in the latter half of fiscal year 2007, has caused selling expenses to increase in fiscal year 2008 as compared to fiscal year 2007. We typically evaluate selling expenses as a percentage of orders rather than sales. Based on this comparison to orders, we have held selling expenses at the same level year to date in fiscal 2008 as compared to fiscal 2007. During the first quarter of fiscal year 2008, we took steps to slow the rate of growth of selling expenses and, on a quarterly basis, we have reevaluated where we are as a percentage of orders to ensure that we meet our goal of reducing selling expense as a percentage of sales. This expectation could change based on how much we ultimately invest in current initiatives underway, including our geographical expansion. We expect that in the fourth quarter our growth of personnel and expenses will be less sequentially from the third quarter.</w:t>
      </w:r>
    </w:p>
    <w:p>
      <w:pPr>
        <w:spacing w:after="0" w:line="200" w:lineRule="exact"/>
        <w:rPr>
          <w:sz w:val="20"/>
          <w:szCs w:val="20"/>
          <w:color w:val="auto"/>
        </w:rPr>
      </w:pPr>
    </w:p>
    <w:p>
      <w:pPr>
        <w:spacing w:after="0" w:line="240" w:lineRule="exact"/>
        <w:rPr>
          <w:sz w:val="20"/>
          <w:szCs w:val="20"/>
          <w:color w:val="auto"/>
        </w:rPr>
      </w:pPr>
    </w:p>
    <w:p>
      <w:pPr>
        <w:jc w:val="both"/>
        <w:ind w:right="2479"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costs, professional fees, shareholder relations fees, facilities and equipment-related costs for administration departments, amortization of intangibles and supplies.</w:t>
      </w:r>
    </w:p>
    <w:p>
      <w:pPr>
        <w:spacing w:after="0" w:line="210" w:lineRule="exact"/>
        <w:rPr>
          <w:sz w:val="20"/>
          <w:szCs w:val="20"/>
          <w:color w:val="auto"/>
        </w:rPr>
      </w:pPr>
    </w:p>
    <w:p>
      <w:pPr>
        <w:ind w:right="215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31.3% to $6.9 million for the third quarter of fiscal year 2008 as compared to $5.2 million for the third quarter of fiscal year 2007. General and administrative expenses increased 42.1% to $19.3 million for the nine months ended January 26, 2008 as compared to $13.6 million for the nine months ended January 27, 2007.</w:t>
      </w:r>
    </w:p>
    <w:p>
      <w:pPr>
        <w:spacing w:after="0" w:line="217" w:lineRule="exact"/>
        <w:rPr>
          <w:sz w:val="20"/>
          <w:szCs w:val="20"/>
          <w:color w:val="auto"/>
        </w:rPr>
      </w:pPr>
    </w:p>
    <w:p>
      <w:pPr>
        <w:ind w:right="213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5.8% as a percent of net sales for the third quarter of fiscal year 2007 from 4.9% of net sales for the third quarter of fiscal year 2007. For the nine months ended January 26, 2008, general and administrative expenses increased to 5.2% of net sales as compared to 4.2% of net sales for the nine months ended January 27, 2007.</w:t>
      </w:r>
    </w:p>
    <w:p>
      <w:pPr>
        <w:spacing w:after="0" w:line="217" w:lineRule="exact"/>
        <w:rPr>
          <w:sz w:val="20"/>
          <w:szCs w:val="20"/>
          <w:color w:val="auto"/>
        </w:rPr>
      </w:pPr>
    </w:p>
    <w:p>
      <w:pPr>
        <w:ind w:right="2139" w:firstLine="648"/>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for the third quarter of fiscal year 2008 as compared to the third quarter of fiscal year 2007 due to increases in personnel and related costs across all areas within general and administration due to our growth as described above, information systems maintenance and support costs, professional fees, training and recruiting costs, building costs and international expansion. On a year to date basis, the key factors causing the increases were similar with personnel costs accounting for almost half of the increase and information systems hardware and software accounting for more than 15% of the increase. Building costs, primarily depreciation and IT infrastructure along with training comprise the largest portion of the balance of the increase. We expect that general and administrative costs will be flat to slightly up in the fourth quarter of fiscal 2008 as compared to the third quarter of fiscal year 2008.</w:t>
      </w:r>
    </w:p>
    <w:p>
      <w:pPr>
        <w:spacing w:after="0" w:line="249" w:lineRule="exact"/>
        <w:rPr>
          <w:sz w:val="20"/>
          <w:szCs w:val="20"/>
          <w:color w:val="auto"/>
        </w:rPr>
      </w:pPr>
    </w:p>
    <w:p>
      <w:pPr>
        <w:ind w:right="2719" w:firstLine="622"/>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Product design and development expenses consist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other employee-related costs, facilities and equipment-related costs and costs of supplies.</w:t>
      </w:r>
    </w:p>
    <w:p>
      <w:pPr>
        <w:spacing w:after="0" w:line="199" w:lineRule="exact"/>
        <w:rPr>
          <w:sz w:val="20"/>
          <w:szCs w:val="20"/>
          <w:color w:val="auto"/>
        </w:rPr>
      </w:pPr>
    </w:p>
    <w:p>
      <w:pPr>
        <w:ind w:right="2379" w:firstLine="648"/>
        <w:spacing w:after="0" w:line="339" w:lineRule="auto"/>
        <w:rPr>
          <w:sz w:val="20"/>
          <w:szCs w:val="20"/>
          <w:color w:val="auto"/>
        </w:rPr>
      </w:pPr>
      <w:r>
        <w:rPr>
          <w:rFonts w:ascii="Times New Roman" w:cs="Times New Roman" w:eastAsia="Times New Roman" w:hAnsi="Times New Roman"/>
          <w:sz w:val="16"/>
          <w:szCs w:val="16"/>
          <w:color w:val="auto"/>
        </w:rPr>
        <w:t>Product design and development expenses increased 36.9% to $4.9 million for the three months ended January 26, 2008 compared to $3.6 million for the same period in fiscal year 2007. Product design and</w:t>
      </w:r>
    </w:p>
    <w:p>
      <w:pPr>
        <w:sectPr>
          <w:pgSz w:w="11900" w:h="16838" w:orient="portrait"/>
          <w:cols w:equalWidth="0" w:num="1">
            <w:col w:w="10219"/>
          </w:cols>
          <w:pgMar w:left="240" w:top="125" w:right="1440" w:bottom="0" w:gutter="0" w:footer="0" w:header="0"/>
        </w:sectPr>
      </w:pPr>
    </w:p>
    <w:bookmarkStart w:id="19" w:name="page20"/>
    <w:bookmarkEnd w:id="19"/>
    <w:p>
      <w:pPr>
        <w:ind w:right="2199"/>
        <w:spacing w:after="0" w:line="275" w:lineRule="auto"/>
        <w:rPr>
          <w:sz w:val="20"/>
          <w:szCs w:val="20"/>
          <w:color w:val="auto"/>
        </w:rPr>
      </w:pPr>
      <w:r>
        <w:rPr>
          <w:rFonts w:ascii="Times New Roman" w:cs="Times New Roman" w:eastAsia="Times New Roman" w:hAnsi="Times New Roman"/>
          <w:sz w:val="18"/>
          <w:szCs w:val="18"/>
          <w:color w:val="auto"/>
        </w:rPr>
        <w:t>development expenses increased 34.0% to $15.0 million for the nine months ended January 26, 2008 as compared to $11.2 million for the nine months ended January 27, 2007.</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179" w:firstLine="648"/>
        <w:spacing w:after="0" w:line="262" w:lineRule="auto"/>
        <w:rPr>
          <w:sz w:val="20"/>
          <w:szCs w:val="20"/>
          <w:color w:val="auto"/>
        </w:rPr>
      </w:pPr>
      <w:r>
        <w:rPr>
          <w:rFonts w:ascii="Times New Roman" w:cs="Times New Roman" w:eastAsia="Times New Roman" w:hAnsi="Times New Roman"/>
          <w:sz w:val="18"/>
          <w:szCs w:val="18"/>
          <w:color w:val="auto"/>
        </w:rPr>
        <w:t>Product design and development expenses were 4.2% of net sales for the third quarter of fiscal year 2008 and 3.4% of net sales for third quarter of fiscal 2007. Product design and development expenses were 4.0% and 3.5% of net sales for the nine months ended January 26, 2008 and January 27, 2007, respectively.</w:t>
      </w:r>
    </w:p>
    <w:p>
      <w:pPr>
        <w:spacing w:after="0" w:line="213" w:lineRule="exact"/>
        <w:rPr>
          <w:sz w:val="20"/>
          <w:szCs w:val="20"/>
          <w:color w:val="auto"/>
        </w:rPr>
      </w:pPr>
    </w:p>
    <w:p>
      <w:pPr>
        <w:ind w:right="2099" w:firstLine="648"/>
        <w:spacing w:after="0" w:line="258" w:lineRule="auto"/>
        <w:rPr>
          <w:sz w:val="20"/>
          <w:szCs w:val="20"/>
          <w:color w:val="auto"/>
        </w:rPr>
      </w:pPr>
      <w:r>
        <w:rPr>
          <w:rFonts w:ascii="Times New Roman" w:cs="Times New Roman" w:eastAsia="Times New Roman" w:hAnsi="Times New Roman"/>
          <w:sz w:val="18"/>
          <w:szCs w:val="18"/>
          <w:color w:val="auto"/>
        </w:rPr>
        <w:t>Generally, product design and development expenses increase when our engineering resources are not dedicated to long-term contracts, as the same personnel who work on research and development also work on long-term contracts. We expect that product design and development expenses will approximate 4% of net sales for all of fiscal year 2008.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254" w:lineRule="exact"/>
        <w:rPr>
          <w:sz w:val="20"/>
          <w:szCs w:val="20"/>
          <w:color w:val="auto"/>
        </w:rPr>
      </w:pPr>
    </w:p>
    <w:p>
      <w:pPr>
        <w:ind w:right="2399" w:firstLine="648"/>
        <w:spacing w:after="0" w:line="258" w:lineRule="auto"/>
        <w:rPr>
          <w:sz w:val="20"/>
          <w:szCs w:val="20"/>
          <w:color w:val="auto"/>
        </w:rPr>
      </w:pPr>
      <w:r>
        <w:rPr>
          <w:rFonts w:ascii="Times New Roman" w:cs="Times New Roman" w:eastAsia="Times New Roman" w:hAnsi="Times New Roman"/>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w:t>
      </w:r>
    </w:p>
    <w:p>
      <w:pPr>
        <w:spacing w:after="0" w:line="217" w:lineRule="exact"/>
        <w:rPr>
          <w:sz w:val="20"/>
          <w:szCs w:val="20"/>
          <w:color w:val="auto"/>
        </w:rPr>
      </w:pPr>
    </w:p>
    <w:p>
      <w:pPr>
        <w:ind w:right="2119" w:firstLine="648"/>
        <w:spacing w:after="0" w:line="255" w:lineRule="auto"/>
        <w:rPr>
          <w:sz w:val="20"/>
          <w:szCs w:val="20"/>
          <w:color w:val="auto"/>
        </w:rPr>
      </w:pPr>
      <w:r>
        <w:rPr>
          <w:rFonts w:ascii="Times New Roman" w:cs="Times New Roman" w:eastAsia="Times New Roman" w:hAnsi="Times New Roman"/>
          <w:sz w:val="18"/>
          <w:szCs w:val="18"/>
          <w:color w:val="auto"/>
        </w:rPr>
        <w:t>Interest income increased 47.4% to $0.4 million for the three months ended January 26, 2008 compared to the third quarter of fiscal year 2007. For the nine months ended January 26, 2008, interest income decreased 11.2% to $1.3 million from $1.5 million for the nine months ended January 27, 2007. The change for the nine months as a whole was the result of lower levels of interest-bearing marketable securities. We expect that the amount of interest income will decrease slightly in the fourth quarter of fiscal 2008 due to the decline in interest on trade receivables.</w:t>
      </w:r>
    </w:p>
    <w:p>
      <w:pPr>
        <w:spacing w:after="0" w:line="220" w:lineRule="exact"/>
        <w:rPr>
          <w:sz w:val="20"/>
          <w:szCs w:val="20"/>
          <w:color w:val="auto"/>
        </w:rPr>
      </w:pPr>
    </w:p>
    <w:p>
      <w:pPr>
        <w:ind w:right="2159" w:firstLine="648"/>
        <w:spacing w:after="0" w:line="254" w:lineRule="auto"/>
        <w:rPr>
          <w:sz w:val="20"/>
          <w:szCs w:val="20"/>
          <w:color w:val="auto"/>
        </w:rPr>
      </w:pPr>
      <w:r>
        <w:rPr>
          <w:rFonts w:ascii="Times New Roman" w:cs="Times New Roman" w:eastAsia="Times New Roman" w:hAnsi="Times New Roman"/>
          <w:sz w:val="18"/>
          <w:szCs w:val="18"/>
          <w:color w:val="auto"/>
        </w:rPr>
        <w:t>Interest expense is comprised primarily of interest costs on our notes payable and long-term debt. Interest expense increased to $0.5 million for the three months ended January 26, 2008 as compared to $0.2 million for the third quarter of fiscal year 2007. For the nine months ended January 26, 2008, interest expense increased 304.2% to $1.3 million from $0.3 million for the nine months ended January 27, 2007. The increase is primarily due to higher average borrowings outstanding during the year. Included in interest expense in the third quarter of fiscal year 2008 was approximately $0.1 related to interest on sales tax audits arising and completed during the quarter. Due to the reduction in debt during the third quarter of fiscal 2008, we expect that interest expense will decline in the fourth quarter of fiscal 2008.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54" w:lineRule="exact"/>
        <w:rPr>
          <w:sz w:val="20"/>
          <w:szCs w:val="20"/>
          <w:color w:val="auto"/>
        </w:rPr>
      </w:pPr>
    </w:p>
    <w:p>
      <w:pPr>
        <w:ind w:right="2259" w:firstLine="648"/>
        <w:spacing w:after="0" w:line="254" w:lineRule="auto"/>
        <w:rPr>
          <w:sz w:val="20"/>
          <w:szCs w:val="20"/>
          <w:color w:val="auto"/>
        </w:rPr>
      </w:pPr>
      <w:r>
        <w:rPr>
          <w:rFonts w:ascii="Times New Roman" w:cs="Times New Roman" w:eastAsia="Times New Roman" w:hAnsi="Times New Roman"/>
          <w:sz w:val="18"/>
          <w:szCs w:val="18"/>
          <w:color w:val="auto"/>
        </w:rPr>
        <w:t>Other income (expense) increased to $2.0 million for the three months ended January 26, 2008 as compared to less than ($0.1) million for the three months ended January 27, 2007. For the first nine months of fiscal year 2008 and 2007, other income (expense) was $1.5 and ($0.6) million, respectively. The change results from the effects of earnings attributable to unconsolidated affiliates, currency gains and losses, and a pre-tax gain of approximately $2.5 million from the sale of a significant portion of our investment in Arena Media Networks. We expect that other income (expense), excluding the gain on the sale of Arena Media, which was approximately ($0.8) million, will improve in the fourth quarter of fiscal 2008.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4" w:lineRule="exact"/>
        <w:rPr>
          <w:sz w:val="20"/>
          <w:szCs w:val="20"/>
          <w:color w:val="auto"/>
        </w:rPr>
      </w:pPr>
    </w:p>
    <w:p>
      <w:pPr>
        <w:ind w:right="2119" w:firstLine="648"/>
        <w:spacing w:after="0" w:line="254" w:lineRule="auto"/>
        <w:rPr>
          <w:sz w:val="20"/>
          <w:szCs w:val="20"/>
          <w:color w:val="auto"/>
        </w:rPr>
      </w:pPr>
      <w:r>
        <w:rPr>
          <w:rFonts w:ascii="Times New Roman" w:cs="Times New Roman" w:eastAsia="Times New Roman" w:hAnsi="Times New Roman"/>
          <w:sz w:val="18"/>
          <w:szCs w:val="18"/>
          <w:color w:val="auto"/>
        </w:rPr>
        <w:t>Income taxes were approximately $3.6 million in the third quarter of fiscal year 2008 and $2.8 million for the third quarter of fiscal year 2007. For the first nine months of fiscal year 2008, income taxes increased to $11.6 million as compared to $10.4 million for the first nine months of fiscal year 2007. The effective tax rate for the nine months ended January 26, 2008 was 36.2% as compared to 33.3% for the first nine months of fiscal year 2007. The effective rate was lower in fiscal year 2007, as a greater amount of net income was recognized in lower-rate tax jurisdictions such as China and Macau. We expect that the effective tax rate for the 2008 fiscal year will approximate 36% but could vary depending on the mix of income in foreign jurisdictions and the potential for reinstatement of the research and development tax credit beyond calendar year 2007.</w:t>
      </w:r>
    </w:p>
    <w:p>
      <w:pPr>
        <w:spacing w:after="0" w:line="200" w:lineRule="exact"/>
        <w:rPr>
          <w:sz w:val="20"/>
          <w:szCs w:val="20"/>
          <w:color w:val="auto"/>
        </w:rPr>
      </w:pPr>
    </w:p>
    <w:p>
      <w:pPr>
        <w:spacing w:after="0" w:line="26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right="2339" w:firstLine="648"/>
        <w:spacing w:after="0" w:line="262" w:lineRule="auto"/>
        <w:rPr>
          <w:sz w:val="20"/>
          <w:szCs w:val="20"/>
          <w:color w:val="auto"/>
        </w:rPr>
      </w:pPr>
      <w:r>
        <w:rPr>
          <w:rFonts w:ascii="Times New Roman" w:cs="Times New Roman" w:eastAsia="Times New Roman" w:hAnsi="Times New Roman"/>
          <w:sz w:val="18"/>
          <w:szCs w:val="18"/>
          <w:color w:val="auto"/>
        </w:rPr>
        <w:t>Working capital was $53.0 million at January 26, 2008 and $44.9 million at April 28, 2007. We have historically financed working capital needs through a combination of cash flow from operations and borrowings under bank credit agreements.</w:t>
      </w:r>
    </w:p>
    <w:p>
      <w:pPr>
        <w:spacing w:after="0" w:line="213" w:lineRule="exact"/>
        <w:rPr>
          <w:sz w:val="20"/>
          <w:szCs w:val="20"/>
          <w:color w:val="auto"/>
        </w:rPr>
      </w:pPr>
    </w:p>
    <w:p>
      <w:pPr>
        <w:ind w:right="2219" w:firstLine="648"/>
        <w:spacing w:after="0" w:line="339" w:lineRule="auto"/>
        <w:rPr>
          <w:sz w:val="20"/>
          <w:szCs w:val="20"/>
          <w:color w:val="auto"/>
        </w:rPr>
      </w:pPr>
      <w:r>
        <w:rPr>
          <w:rFonts w:ascii="Times New Roman" w:cs="Times New Roman" w:eastAsia="Times New Roman" w:hAnsi="Times New Roman"/>
          <w:sz w:val="16"/>
          <w:szCs w:val="16"/>
          <w:color w:val="auto"/>
        </w:rPr>
        <w:t>Cash provided by operations for the nine months ended January 26, 2008 was $35.4 million. Net income of $20.5 million, plus depreciation and amortization of $15.4 million, stock-based compensation of $1.9 million</w:t>
      </w:r>
    </w:p>
    <w:p>
      <w:pPr>
        <w:sectPr>
          <w:pgSz w:w="11900" w:h="16838" w:orient="portrait"/>
          <w:cols w:equalWidth="0" w:num="1">
            <w:col w:w="10219"/>
          </w:cols>
          <w:pgMar w:left="240" w:top="125" w:right="1440" w:bottom="0" w:gutter="0" w:footer="0" w:header="0"/>
        </w:sectPr>
      </w:pPr>
    </w:p>
    <w:bookmarkStart w:id="20" w:name="page21"/>
    <w:bookmarkEnd w:id="20"/>
    <w:p>
      <w:pPr>
        <w:ind w:right="2179"/>
        <w:spacing w:after="0" w:line="258" w:lineRule="auto"/>
        <w:rPr>
          <w:sz w:val="20"/>
          <w:szCs w:val="20"/>
          <w:color w:val="auto"/>
        </w:rPr>
      </w:pPr>
      <w:r>
        <w:rPr>
          <w:rFonts w:ascii="Times New Roman" w:cs="Times New Roman" w:eastAsia="Times New Roman" w:hAnsi="Times New Roman"/>
          <w:sz w:val="18"/>
          <w:szCs w:val="18"/>
          <w:color w:val="auto"/>
        </w:rPr>
        <w:t>and increases in accounts payable, customer deposits, accrued expenses and income taxes payable caused an increase in cash provided by operations. This increase was offset by increases in costs and estimated earnings in excess of billings, accounts receivable, inventory and notes receivables and decreases in billings in excess of costs and profits.</w:t>
      </w:r>
    </w:p>
    <w:p>
      <w:pPr>
        <w:spacing w:after="0" w:line="217" w:lineRule="exact"/>
        <w:rPr>
          <w:sz w:val="20"/>
          <w:szCs w:val="20"/>
          <w:color w:val="auto"/>
        </w:rPr>
      </w:pPr>
    </w:p>
    <w:p>
      <w:pPr>
        <w:ind w:right="2139" w:firstLine="648"/>
        <w:spacing w:after="0" w:line="287" w:lineRule="auto"/>
        <w:rPr>
          <w:sz w:val="20"/>
          <w:szCs w:val="20"/>
          <w:color w:val="auto"/>
        </w:rPr>
      </w:pPr>
      <w:r>
        <w:rPr>
          <w:rFonts w:ascii="Times New Roman" w:cs="Times New Roman" w:eastAsia="Times New Roman" w:hAnsi="Times New Roman"/>
          <w:sz w:val="16"/>
          <w:szCs w:val="16"/>
          <w:color w:val="auto"/>
        </w:rPr>
        <w:t>Accounts receivables and estimated earnings in excess of billings increased significantly as a result of the timing on projects and a higher level of receivables related to outdoor advertising customers, which is expected to decrease in the fourth quarter. Increases in inventory are occurring as we continue to reorganize the plant and related inventory into the separate plants as opposed to a centralized inventory serving the plants. Over the long-term, we expect that this will cause less excess and obsolete inventory and improved turns. The days sales outstanding related to the combined accounts receivables and costs and earnings in excess of billings as of January 26, 2008 and April 28, 2007 was 77 and 71 days, respectively. Inventory turns as of those same dates were approximately 10 and 8, respectively. It is not unusual to have these types of fluctuations as a result of the types of contracts we enter into, although these levels are expected to improve. The changes overall in operating assets and liabilities are due generally to the impact of the timing of cash flows on projects, which can cause significant fluctuations in the short term. As a result of various initiatives underway, including changes in manufacturing, purchasing, collections and payment processes, we expect to improve our cash flow relative to sales.</w:t>
      </w:r>
    </w:p>
    <w:p>
      <w:pPr>
        <w:spacing w:after="0" w:line="200" w:lineRule="exact"/>
        <w:rPr>
          <w:sz w:val="20"/>
          <w:szCs w:val="20"/>
          <w:color w:val="auto"/>
        </w:rPr>
      </w:pPr>
    </w:p>
    <w:p>
      <w:pPr>
        <w:spacing w:after="0" w:line="216" w:lineRule="exact"/>
        <w:rPr>
          <w:sz w:val="20"/>
          <w:szCs w:val="20"/>
          <w:color w:val="auto"/>
        </w:rPr>
      </w:pPr>
    </w:p>
    <w:p>
      <w:pPr>
        <w:ind w:right="2139" w:firstLine="648"/>
        <w:spacing w:after="0" w:line="254" w:lineRule="auto"/>
        <w:rPr>
          <w:sz w:val="20"/>
          <w:szCs w:val="20"/>
          <w:color w:val="auto"/>
        </w:rPr>
      </w:pPr>
      <w:r>
        <w:rPr>
          <w:rFonts w:ascii="Times New Roman" w:cs="Times New Roman" w:eastAsia="Times New Roman" w:hAnsi="Times New Roman"/>
          <w:sz w:val="18"/>
          <w:szCs w:val="18"/>
          <w:color w:val="auto"/>
        </w:rPr>
        <w:t>Cash used by investing activities of $21.7 million for the first nine months of fiscal 2008 included $28.4 million for purchases of property and equipment. During the first nine months of fiscal year 2008, we invested approximately $6.8 million in manufacturing equipment, $11.2 million in facilities additions, $6.2 million in information systems infrastructure, including software, $2.9 million in product demonstration equipment, $1.2 million in rental equipment and $0.1 million in office equipment. These investments were made to support our continued growth and to replace obsolete equipment. We are taking steps to curtail and reduce capital expenditures as a percent of net sales. As of the end of the third quarter of fiscal 2008 and fiscal 2007, capital expenditures were 7.6% and 14.4% of net sales, respectively.</w:t>
      </w:r>
    </w:p>
    <w:p>
      <w:pPr>
        <w:spacing w:after="0" w:line="219" w:lineRule="exact"/>
        <w:rPr>
          <w:sz w:val="20"/>
          <w:szCs w:val="20"/>
          <w:color w:val="auto"/>
        </w:rPr>
      </w:pPr>
    </w:p>
    <w:p>
      <w:pPr>
        <w:ind w:right="2139" w:firstLine="648"/>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2008, we completed construction of a new building in Brookings, South Dakota to be used primarily for office and warehouse space. The total cost of the building and furnishings was approximately $19.2 million. We funded approximately $2.0 million of the cost of furnishings through operating leases. We also invested in equipment for our Redwood Falls, Minnesota manufacturing facility. We consider these two areas to be the completion of the major capacity expansion efforts we began in fiscal year 2006. We expect to invest approximately $4.5 million in capital expenditures through the rest of fiscal 2008. We believe that in fiscal year 2009, investments in capital assets will decrease and, over the long term, we will increase our cash and marketable securities while decreasing the level of debt.</w:t>
      </w:r>
    </w:p>
    <w:p>
      <w:pPr>
        <w:spacing w:after="0" w:line="219" w:lineRule="exact"/>
        <w:rPr>
          <w:sz w:val="20"/>
          <w:szCs w:val="20"/>
          <w:color w:val="auto"/>
        </w:rPr>
      </w:pPr>
    </w:p>
    <w:p>
      <w:pPr>
        <w:ind w:right="2159" w:firstLine="648"/>
        <w:spacing w:after="0" w:line="262" w:lineRule="auto"/>
        <w:rPr>
          <w:sz w:val="20"/>
          <w:szCs w:val="20"/>
          <w:color w:val="auto"/>
        </w:rPr>
      </w:pPr>
      <w:r>
        <w:rPr>
          <w:rFonts w:ascii="Times New Roman" w:cs="Times New Roman" w:eastAsia="Times New Roman" w:hAnsi="Times New Roman"/>
          <w:sz w:val="18"/>
          <w:szCs w:val="18"/>
          <w:color w:val="auto"/>
        </w:rPr>
        <w:t>Cash used by financing activities of $12.5 million for the first nine months of fiscal 2008 consisted of the dividend paid to shareholders of $2.8 million on June 20, 2007, which was offset by payments on notes payables and by option exercises and excess tax benefits from equity-based compensation.</w:t>
      </w:r>
    </w:p>
    <w:p>
      <w:pPr>
        <w:spacing w:after="0" w:line="213" w:lineRule="exact"/>
        <w:rPr>
          <w:sz w:val="20"/>
          <w:szCs w:val="20"/>
          <w:color w:val="auto"/>
        </w:rPr>
      </w:pPr>
    </w:p>
    <w:p>
      <w:pPr>
        <w:ind w:right="2199" w:firstLine="648"/>
        <w:spacing w:after="0" w:line="275" w:lineRule="auto"/>
        <w:rPr>
          <w:sz w:val="20"/>
          <w:szCs w:val="20"/>
          <w:color w:val="auto"/>
        </w:rPr>
      </w:pPr>
      <w:r>
        <w:rPr>
          <w:rFonts w:ascii="Times New Roman" w:cs="Times New Roman" w:eastAsia="Times New Roman" w:hAnsi="Times New Roman"/>
          <w:sz w:val="18"/>
          <w:szCs w:val="18"/>
          <w:color w:val="auto"/>
        </w:rPr>
        <w:t>Included in receivables as of January 26, 2008 was approximately $4.1 million of retainage on long-term contracts, all of which is expected to be collected in one year.</w:t>
      </w:r>
    </w:p>
    <w:p>
      <w:pPr>
        <w:spacing w:after="0" w:line="201" w:lineRule="exact"/>
        <w:rPr>
          <w:sz w:val="20"/>
          <w:szCs w:val="20"/>
          <w:color w:val="auto"/>
        </w:rPr>
      </w:pPr>
    </w:p>
    <w:p>
      <w:pPr>
        <w:ind w:right="2219" w:firstLine="648"/>
        <w:spacing w:after="0" w:line="255" w:lineRule="auto"/>
        <w:rPr>
          <w:sz w:val="20"/>
          <w:szCs w:val="20"/>
          <w:color w:val="auto"/>
        </w:rPr>
      </w:pPr>
      <w:r>
        <w:rPr>
          <w:rFonts w:ascii="Times New Roman" w:cs="Times New Roman" w:eastAsia="Times New Roman" w:hAnsi="Times New Roman"/>
          <w:sz w:val="18"/>
          <w:szCs w:val="18"/>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0" w:lineRule="exact"/>
        <w:rPr>
          <w:sz w:val="20"/>
          <w:szCs w:val="20"/>
          <w:color w:val="auto"/>
        </w:rPr>
      </w:pPr>
    </w:p>
    <w:p>
      <w:pPr>
        <w:spacing w:after="0" w:line="26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159" w:firstLine="648"/>
        <w:spacing w:after="0" w:line="254" w:lineRule="auto"/>
        <w:rPr>
          <w:sz w:val="20"/>
          <w:szCs w:val="20"/>
          <w:color w:val="auto"/>
        </w:rPr>
      </w:pPr>
      <w:r>
        <w:rPr>
          <w:rFonts w:ascii="Times New Roman" w:cs="Times New Roman" w:eastAsia="Times New Roman" w:hAnsi="Times New Roman"/>
          <w:sz w:val="18"/>
          <w:szCs w:val="18"/>
          <w:color w:val="auto"/>
        </w:rPr>
        <w:t>Our product development activities include the enhancement of existing products and the development of new products from existing technologies. Product design and development expenses were $4.9 million for the quarter ended January 26, 2008 as compared to $3.6 million for the third quarter of fiscal 2007. We intend to continue to incur expenditures to develop new display products using various display technologies to offer higher resolution and more cost effective and energy efficient displays at a rate of 4.0% of net sales. We also intend to continue developing software applications for our display controllers to enable these products to continue to meet the needs and expectations of the marketplace.</w:t>
      </w:r>
    </w:p>
    <w:p>
      <w:pPr>
        <w:spacing w:after="0" w:line="222" w:lineRule="exact"/>
        <w:rPr>
          <w:sz w:val="20"/>
          <w:szCs w:val="20"/>
          <w:color w:val="auto"/>
        </w:rPr>
      </w:pPr>
    </w:p>
    <w:p>
      <w:pPr>
        <w:ind w:right="2139" w:firstLine="648"/>
        <w:spacing w:after="0" w:line="252" w:lineRule="auto"/>
        <w:rPr>
          <w:sz w:val="20"/>
          <w:szCs w:val="20"/>
          <w:color w:val="auto"/>
        </w:rPr>
      </w:pPr>
      <w:r>
        <w:rPr>
          <w:rFonts w:ascii="Times New Roman" w:cs="Times New Roman" w:eastAsia="Times New Roman" w:hAnsi="Times New Roman"/>
          <w:sz w:val="18"/>
          <w:szCs w:val="18"/>
          <w:color w:val="auto"/>
        </w:rPr>
        <w:t>We have a credit agreement with a bank which provides for a $45.0 million line of credit and includes up to $10.0 million for standby letters of credit. The line of credit is due on November 15, 2008. The interest rate ranges from LIBOR plus 75 basis points to LIBOR plus 125 basis points depending on certain ratios. The effective interest rate was 3.31% at January 26, 2008. We are assessed a loan fee equal to 0.1% per annum of any non-used portion of the loan. As of January 26, 2008, $13.4 million was advanced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$0.4 million line of credit. The line of credit is due on April 30, 2008. The interest rate on the line of credit is equal to 1.5% above the prime rate of interest and was 5.75% on January 26, 2008. As of January 26, 2008, no advances under the line of credit were outstanding. The line of credit is secured primarily by accounts receivable, inventory and other assets of the subsidiary.</w:t>
      </w:r>
    </w:p>
    <w:p>
      <w:pPr>
        <w:sectPr>
          <w:pgSz w:w="11900" w:h="16838" w:orient="portrait"/>
          <w:cols w:equalWidth="0" w:num="1">
            <w:col w:w="10219"/>
          </w:cols>
          <w:pgMar w:left="240" w:top="125" w:right="1440" w:bottom="0" w:gutter="0" w:footer="0" w:header="0"/>
        </w:sectPr>
      </w:pPr>
    </w:p>
    <w:bookmarkStart w:id="21" w:name="page22"/>
    <w:bookmarkEnd w:id="21"/>
    <w:p>
      <w:pPr>
        <w:spacing w:after="0" w:line="70" w:lineRule="exact"/>
        <w:rPr>
          <w:sz w:val="20"/>
          <w:szCs w:val="20"/>
          <w:color w:val="auto"/>
        </w:rPr>
      </w:pPr>
    </w:p>
    <w:p>
      <w:pPr>
        <w:ind w:right="2159" w:firstLine="622"/>
        <w:spacing w:after="0" w:line="310" w:lineRule="auto"/>
        <w:rPr>
          <w:sz w:val="20"/>
          <w:szCs w:val="20"/>
          <w:color w:val="auto"/>
        </w:rPr>
      </w:pPr>
      <w:r>
        <w:rPr>
          <w:rFonts w:ascii="Times New Roman" w:cs="Times New Roman" w:eastAsia="Times New Roman" w:hAnsi="Times New Roman"/>
          <w:sz w:val="16"/>
          <w:szCs w:val="16"/>
          <w:color w:val="auto"/>
        </w:rPr>
        <w:t>On May 24, 2007, our Board declared an annual dividend payment of $0.07 per share on our common stock for the year ended April 28, 2007. Although we intend to pay regular annual dividends for the foreseeable future, all subsequent dividends will be reviewed annually and declared by our Board of Directors at its discretion.</w:t>
      </w:r>
    </w:p>
    <w:p>
      <w:pPr>
        <w:spacing w:after="0" w:line="178" w:lineRule="exact"/>
        <w:rPr>
          <w:sz w:val="20"/>
          <w:szCs w:val="20"/>
          <w:color w:val="auto"/>
        </w:rPr>
      </w:pPr>
    </w:p>
    <w:p>
      <w:pPr>
        <w:ind w:right="2199" w:firstLine="648"/>
        <w:spacing w:after="0" w:line="258"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that provides for an aggregate of $100 million in bonded work outstanding. At January 26, 2008, we had approximately $21.6 million of bonded work outstanding against this line.</w:t>
      </w:r>
    </w:p>
    <w:p>
      <w:pPr>
        <w:spacing w:after="0" w:line="217" w:lineRule="exact"/>
        <w:rPr>
          <w:sz w:val="20"/>
          <w:szCs w:val="20"/>
          <w:color w:val="auto"/>
        </w:rPr>
      </w:pPr>
    </w:p>
    <w:p>
      <w:pPr>
        <w:ind w:right="2319" w:firstLine="648"/>
        <w:spacing w:after="0" w:line="255" w:lineRule="auto"/>
        <w:rPr>
          <w:sz w:val="20"/>
          <w:szCs w:val="20"/>
          <w:color w:val="auto"/>
        </w:rPr>
      </w:pPr>
      <w:r>
        <w:rPr>
          <w:rFonts w:ascii="Times New Roman" w:cs="Times New Roman" w:eastAsia="Times New Roman" w:hAnsi="Times New Roman"/>
          <w:sz w:val="18"/>
          <w:szCs w:val="18"/>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our existing or increased credit facility and our current working capital will be adequate to meet the cash requirements of our operations in the foreseeable future.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54" w:lineRule="exact"/>
        <w:rPr>
          <w:sz w:val="20"/>
          <w:szCs w:val="20"/>
          <w:color w:val="auto"/>
        </w:rPr>
      </w:pPr>
    </w:p>
    <w:p>
      <w:pPr>
        <w:ind w:right="2139" w:firstLine="596"/>
        <w:spacing w:after="0" w:line="254" w:lineRule="auto"/>
        <w:rPr>
          <w:sz w:val="20"/>
          <w:szCs w:val="20"/>
          <w:color w:val="auto"/>
        </w:rPr>
      </w:pPr>
      <w:r>
        <w:rPr>
          <w:rFonts w:ascii="Times New Roman" w:cs="Times New Roman" w:eastAsia="Times New Roman" w:hAnsi="Times New Roman"/>
          <w:sz w:val="18"/>
          <w:szCs w:val="18"/>
          <w:color w:val="auto"/>
        </w:rPr>
        <w:t>Through January 26, 2008, most of our net sales were denominated in United States dollars, and our exposure to foreign currency exchange rate changes was not significant. Net sales originating outside the United States for the third quarter of fiscal year 2008 were 11.1% of total net sales. We operate in various countries in Europe, Asia, the Middle East and Canada through wholly-owned subsidiaries. Sales of those foreign subsidiaries comprised 8.8% of net sales in the third quarter of fiscal year 2008. If we believed that currency risk in any foreign location was significant, we would utilize foreign exchange hedging contracts to manage our exposure to the currency fluctuations.</w:t>
      </w:r>
    </w:p>
    <w:p>
      <w:pPr>
        <w:spacing w:after="0" w:line="222" w:lineRule="exact"/>
        <w:rPr>
          <w:sz w:val="20"/>
          <w:szCs w:val="20"/>
          <w:color w:val="auto"/>
        </w:rPr>
      </w:pPr>
    </w:p>
    <w:p>
      <w:pPr>
        <w:ind w:right="2139" w:firstLine="622"/>
        <w:spacing w:after="0" w:line="288" w:lineRule="auto"/>
        <w:rPr>
          <w:sz w:val="20"/>
          <w:szCs w:val="20"/>
          <w:color w:val="auto"/>
        </w:rPr>
      </w:pPr>
      <w:r>
        <w:rPr>
          <w:rFonts w:ascii="Times New Roman" w:cs="Times New Roman" w:eastAsia="Times New Roman" w:hAnsi="Times New Roman"/>
          <w:sz w:val="16"/>
          <w:szCs w:val="16"/>
          <w:color w:val="auto"/>
        </w:rPr>
        <w:t>We expect net sales to international markets in the future to increase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00" w:lineRule="exact"/>
        <w:rPr>
          <w:sz w:val="20"/>
          <w:szCs w:val="20"/>
          <w:color w:val="auto"/>
        </w:rPr>
      </w:pPr>
    </w:p>
    <w:p>
      <w:pPr>
        <w:spacing w:after="0" w:line="23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54" w:lineRule="exact"/>
        <w:rPr>
          <w:sz w:val="20"/>
          <w:szCs w:val="20"/>
          <w:color w:val="auto"/>
        </w:rPr>
      </w:pPr>
    </w:p>
    <w:p>
      <w:pPr>
        <w:ind w:right="2119" w:firstLine="648"/>
        <w:spacing w:after="0" w:line="255"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our debt and long-term accounts receivables. We maintain a blend of both fixed and floating rate debt instruments. As of January 26, 2008, our outstanding debt approximated $15.8 million, substantially all of which was in variable rate obligations. Each 100 basis point increase or decrease in interest rates would have an approximately $0.2 million annual effect on variable rate debt interest based on the balances of such debt as of January 26, 2008. For fixed-rate debt, interest rate changes affect its fair market value but do not affect earnings or cash flows.</w:t>
      </w:r>
    </w:p>
    <w:p>
      <w:pPr>
        <w:spacing w:after="0" w:line="220" w:lineRule="exact"/>
        <w:rPr>
          <w:sz w:val="20"/>
          <w:szCs w:val="20"/>
          <w:color w:val="auto"/>
        </w:rPr>
      </w:pPr>
    </w:p>
    <w:p>
      <w:pPr>
        <w:ind w:right="2379" w:firstLine="596"/>
        <w:spacing w:after="0" w:line="256" w:lineRule="auto"/>
        <w:rPr>
          <w:sz w:val="20"/>
          <w:szCs w:val="20"/>
          <w:color w:val="auto"/>
        </w:rPr>
      </w:pPr>
      <w:r>
        <w:rPr>
          <w:rFonts w:ascii="Times New Roman" w:cs="Times New Roman" w:eastAsia="Times New Roman" w:hAnsi="Times New Roman"/>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January 26, 2008, our outstanding long-term receivables were approximately $24.3 million. Each 25 basis point increase in interest rates would have an associated annual opportunity cost to us of approximately $0.2 million.</w:t>
      </w:r>
    </w:p>
    <w:p>
      <w:pPr>
        <w:spacing w:after="0" w:line="220" w:lineRule="exact"/>
        <w:rPr>
          <w:sz w:val="20"/>
          <w:szCs w:val="20"/>
          <w:color w:val="auto"/>
        </w:rPr>
      </w:pPr>
    </w:p>
    <w:p>
      <w:pPr>
        <w:ind w:right="2239" w:firstLine="648"/>
        <w:spacing w:after="0" w:line="339" w:lineRule="auto"/>
        <w:rPr>
          <w:sz w:val="20"/>
          <w:szCs w:val="20"/>
          <w:color w:val="auto"/>
        </w:rPr>
      </w:pPr>
      <w:r>
        <w:rPr>
          <w:rFonts w:ascii="Times New Roman" w:cs="Times New Roman" w:eastAsia="Times New Roman" w:hAnsi="Times New Roman"/>
          <w:sz w:val="16"/>
          <w:szCs w:val="16"/>
          <w:color w:val="auto"/>
        </w:rPr>
        <w:t>The following table provides information about our financial instruments that are sensitive to changes in interest rates, including debt obligations, for the three quarters ended April 28, 2008 and subsequent fiscal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0"/>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receivables, including</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1"/>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maturities: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258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4,954</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4,067</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2,954</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5,016</w:t>
            </w:r>
          </w:p>
        </w:tc>
      </w:tr>
      <w:tr>
        <w:trPr>
          <w:trHeight w:val="228"/>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1"/>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and short-term debt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258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Variable-rate</w:t>
            </w: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8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marketing obligations,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909" w:orient="portrait"/>
          <w:cols w:equalWidth="0" w:num="1">
            <w:col w:w="10219"/>
          </w:cols>
          <w:pgMar w:left="240" w:top="125" w:right="1440" w:bottom="0" w:gutter="0" w:footer="0" w:header="0"/>
        </w:sectPr>
      </w:pPr>
    </w:p>
    <w:bookmarkStart w:id="22" w:name="page23"/>
    <w:bookmarkEnd w:id="2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Fixed-rate</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6"/>
              </w:rPr>
              <w:t>$222</w:t>
            </w: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6"/>
              </w:rPr>
              <w:t>$343</w:t>
            </w: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6"/>
              </w:rPr>
              <w:t>$293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r>
      <w:tr>
        <w:trPr>
          <w:trHeight w:val="231"/>
        </w:trPr>
        <w:tc>
          <w:tcPr>
            <w:tcW w:w="228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Average interest rate</w:t>
            </w:r>
          </w:p>
        </w:tc>
        <w:tc>
          <w:tcPr>
            <w:tcW w:w="1280" w:type="dxa"/>
            <w:vAlign w:val="bottom"/>
            <w:shd w:val="clear" w:color="auto" w:fill="DBE5F1"/>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shd w:val="clear" w:color="auto" w:fill="DBE5F1"/>
          </w:tcPr>
          <w:p>
            <w:pPr>
              <w:jc w:val="right"/>
              <w:ind w:right="134"/>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shd w:val="clear" w:color="auto" w:fill="DBE5F1"/>
          </w:tcPr>
          <w:p>
            <w:pPr>
              <w:jc w:val="right"/>
              <w:ind w:right="154"/>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DBE5F1"/>
          </w:tcPr>
          <w:p>
            <w:pPr>
              <w:spacing w:after="0"/>
              <w:rPr>
                <w:sz w:val="20"/>
                <w:szCs w:val="20"/>
                <w:color w:val="auto"/>
              </w:rPr>
            </w:pPr>
          </w:p>
        </w:tc>
        <w:tc>
          <w:tcPr>
            <w:tcW w:w="70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DBE5F1"/>
          </w:tcPr>
          <w:p>
            <w:pPr>
              <w:spacing w:after="0"/>
              <w:rPr>
                <w:sz w:val="20"/>
                <w:szCs w:val="20"/>
                <w:color w:val="auto"/>
              </w:rPr>
            </w:pPr>
          </w:p>
        </w:tc>
        <w:tc>
          <w:tcPr>
            <w:tcW w:w="70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shd w:val="clear" w:color="auto" w:fill="DBE5F1"/>
          </w:tcPr>
          <w:p>
            <w:pPr>
              <w:spacing w:after="0"/>
              <w:rPr>
                <w:sz w:val="20"/>
                <w:szCs w:val="20"/>
                <w:color w:val="auto"/>
              </w:rPr>
            </w:pPr>
          </w:p>
        </w:tc>
        <w:tc>
          <w:tcPr>
            <w:tcW w:w="6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bl>
    <w:p>
      <w:pPr>
        <w:spacing w:after="0" w:line="229" w:lineRule="exact"/>
        <w:rPr>
          <w:sz w:val="20"/>
          <w:szCs w:val="20"/>
          <w:color w:val="auto"/>
        </w:rPr>
      </w:pPr>
    </w:p>
    <w:p>
      <w:pPr>
        <w:ind w:right="2379" w:firstLine="596"/>
        <w:spacing w:after="0" w:line="275" w:lineRule="auto"/>
        <w:rPr>
          <w:sz w:val="20"/>
          <w:szCs w:val="20"/>
          <w:color w:val="auto"/>
        </w:rPr>
      </w:pPr>
      <w:r>
        <w:rPr>
          <w:rFonts w:ascii="Times New Roman" w:cs="Times New Roman" w:eastAsia="Times New Roman" w:hAnsi="Times New Roman"/>
          <w:sz w:val="18"/>
          <w:szCs w:val="18"/>
          <w:color w:val="auto"/>
        </w:rPr>
        <w:t>The carrying amounts reported on the balance sheet for long-term receivables and long- and short-term debt approximates their fair value.</w:t>
      </w:r>
    </w:p>
    <w:p>
      <w:pPr>
        <w:spacing w:after="0" w:line="201" w:lineRule="exact"/>
        <w:rPr>
          <w:sz w:val="20"/>
          <w:szCs w:val="20"/>
          <w:color w:val="auto"/>
        </w:rPr>
      </w:pPr>
    </w:p>
    <w:p>
      <w:pPr>
        <w:ind w:right="2259" w:firstLine="622"/>
        <w:spacing w:after="0" w:line="262" w:lineRule="auto"/>
        <w:rPr>
          <w:sz w:val="20"/>
          <w:szCs w:val="20"/>
          <w:color w:val="auto"/>
        </w:rPr>
      </w:pPr>
      <w:r>
        <w:rPr>
          <w:rFonts w:ascii="Times New Roman" w:cs="Times New Roman" w:eastAsia="Times New Roman" w:hAnsi="Times New Roman"/>
          <w:sz w:val="18"/>
          <w:szCs w:val="18"/>
          <w:color w:val="auto"/>
        </w:rPr>
        <w:t>Substantially all of our cash balances are denominated in United States dollars. Cash balances in foreign currencies are operating balances maintained in accounts of our foreign subsidiaries and accounts to settle euro-based payments. These balances are immaterial as a whole.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right="2119" w:firstLine="648"/>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26, 2008, which is the end of the period covered by this report. Based upon that evaluation, the Chief Executive Officer and Chief Financial Officer concluded that as of January 26, 2008, our disclosure controls and procedures were effective.</w:t>
      </w:r>
    </w:p>
    <w:p>
      <w:pPr>
        <w:spacing w:after="0" w:line="220" w:lineRule="exact"/>
        <w:rPr>
          <w:sz w:val="20"/>
          <w:szCs w:val="20"/>
          <w:color w:val="auto"/>
        </w:rPr>
      </w:pPr>
    </w:p>
    <w:p>
      <w:pPr>
        <w:ind w:right="2139" w:firstLine="648"/>
        <w:spacing w:after="0" w:line="258"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January 26, 2008, there was no change in our internal control over financial reporting that has materially affected, or is reasonably likely to materially affect, our internal control over financial reporting.</w:t>
      </w:r>
    </w:p>
    <w:p>
      <w:pPr>
        <w:spacing w:after="0" w:line="2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99" w:firstLine="622"/>
        <w:spacing w:after="0" w:line="254"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year ended April 28, 2007.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VOTE OF SECURITY HOLDERS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this Quarterly Report on Form 10-Q:</w:t>
      </w:r>
    </w:p>
    <w:p>
      <w:pPr>
        <w:spacing w:after="0" w:line="279" w:lineRule="exact"/>
        <w:rPr>
          <w:sz w:val="20"/>
          <w:szCs w:val="20"/>
          <w:color w:val="auto"/>
        </w:rPr>
      </w:pPr>
    </w:p>
    <w:p>
      <w:pPr>
        <w:jc w:val="both"/>
        <w:ind w:left="1300" w:right="2159"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jc w:val="both"/>
        <w:ind w:left="1300" w:right="219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of the Chief Executive Officer pursuant to Section 906 of the Sarbanes-Oxley</w:t>
      </w:r>
    </w:p>
    <w:p>
      <w:pPr>
        <w:sectPr>
          <w:pgSz w:w="11900" w:h="16873" w:orient="portrait"/>
          <w:cols w:equalWidth="0" w:num="1">
            <w:col w:w="10219"/>
          </w:cols>
          <w:pgMar w:left="240" w:top="139" w:right="1440" w:bottom="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Act of 2002 (18 U.S.C. Section 1350).</w:t>
      </w:r>
    </w:p>
    <w:p>
      <w:pPr>
        <w:spacing w:after="0" w:line="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Certification of the Chief Financial Officer pursuant to Section 906 of the Sarbanes-Oxley</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Act of 2002 (18 U.S.C. Section 1350).</w:t>
      </w:r>
    </w:p>
    <w:p>
      <w:pPr>
        <w:spacing w:after="0" w:line="2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4" w:lineRule="exact"/>
        <w:rPr>
          <w:sz w:val="20"/>
          <w:szCs w:val="20"/>
          <w:color w:val="auto"/>
        </w:rPr>
      </w:pPr>
    </w:p>
    <w:p>
      <w:pPr>
        <w:ind w:right="21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16699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4" w:name="page25"/>
    <w:bookmarkEnd w:id="24"/>
    <w:p>
      <w:pPr>
        <w:jc w:val="right"/>
        <w:ind w:right="2099"/>
        <w:spacing w:after="0"/>
        <w:rPr>
          <w:sz w:val="20"/>
          <w:szCs w:val="20"/>
          <w:color w:val="auto"/>
        </w:rPr>
      </w:pPr>
      <w:r>
        <w:rPr>
          <w:rFonts w:ascii="Times New Roman" w:cs="Times New Roman" w:eastAsia="Times New Roman" w:hAnsi="Times New Roman"/>
          <w:sz w:val="18"/>
          <w:szCs w:val="18"/>
          <w:color w:val="auto"/>
        </w:rPr>
        <w:t>EXHIBIT 31.1</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SECTI0N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B. Morgan, certify that:</w:t>
      </w:r>
    </w:p>
    <w:p>
      <w:pPr>
        <w:spacing w:after="0" w:line="252"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26, 2008 of Daktronics,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w:t>
      </w:r>
    </w:p>
    <w:p>
      <w:pPr>
        <w:spacing w:after="0" w:line="239" w:lineRule="exact"/>
        <w:rPr>
          <w:rFonts w:ascii="Times New Roman" w:cs="Times New Roman" w:eastAsia="Times New Roman" w:hAnsi="Times New Roman"/>
          <w:sz w:val="18"/>
          <w:szCs w:val="18"/>
          <w:color w:val="auto"/>
        </w:rPr>
      </w:pPr>
    </w:p>
    <w:p>
      <w:pPr>
        <w:ind w:right="2119" w:firstLine="8"/>
        <w:spacing w:after="0" w:line="262" w:lineRule="auto"/>
        <w:tabs>
          <w:tab w:leader="none" w:pos="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18"/>
          <w:szCs w:val="18"/>
          <w:color w:val="auto"/>
        </w:rPr>
      </w:pPr>
    </w:p>
    <w:p>
      <w:pPr>
        <w:ind w:right="2279" w:firstLine="8"/>
        <w:spacing w:after="0" w:line="262" w:lineRule="auto"/>
        <w:tabs>
          <w:tab w:leader="none" w:pos="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18"/>
          <w:szCs w:val="18"/>
          <w:color w:val="auto"/>
        </w:rPr>
      </w:pPr>
    </w:p>
    <w:p>
      <w:pPr>
        <w:ind w:right="2319" w:firstLine="8"/>
        <w:spacing w:after="0" w:line="310" w:lineRule="auto"/>
        <w:tabs>
          <w:tab w:leader="none" w:pos="39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jc w:val="both"/>
        <w:ind w:left="500" w:right="2259" w:firstLine="1"/>
        <w:spacing w:after="0" w:line="258" w:lineRule="auto"/>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Times New Roman" w:cs="Times New Roman" w:eastAsia="Times New Roman" w:hAnsi="Times New Roman"/>
          <w:sz w:val="18"/>
          <w:szCs w:val="18"/>
          <w:color w:val="auto"/>
        </w:rPr>
      </w:pPr>
    </w:p>
    <w:p>
      <w:pPr>
        <w:ind w:left="700" w:hanging="199"/>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w:t>
      </w:r>
    </w:p>
    <w:p>
      <w:pPr>
        <w:spacing w:after="0" w:line="21" w:lineRule="exact"/>
        <w:rPr>
          <w:rFonts w:ascii="Times New Roman" w:cs="Times New Roman" w:eastAsia="Times New Roman" w:hAnsi="Times New Roman"/>
          <w:sz w:val="18"/>
          <w:szCs w:val="18"/>
          <w:color w:val="auto"/>
        </w:rPr>
      </w:pPr>
    </w:p>
    <w:p>
      <w:pPr>
        <w:ind w:left="500" w:right="22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Times New Roman" w:cs="Times New Roman" w:eastAsia="Times New Roman" w:hAnsi="Times New Roman"/>
          <w:sz w:val="18"/>
          <w:szCs w:val="18"/>
          <w:color w:val="auto"/>
        </w:rPr>
      </w:pPr>
    </w:p>
    <w:p>
      <w:pPr>
        <w:ind w:left="500" w:right="2139" w:firstLine="1"/>
        <w:spacing w:after="0" w:line="262" w:lineRule="auto"/>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18"/>
          <w:szCs w:val="18"/>
          <w:color w:val="auto"/>
        </w:rPr>
      </w:pPr>
    </w:p>
    <w:p>
      <w:pPr>
        <w:ind w:left="500" w:right="2359" w:firstLine="1"/>
        <w:spacing w:after="0" w:line="258" w:lineRule="auto"/>
        <w:tabs>
          <w:tab w:leader="none" w:pos="6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7" w:lineRule="exact"/>
        <w:rPr>
          <w:rFonts w:ascii="Times New Roman" w:cs="Times New Roman" w:eastAsia="Times New Roman" w:hAnsi="Times New Roman"/>
          <w:sz w:val="18"/>
          <w:szCs w:val="18"/>
          <w:color w:val="auto"/>
        </w:rPr>
      </w:pPr>
    </w:p>
    <w:p>
      <w:pPr>
        <w:ind w:right="2499" w:firstLine="8"/>
        <w:spacing w:after="0" w:line="262" w:lineRule="auto"/>
        <w:tabs>
          <w:tab w:leader="none" w:pos="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Times New Roman" w:cs="Times New Roman" w:eastAsia="Times New Roman" w:hAnsi="Times New Roman"/>
          <w:sz w:val="18"/>
          <w:szCs w:val="18"/>
          <w:color w:val="auto"/>
        </w:rPr>
      </w:pPr>
    </w:p>
    <w:p>
      <w:pPr>
        <w:ind w:left="500" w:right="2199" w:firstLine="1"/>
        <w:spacing w:after="0" w:line="262" w:lineRule="auto"/>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18"/>
          <w:szCs w:val="18"/>
          <w:color w:val="auto"/>
        </w:rPr>
      </w:pPr>
    </w:p>
    <w:p>
      <w:pPr>
        <w:ind w:left="500" w:right="2139" w:firstLine="1"/>
        <w:spacing w:after="0" w:line="275" w:lineRule="auto"/>
        <w:tabs>
          <w:tab w:leader="none" w:pos="6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2008</w:t>
      </w:r>
    </w:p>
    <w:p>
      <w:pPr>
        <w:sectPr>
          <w:pgSz w:w="11900" w:h="16838" w:orient="portrait"/>
          <w:cols w:equalWidth="0" w:num="1">
            <w:col w:w="10219"/>
          </w:cols>
          <w:pgMar w:left="240" w:top="125" w:right="1440" w:bottom="1440" w:gutter="0" w:footer="0" w:header="0"/>
        </w:sectPr>
      </w:pPr>
    </w:p>
    <w:bookmarkStart w:id="25" w:name="page26"/>
    <w:bookmarkEnd w:id="25"/>
    <w:p>
      <w:pPr>
        <w:jc w:val="right"/>
        <w:ind w:right="2099"/>
        <w:spacing w:after="0"/>
        <w:rPr>
          <w:sz w:val="20"/>
          <w:szCs w:val="20"/>
          <w:color w:val="auto"/>
        </w:rPr>
      </w:pPr>
      <w:r>
        <w:rPr>
          <w:rFonts w:ascii="Times New Roman" w:cs="Times New Roman" w:eastAsia="Times New Roman" w:hAnsi="Times New Roman"/>
          <w:sz w:val="18"/>
          <w:szCs w:val="18"/>
          <w:color w:val="auto"/>
        </w:rPr>
        <w:t>EXHIBIT 31.2</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SECTI0N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26, 2008 of Daktronics,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w:t>
      </w:r>
    </w:p>
    <w:p>
      <w:pPr>
        <w:spacing w:after="0" w:line="239" w:lineRule="exact"/>
        <w:rPr>
          <w:rFonts w:ascii="Times New Roman" w:cs="Times New Roman" w:eastAsia="Times New Roman" w:hAnsi="Times New Roman"/>
          <w:sz w:val="18"/>
          <w:szCs w:val="18"/>
          <w:color w:val="auto"/>
        </w:rPr>
      </w:pPr>
    </w:p>
    <w:p>
      <w:pPr>
        <w:ind w:right="2119" w:firstLine="8"/>
        <w:spacing w:after="0" w:line="262"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18"/>
          <w:szCs w:val="18"/>
          <w:color w:val="auto"/>
        </w:rPr>
      </w:pPr>
    </w:p>
    <w:p>
      <w:pPr>
        <w:ind w:right="2279" w:firstLine="8"/>
        <w:spacing w:after="0" w:line="262"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18"/>
          <w:szCs w:val="18"/>
          <w:color w:val="auto"/>
        </w:rPr>
      </w:pPr>
    </w:p>
    <w:p>
      <w:pPr>
        <w:ind w:right="2319" w:firstLine="8"/>
        <w:spacing w:after="0" w:line="310" w:lineRule="auto"/>
        <w:tabs>
          <w:tab w:leader="none" w:pos="3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jc w:val="both"/>
        <w:ind w:left="500" w:right="2259" w:firstLine="1"/>
        <w:spacing w:after="0" w:line="258"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Times New Roman" w:cs="Times New Roman" w:eastAsia="Times New Roman" w:hAnsi="Times New Roman"/>
          <w:sz w:val="18"/>
          <w:szCs w:val="18"/>
          <w:color w:val="auto"/>
        </w:rPr>
      </w:pPr>
    </w:p>
    <w:p>
      <w:pPr>
        <w:ind w:left="700" w:hanging="199"/>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w:t>
      </w:r>
    </w:p>
    <w:p>
      <w:pPr>
        <w:spacing w:after="0" w:line="21" w:lineRule="exact"/>
        <w:rPr>
          <w:rFonts w:ascii="Times New Roman" w:cs="Times New Roman" w:eastAsia="Times New Roman" w:hAnsi="Times New Roman"/>
          <w:sz w:val="18"/>
          <w:szCs w:val="18"/>
          <w:color w:val="auto"/>
        </w:rPr>
      </w:pPr>
    </w:p>
    <w:p>
      <w:pPr>
        <w:ind w:left="500" w:right="22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Times New Roman" w:cs="Times New Roman" w:eastAsia="Times New Roman" w:hAnsi="Times New Roman"/>
          <w:sz w:val="18"/>
          <w:szCs w:val="18"/>
          <w:color w:val="auto"/>
        </w:rPr>
      </w:pPr>
    </w:p>
    <w:p>
      <w:pPr>
        <w:ind w:left="500" w:right="2139" w:firstLine="1"/>
        <w:spacing w:after="0" w:line="262"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18"/>
          <w:szCs w:val="18"/>
          <w:color w:val="auto"/>
        </w:rPr>
      </w:pPr>
    </w:p>
    <w:p>
      <w:pPr>
        <w:ind w:left="500" w:right="2359" w:firstLine="1"/>
        <w:spacing w:after="0" w:line="258" w:lineRule="auto"/>
        <w:tabs>
          <w:tab w:leader="none" w:pos="6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7" w:lineRule="exact"/>
        <w:rPr>
          <w:rFonts w:ascii="Times New Roman" w:cs="Times New Roman" w:eastAsia="Times New Roman" w:hAnsi="Times New Roman"/>
          <w:sz w:val="18"/>
          <w:szCs w:val="18"/>
          <w:color w:val="auto"/>
        </w:rPr>
      </w:pPr>
    </w:p>
    <w:p>
      <w:pPr>
        <w:ind w:right="2499" w:firstLine="8"/>
        <w:spacing w:after="0" w:line="262" w:lineRule="auto"/>
        <w:tabs>
          <w:tab w:leader="none" w:pos="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Times New Roman" w:cs="Times New Roman" w:eastAsia="Times New Roman" w:hAnsi="Times New Roman"/>
          <w:sz w:val="18"/>
          <w:szCs w:val="18"/>
          <w:color w:val="auto"/>
        </w:rPr>
      </w:pPr>
    </w:p>
    <w:p>
      <w:pPr>
        <w:ind w:left="500" w:right="2199" w:firstLine="1"/>
        <w:spacing w:after="0" w:line="262"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18"/>
          <w:szCs w:val="18"/>
          <w:color w:val="auto"/>
        </w:rPr>
      </w:pPr>
    </w:p>
    <w:p>
      <w:pPr>
        <w:ind w:left="500" w:right="2139" w:firstLine="1"/>
        <w:spacing w:after="0" w:line="275" w:lineRule="auto"/>
        <w:tabs>
          <w:tab w:leader="none" w:pos="6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2008</w:t>
      </w:r>
    </w:p>
    <w:p>
      <w:pPr>
        <w:spacing w:after="0" w:line="2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19"/>
          </w:cols>
          <w:pgMar w:left="240" w:top="125" w:right="1440" w:bottom="1440" w:gutter="0" w:footer="0" w:header="0"/>
        </w:sectPr>
      </w:pPr>
    </w:p>
    <w:bookmarkStart w:id="26" w:name="page27"/>
    <w:bookmarkEnd w:id="26"/>
    <w:p>
      <w:pPr>
        <w:jc w:val="right"/>
        <w:ind w:right="2099"/>
        <w:spacing w:after="0"/>
        <w:rPr>
          <w:sz w:val="20"/>
          <w:szCs w:val="20"/>
          <w:color w:val="auto"/>
        </w:rPr>
      </w:pPr>
      <w:r>
        <w:rPr>
          <w:rFonts w:ascii="Times New Roman" w:cs="Times New Roman" w:eastAsia="Times New Roman" w:hAnsi="Times New Roman"/>
          <w:sz w:val="18"/>
          <w:szCs w:val="18"/>
          <w:color w:val="auto"/>
        </w:rPr>
        <w:t>EXHIBIT 32.1</w:t>
      </w:r>
    </w:p>
    <w:p>
      <w:pPr>
        <w:spacing w:after="0" w:line="2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2459"/>
        <w:spacing w:after="0" w:line="301" w:lineRule="auto"/>
        <w:rPr>
          <w:sz w:val="20"/>
          <w:szCs w:val="20"/>
          <w:color w:val="auto"/>
        </w:rPr>
      </w:pPr>
      <w:r>
        <w:rPr>
          <w:rFonts w:ascii="Times New Roman" w:cs="Times New Roman" w:eastAsia="Times New Roman" w:hAnsi="Times New Roman"/>
          <w:sz w:val="16"/>
          <w:szCs w:val="16"/>
          <w:color w:val="auto"/>
        </w:rPr>
        <w:t>In connection with the Quarterly Report on Form 10-Q of Daktronics, Inc. (the “Company”) for the quarterly period ended January 26, 2008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57" w:lineRule="exact"/>
        <w:rPr>
          <w:sz w:val="20"/>
          <w:szCs w:val="20"/>
          <w:color w:val="auto"/>
        </w:rPr>
      </w:pPr>
    </w:p>
    <w:p>
      <w:pPr>
        <w:ind w:left="980" w:right="2139" w:hanging="648"/>
        <w:spacing w:after="0" w:line="27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8"/>
          <w:szCs w:val="18"/>
          <w:color w:val="auto"/>
        </w:rPr>
      </w:pPr>
    </w:p>
    <w:p>
      <w:pPr>
        <w:ind w:left="980" w:right="2719" w:hanging="648"/>
        <w:spacing w:after="0" w:line="27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19"/>
          </w:cols>
          <w:pgMar w:left="240" w:top="125" w:right="1440" w:bottom="1440" w:gutter="0" w:footer="0" w:header="0"/>
        </w:sectPr>
      </w:pPr>
    </w:p>
    <w:bookmarkStart w:id="27" w:name="page28"/>
    <w:bookmarkEnd w:id="27"/>
    <w:p>
      <w:pPr>
        <w:jc w:val="right"/>
        <w:ind w:right="2099"/>
        <w:spacing w:after="0"/>
        <w:rPr>
          <w:sz w:val="20"/>
          <w:szCs w:val="20"/>
          <w:color w:val="auto"/>
        </w:rPr>
      </w:pPr>
      <w:r>
        <w:rPr>
          <w:rFonts w:ascii="Times New Roman" w:cs="Times New Roman" w:eastAsia="Times New Roman" w:hAnsi="Times New Roman"/>
          <w:sz w:val="18"/>
          <w:szCs w:val="18"/>
          <w:color w:val="auto"/>
        </w:rPr>
        <w:t>EXHIBIT 32.2</w:t>
      </w:r>
    </w:p>
    <w:p>
      <w:pPr>
        <w:spacing w:after="0" w:line="250"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0" w:lineRule="exact"/>
        <w:rPr>
          <w:sz w:val="20"/>
          <w:szCs w:val="20"/>
          <w:color w:val="auto"/>
        </w:rPr>
      </w:pPr>
    </w:p>
    <w:p>
      <w:pPr>
        <w:ind w:right="2279"/>
        <w:spacing w:after="0" w:line="301" w:lineRule="auto"/>
        <w:rPr>
          <w:sz w:val="20"/>
          <w:szCs w:val="20"/>
          <w:color w:val="auto"/>
        </w:rPr>
      </w:pPr>
      <w:r>
        <w:rPr>
          <w:rFonts w:ascii="Times New Roman" w:cs="Times New Roman" w:eastAsia="Times New Roman" w:hAnsi="Times New Roman"/>
          <w:sz w:val="16"/>
          <w:szCs w:val="16"/>
          <w:color w:val="auto"/>
        </w:rPr>
        <w:t>In connection with the Quarterly Report on Form 10-Q of Daktronics, Inc. (the “Company”) for the quarterly period ended January 26, 2008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84" w:lineRule="exact"/>
        <w:rPr>
          <w:sz w:val="20"/>
          <w:szCs w:val="20"/>
          <w:color w:val="auto"/>
        </w:rPr>
      </w:pPr>
    </w:p>
    <w:p>
      <w:pPr>
        <w:ind w:left="980" w:right="2139" w:hanging="648"/>
        <w:spacing w:after="0" w:line="27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ind w:left="980" w:right="2739" w:hanging="648"/>
        <w:spacing w:after="0" w:line="27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2008</w:t>
      </w:r>
    </w:p>
    <w:p>
      <w:pPr>
        <w:spacing w:after="0" w:line="200" w:lineRule="exact"/>
        <w:rPr>
          <w:sz w:val="20"/>
          <w:szCs w:val="20"/>
          <w:color w:val="auto"/>
        </w:rPr>
      </w:pPr>
    </w:p>
    <w:p>
      <w:pPr>
        <w:spacing w:after="0" w:line="28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2019-12-14T02:17:48Z</dcterms:created>
  <dcterms:modified xsi:type="dcterms:W3CDTF">2019-12-14T02:17:48Z</dcterms:modified>
</cp:coreProperties>
</file>