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(Rule 14a-101)</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50"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Exchange Act of 1934 (Amendment No.___)</w:t>
      </w:r>
    </w:p>
    <w:p>
      <w:pPr>
        <w:sectPr>
          <w:pgSz w:w="11900" w:h="16838" w:orient="portrait"/>
          <w:cols w:equalWidth="0" w:num="1">
            <w:col w:w="10219"/>
          </w:cols>
          <w:pgMar w:left="240" w:top="904" w:right="1440"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4"/>
          <w:szCs w:val="24"/>
          <w:color w:val="auto"/>
        </w:rPr>
      </w:pPr>
    </w:p>
    <w:p>
      <w:pPr>
        <w:sectPr>
          <w:pgSz w:w="11900" w:h="16838" w:orient="portrait"/>
          <w:cols w:equalWidth="0" w:num="2">
            <w:col w:w="2740" w:space="720"/>
            <w:col w:w="6759"/>
          </w:cols>
          <w:pgMar w:left="240" w:top="904" w:right="1440"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200" w:lineRule="exact"/>
        <w:rPr>
          <w:sz w:val="24"/>
          <w:szCs w:val="24"/>
          <w:color w:val="auto"/>
        </w:rPr>
      </w:pPr>
    </w:p>
    <w:p>
      <w:pPr>
        <w:sectPr>
          <w:pgSz w:w="11900" w:h="16838" w:orient="portrait"/>
          <w:cols w:equalWidth="0" w:num="2">
            <w:col w:w="3000" w:space="460"/>
            <w:col w:w="6759"/>
          </w:cols>
          <w:pgMar w:left="240" w:top="904" w:right="1440"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19"/>
          </w:cols>
          <w:pgMar w:left="240" w:top="904" w:right="1440" w:bottom="1440" w:gutter="0" w:footer="0" w:header="0"/>
          <w:type w:val="continuous"/>
        </w:sectPr>
      </w:pPr>
    </w:p>
    <w:p>
      <w:pPr>
        <w:spacing w:after="0" w:line="194" w:lineRule="exact"/>
        <w:rPr>
          <w:sz w:val="24"/>
          <w:szCs w:val="24"/>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85" w:lineRule="exact"/>
        <w:rPr>
          <w:sz w:val="24"/>
          <w:szCs w:val="24"/>
          <w:color w:val="auto"/>
        </w:rPr>
      </w:pPr>
    </w:p>
    <w:p>
      <w:pPr>
        <w:sectPr>
          <w:pgSz w:w="11900" w:h="16838" w:orient="portrait"/>
          <w:cols w:equalWidth="0" w:num="2">
            <w:col w:w="300" w:space="500"/>
            <w:col w:w="9419"/>
          </w:cols>
          <w:pgMar w:left="240" w:top="904" w:right="1440"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85" w:lineRule="exact"/>
        <w:rPr>
          <w:sz w:val="24"/>
          <w:szCs w:val="24"/>
          <w:color w:val="auto"/>
        </w:rPr>
      </w:pPr>
    </w:p>
    <w:p>
      <w:pPr>
        <w:sectPr>
          <w:pgSz w:w="11900" w:h="16838" w:orient="portrait"/>
          <w:cols w:equalWidth="0" w:num="2">
            <w:col w:w="300" w:space="500"/>
            <w:col w:w="9419"/>
          </w:cols>
          <w:pgMar w:left="240" w:top="904" w:right="1440" w:bottom="1440" w:gutter="0" w:footer="0" w:header="0"/>
          <w:type w:val="continuous"/>
        </w:sectPr>
      </w:pPr>
    </w:p>
    <w:p>
      <w:pPr>
        <w:ind w:left="800" w:hanging="765"/>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§240.14a-12</w:t>
      </w:r>
    </w:p>
    <w:p>
      <w:pPr>
        <w:spacing w:after="0" w:line="253"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u w:val="single" w:color="auto"/>
          <w:color w:val="auto"/>
        </w:rPr>
        <w:t>Daktronics, Inc.</w:t>
      </w:r>
    </w:p>
    <w:p>
      <w:pPr>
        <w:spacing w:after="0" w:line="1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Registrant as Specified in its Charter)</w:t>
      </w:r>
    </w:p>
    <w:p>
      <w:pPr>
        <w:spacing w:after="0" w:line="20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800" w:hanging="76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computed on table below per Exchange Act Rules 14a-6(i) and 0-11.</w:t>
      </w:r>
    </w:p>
    <w:p>
      <w:pPr>
        <w:spacing w:after="0" w:line="63" w:lineRule="exact"/>
        <w:rPr>
          <w:sz w:val="24"/>
          <w:szCs w:val="24"/>
          <w:color w:val="auto"/>
        </w:rPr>
      </w:pPr>
    </w:p>
    <w:p>
      <w:pPr>
        <w:ind w:left="1540" w:hanging="749"/>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sz w:val="24"/>
          <w:szCs w:val="24"/>
          <w:color w:val="auto"/>
        </w:rPr>
      </w:pPr>
    </w:p>
    <w:p>
      <w:pPr>
        <w:ind w:left="1540" w:hanging="74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sz w:val="24"/>
          <w:szCs w:val="24"/>
          <w:color w:val="auto"/>
        </w:rPr>
      </w:pPr>
    </w:p>
    <w:p>
      <w:pPr>
        <w:ind w:left="1540" w:right="1079" w:hanging="749"/>
        <w:spacing w:after="0" w:line="308" w:lineRule="auto"/>
        <w:tabs>
          <w:tab w:leader="none" w:pos="1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1" w:lineRule="exact"/>
        <w:rPr>
          <w:sz w:val="24"/>
          <w:szCs w:val="24"/>
          <w:color w:val="auto"/>
        </w:rPr>
      </w:pPr>
    </w:p>
    <w:p>
      <w:pPr>
        <w:ind w:left="1540" w:hanging="749"/>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sz w:val="24"/>
          <w:szCs w:val="24"/>
          <w:color w:val="auto"/>
        </w:rPr>
      </w:pPr>
    </w:p>
    <w:p>
      <w:pPr>
        <w:ind w:left="1540" w:hanging="749"/>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63" w:lineRule="exact"/>
        <w:rPr>
          <w:sz w:val="24"/>
          <w:szCs w:val="24"/>
          <w:color w:val="auto"/>
        </w:rPr>
      </w:pPr>
    </w:p>
    <w:p>
      <w:pPr>
        <w:ind w:left="800" w:right="859" w:hanging="765"/>
        <w:spacing w:after="0" w:line="264" w:lineRule="auto"/>
        <w:tabs>
          <w:tab w:leader="none" w:pos="239"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5" w:lineRule="exact"/>
        <w:rPr>
          <w:sz w:val="24"/>
          <w:szCs w:val="24"/>
          <w:color w:val="auto"/>
        </w:rPr>
      </w:pPr>
    </w:p>
    <w:p>
      <w:pPr>
        <w:ind w:left="1540" w:hanging="749"/>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sz w:val="24"/>
          <w:szCs w:val="24"/>
          <w:color w:val="auto"/>
        </w:rPr>
      </w:pPr>
    </w:p>
    <w:p>
      <w:pPr>
        <w:ind w:left="1540" w:hanging="749"/>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sz w:val="24"/>
          <w:szCs w:val="24"/>
          <w:color w:val="auto"/>
        </w:rPr>
      </w:pPr>
    </w:p>
    <w:p>
      <w:pPr>
        <w:ind w:left="1540" w:hanging="749"/>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sz w:val="24"/>
          <w:szCs w:val="24"/>
          <w:color w:val="auto"/>
        </w:rPr>
      </w:pPr>
    </w:p>
    <w:p>
      <w:pPr>
        <w:ind w:left="1540" w:hanging="749"/>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 Daktronics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Brookings, South Dakota 57006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AUGUST 30, 2017</w:t>
      </w:r>
    </w:p>
    <w:p>
      <w:pPr>
        <w:sectPr>
          <w:pgSz w:w="11900" w:h="16838" w:orient="portrait"/>
          <w:cols w:equalWidth="0" w:num="1">
            <w:col w:w="11420"/>
          </w:cols>
          <w:pgMar w:left="240" w:top="364" w:right="239" w:bottom="1440" w:gutter="0" w:footer="0" w:header="0"/>
        </w:sect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7:00 p.m. Central Daylight Time on Wednesday, August 30, 2017</w:t>
      </w:r>
    </w:p>
    <w:p>
      <w:pPr>
        <w:spacing w:after="0" w:line="207" w:lineRule="exact"/>
        <w:rPr>
          <w:sz w:val="20"/>
          <w:szCs w:val="20"/>
          <w:color w:val="auto"/>
        </w:rPr>
      </w:pPr>
    </w:p>
    <w:p>
      <w:pPr>
        <w:sectPr>
          <w:pgSz w:w="11900" w:h="16838" w:orient="portrait"/>
          <w:cols w:equalWidth="0" w:num="2">
            <w:col w:w="1240" w:space="720"/>
            <w:col w:w="9460"/>
          </w:cols>
          <w:pgMar w:left="240" w:top="364" w:right="2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Place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Daktronics, Inc.</w:t>
      </w:r>
    </w:p>
    <w:p>
      <w:pPr>
        <w:spacing w:after="0" w:line="86" w:lineRule="exact"/>
        <w:rPr>
          <w:sz w:val="20"/>
          <w:szCs w:val="20"/>
          <w:color w:val="auto"/>
        </w:rPr>
      </w:pPr>
    </w:p>
    <w:p>
      <w:pPr>
        <w:sectPr>
          <w:pgSz w:w="11900" w:h="16838" w:orient="portrait"/>
          <w:cols w:equalWidth="0" w:num="2">
            <w:col w:w="1240" w:space="720"/>
            <w:col w:w="9460"/>
          </w:cols>
          <w:pgMar w:left="240" w:top="36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201 Daktronics Drive</w:t>
      </w:r>
    </w:p>
    <w:p>
      <w:pPr>
        <w:spacing w:after="0" w:line="6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Brookings, South Dakota 57006</w:t>
      </w:r>
    </w:p>
    <w:p>
      <w:pPr>
        <w:sectPr>
          <w:pgSz w:w="11900" w:h="16838" w:orient="portrait"/>
          <w:cols w:equalWidth="0" w:num="1">
            <w:col w:w="11420"/>
          </w:cols>
          <w:pgMar w:left="240" w:top="364" w:right="2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1960" w:right="40" w:hanging="2241"/>
        <w:spacing w:after="0" w:line="277" w:lineRule="auto"/>
        <w:tabs>
          <w:tab w:leader="none" w:pos="1940" w:val="left"/>
        </w:tabs>
        <w:rPr>
          <w:sz w:val="20"/>
          <w:szCs w:val="20"/>
          <w:color w:val="auto"/>
        </w:rPr>
      </w:pPr>
      <w:r>
        <w:rPr>
          <w:rFonts w:ascii="Arial" w:cs="Arial" w:eastAsia="Arial" w:hAnsi="Arial"/>
          <w:sz w:val="18"/>
          <w:szCs w:val="18"/>
          <w:b w:val="1"/>
          <w:bCs w:val="1"/>
          <w:color w:val="auto"/>
        </w:rPr>
        <w:t>Items of Business</w:t>
      </w:r>
      <w:r>
        <w:rPr>
          <w:sz w:val="20"/>
          <w:szCs w:val="20"/>
          <w:color w:val="auto"/>
        </w:rPr>
        <w:tab/>
      </w:r>
      <w:r>
        <w:rPr>
          <w:rFonts w:ascii="Arial" w:cs="Arial" w:eastAsia="Arial" w:hAnsi="Arial"/>
          <w:sz w:val="18"/>
          <w:szCs w:val="18"/>
          <w:color w:val="auto"/>
        </w:rPr>
        <w:t>1. To elect two Directors to serve for a three-year term that expires on the date of the Annual Meeting of Shareholders in 2020 or until their successors are duly elected;</w:t>
      </w:r>
    </w:p>
    <w:p>
      <w:pPr>
        <w:spacing w:after="0" w:line="12" w:lineRule="exact"/>
        <w:rPr>
          <w:sz w:val="20"/>
          <w:szCs w:val="20"/>
          <w:color w:val="auto"/>
        </w:rPr>
      </w:pPr>
    </w:p>
    <w:p>
      <w:pPr>
        <w:ind w:left="2280" w:hanging="327"/>
        <w:spacing w:after="0"/>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conduct an advisory approval of the Company's executive compensation;</w:t>
      </w:r>
    </w:p>
    <w:p>
      <w:pPr>
        <w:spacing w:after="0" w:line="63" w:lineRule="exact"/>
        <w:rPr>
          <w:rFonts w:ascii="Arial" w:cs="Arial" w:eastAsia="Arial" w:hAnsi="Arial"/>
          <w:sz w:val="18"/>
          <w:szCs w:val="18"/>
          <w:color w:val="auto"/>
        </w:rPr>
      </w:pPr>
    </w:p>
    <w:p>
      <w:pPr>
        <w:ind w:left="2280" w:right="20" w:hanging="327"/>
        <w:spacing w:after="0" w:line="277" w:lineRule="auto"/>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conduct an advisory vote on how frequently shareholders should vote on the compensation of our named executive officers (a non-binding "say-on-pay frequency" vote); and</w:t>
      </w:r>
    </w:p>
    <w:p>
      <w:pPr>
        <w:spacing w:after="0" w:line="8" w:lineRule="exact"/>
        <w:rPr>
          <w:rFonts w:ascii="Arial" w:cs="Arial" w:eastAsia="Arial" w:hAnsi="Arial"/>
          <w:sz w:val="18"/>
          <w:szCs w:val="18"/>
          <w:color w:val="auto"/>
        </w:rPr>
      </w:pPr>
    </w:p>
    <w:p>
      <w:pPr>
        <w:ind w:left="2280" w:right="40" w:hanging="327"/>
        <w:spacing w:after="0" w:line="277" w:lineRule="auto"/>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the Board of Directors of Ernst &amp; Young LLP as our independent registered public accounting firm for fiscal 2018.</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You are entitled to vote if you were a shareholder of record at the close of business on June 26, 2017.</w:t>
            </w:r>
          </w:p>
        </w:tc>
      </w:tr>
      <w:tr>
        <w:trPr>
          <w:trHeight w:val="594"/>
        </w:trPr>
        <w:tc>
          <w:tcPr>
            <w:tcW w:w="1580" w:type="dxa"/>
            <w:vAlign w:val="bottom"/>
          </w:tcPr>
          <w:p>
            <w:pPr>
              <w:spacing w:after="0"/>
              <w:rPr>
                <w:sz w:val="20"/>
                <w:szCs w:val="20"/>
                <w:color w:val="auto"/>
              </w:rPr>
            </w:pPr>
            <w:r>
              <w:rPr>
                <w:rFonts w:ascii="Arial" w:cs="Arial" w:eastAsia="Arial" w:hAnsi="Arial"/>
                <w:sz w:val="18"/>
                <w:szCs w:val="18"/>
                <w:b w:val="1"/>
                <w:bCs w:val="1"/>
                <w:color w:val="auto"/>
              </w:rPr>
              <w:t>Annual Meeting</w:t>
            </w: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All shareholders are invited to attend the Annual Meeting in person.</w:t>
            </w:r>
          </w:p>
        </w:tc>
      </w:tr>
      <w:tr>
        <w:trPr>
          <w:trHeight w:val="580"/>
        </w:trPr>
        <w:tc>
          <w:tcPr>
            <w:tcW w:w="158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w w:val="91"/>
              </w:rPr>
              <w:t>Even if you plan to attend the Annual Meeting, please submit a proxy as soon as possible so that your shares can be voted at the</w:t>
            </w:r>
          </w:p>
        </w:tc>
      </w:tr>
      <w:tr>
        <w:trPr>
          <w:trHeight w:val="230"/>
        </w:trPr>
        <w:tc>
          <w:tcPr>
            <w:tcW w:w="1580" w:type="dxa"/>
            <w:vAlign w:val="bottom"/>
          </w:tcPr>
          <w:p>
            <w:pPr>
              <w:spacing w:after="0"/>
              <w:rPr>
                <w:sz w:val="20"/>
                <w:szCs w:val="20"/>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Annual Meeting in accordance with your instructions. Shareholders may vote their shares:</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1.</w:t>
            </w:r>
          </w:p>
        </w:tc>
        <w:tc>
          <w:tcPr>
            <w:tcW w:w="9220" w:type="dxa"/>
            <w:vAlign w:val="bottom"/>
          </w:tcPr>
          <w:p>
            <w:pPr>
              <w:ind w:left="100"/>
              <w:spacing w:after="0"/>
              <w:rPr>
                <w:sz w:val="20"/>
                <w:szCs w:val="20"/>
                <w:color w:val="auto"/>
              </w:rPr>
            </w:pPr>
            <w:r>
              <w:rPr>
                <w:rFonts w:ascii="Arial" w:cs="Arial" w:eastAsia="Arial" w:hAnsi="Arial"/>
                <w:sz w:val="18"/>
                <w:szCs w:val="18"/>
                <w:color w:val="auto"/>
              </w:rPr>
              <w:t>over the Internet;</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2.</w:t>
            </w:r>
          </w:p>
        </w:tc>
        <w:tc>
          <w:tcPr>
            <w:tcW w:w="9220" w:type="dxa"/>
            <w:vAlign w:val="bottom"/>
          </w:tcPr>
          <w:p>
            <w:pPr>
              <w:ind w:left="100"/>
              <w:spacing w:after="0"/>
              <w:rPr>
                <w:sz w:val="20"/>
                <w:szCs w:val="20"/>
                <w:color w:val="auto"/>
              </w:rPr>
            </w:pPr>
            <w:r>
              <w:rPr>
                <w:rFonts w:ascii="Arial" w:cs="Arial" w:eastAsia="Arial" w:hAnsi="Arial"/>
                <w:sz w:val="18"/>
                <w:szCs w:val="18"/>
                <w:color w:val="auto"/>
              </w:rPr>
              <w:t>by telephone; or</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3.</w:t>
            </w:r>
          </w:p>
        </w:tc>
        <w:tc>
          <w:tcPr>
            <w:tcW w:w="9220" w:type="dxa"/>
            <w:vAlign w:val="bottom"/>
          </w:tcPr>
          <w:p>
            <w:pPr>
              <w:ind w:left="100"/>
              <w:spacing w:after="0"/>
              <w:rPr>
                <w:sz w:val="20"/>
                <w:szCs w:val="20"/>
                <w:color w:val="auto"/>
              </w:rPr>
            </w:pPr>
            <w:r>
              <w:rPr>
                <w:rFonts w:ascii="Arial" w:cs="Arial" w:eastAsia="Arial" w:hAnsi="Arial"/>
                <w:sz w:val="18"/>
                <w:szCs w:val="18"/>
                <w:color w:val="auto"/>
              </w:rPr>
              <w:t>by mail.</w:t>
            </w:r>
          </w:p>
        </w:tc>
      </w:tr>
    </w:tbl>
    <w:p>
      <w:pPr>
        <w:spacing w:after="0" w:line="364" w:lineRule="exact"/>
        <w:rPr>
          <w:sz w:val="20"/>
          <w:szCs w:val="20"/>
          <w:color w:val="auto"/>
        </w:rPr>
      </w:pPr>
    </w:p>
    <w:p>
      <w:pPr>
        <w:ind w:left="1960" w:right="40"/>
        <w:spacing w:after="0" w:line="277" w:lineRule="auto"/>
        <w:rPr>
          <w:sz w:val="20"/>
          <w:szCs w:val="20"/>
          <w:color w:val="auto"/>
        </w:rPr>
      </w:pPr>
      <w:r>
        <w:rPr>
          <w:rFonts w:ascii="Arial" w:cs="Arial" w:eastAsia="Arial" w:hAnsi="Arial"/>
          <w:sz w:val="18"/>
          <w:szCs w:val="18"/>
          <w:color w:val="auto"/>
        </w:rPr>
        <w:t>For specific instructions, refer to the procedural matters section of the proxy statement or to the voting instructions on the proxy card, both of which accompany this notice.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AND PROXY CARD ARE BEING DISTRIBUTED ON OR ABOUT JULY 11, 2017.</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Order of the Board of Directors,</w:t>
      </w:r>
    </w:p>
    <w:p>
      <w:pPr>
        <w:spacing w:after="0" w:line="32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Carla S. Gatzke</w:t>
      </w:r>
    </w:p>
    <w:p>
      <w:pPr>
        <w:spacing w:after="0" w:line="6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Secretary</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IMPORTANT NOTICE REGARDING AVAILABILITY OF PROXY MATERIALS FOR THE DAKTRONICS, INC. ANNUAL MEETING OF SHAREHOLDERS TO BE HELD ON AUGUST 30, 2017.</w:t>
      </w:r>
    </w:p>
    <w:p>
      <w:pPr>
        <w:spacing w:after="0" w:line="16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xml:space="preserve">This notice and the accompanying proxy statement, proxy card and our Fiscal 2017 Annual Report to Shareholders, which includes our Annual Report on Form 10-K for the fiscal year ended April 29, 2017, are available at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 Additionally, and in accordance with the rules of the Securities and Exchange Commission, shareholders may access these materials at the cookies-free website indicated in the Notice of Internet Availability of Proxy Materials that you receive in connection with this notice and the accompanying proxy statement.</w:t>
      </w:r>
    </w:p>
    <w:p>
      <w:pPr>
        <w:sectPr>
          <w:pgSz w:w="11900" w:h="16838" w:orient="portrait"/>
          <w:cols w:equalWidth="0" w:num="1">
            <w:col w:w="11420"/>
          </w:cols>
          <w:pgMar w:left="240" w:top="364" w:right="239" w:bottom="1440" w:gutter="0" w:footer="0" w:header="0"/>
          <w:type w:val="continuous"/>
        </w:sectPr>
      </w:pPr>
    </w:p>
    <w:bookmarkStart w:id="2" w:name="page3"/>
    <w:bookmarkEnd w:id="2"/>
    <w:p>
      <w:pPr>
        <w:ind w:left="5060"/>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Pages</w:t>
            </w:r>
          </w:p>
        </w:tc>
      </w:tr>
      <w:tr>
        <w:trPr>
          <w:trHeight w:val="250"/>
        </w:trPr>
        <w:tc>
          <w:tcPr>
            <w:tcW w:w="1032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Procedural Matters</w:t>
              </w:r>
            </w:hyperlink>
          </w:p>
        </w:tc>
        <w:tc>
          <w:tcPr>
            <w:tcW w:w="44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48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Security Ownership of Certain Beneficial Owners and Management</w:t>
              </w:r>
            </w:hyperlink>
          </w:p>
        </w:tc>
        <w:tc>
          <w:tcPr>
            <w:tcW w:w="54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574"/>
        </w:trPr>
        <w:tc>
          <w:tcPr>
            <w:tcW w:w="1032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Proposal One - Election of Directors</w:t>
              </w:r>
            </w:hyperlink>
          </w:p>
        </w:tc>
        <w:tc>
          <w:tcPr>
            <w:tcW w:w="440" w:type="dxa"/>
            <w:vAlign w:val="bottom"/>
            <w:gridSpan w:val="2"/>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674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Proposal Two - Advisory (non-binding) Approval of the Company's Executive Compensation</w:t>
              </w:r>
            </w:hyperlink>
          </w:p>
        </w:tc>
        <w:tc>
          <w:tcPr>
            <w:tcW w:w="358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r>
      <w:tr>
        <w:trPr>
          <w:trHeight w:val="574"/>
        </w:trPr>
        <w:tc>
          <w:tcPr>
            <w:tcW w:w="10320" w:type="dxa"/>
            <w:vAlign w:val="bottom"/>
            <w:gridSpan w:val="14"/>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Proposal Three - Advisory (non-binding) Vote on Frequency of Say-on-Pay Vote</w:t>
              </w:r>
            </w:hyperlink>
          </w:p>
        </w:tc>
        <w:tc>
          <w:tcPr>
            <w:tcW w:w="440" w:type="dxa"/>
            <w:vAlign w:val="bottom"/>
            <w:gridSpan w:val="2"/>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10320" w:type="dxa"/>
            <w:vAlign w:val="bottom"/>
            <w:gridSpan w:val="1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Proposal Four - Ratification of Appointment of Independent Registered Public Accounting Firm</w:t>
              </w:r>
            </w:hyperlink>
          </w:p>
        </w:tc>
        <w:tc>
          <w:tcPr>
            <w:tcW w:w="440" w:type="dxa"/>
            <w:vAlign w:val="bottom"/>
            <w:gridSpan w:val="2"/>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r>
      <w:tr>
        <w:trPr>
          <w:trHeight w:val="574"/>
        </w:trPr>
        <w:tc>
          <w:tcPr>
            <w:tcW w:w="6920" w:type="dxa"/>
            <w:vAlign w:val="bottom"/>
            <w:tcBorders>
              <w:top w:val="single" w:sz="8" w:color="0000EE"/>
            </w:tcBorders>
            <w:gridSpan w:val="1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Corporate Governance</w:t>
              </w:r>
            </w:hyperlink>
          </w:p>
        </w:tc>
        <w:tc>
          <w:tcPr>
            <w:tcW w:w="3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14">
              <w:r>
                <w:rPr>
                  <w:rFonts w:ascii="Arial" w:cs="Arial" w:eastAsia="Arial" w:hAnsi="Arial"/>
                  <w:sz w:val="10"/>
                  <w:szCs w:val="10"/>
                  <w:color w:val="0000EE"/>
                  <w:w w:val="71"/>
                </w:rPr>
                <w:t>11</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4260" w:type="dxa"/>
            <w:vAlign w:val="bottom"/>
            <w:gridSpan w:val="9"/>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Section 16(a) Beneficial Ownership Reporting Compliance</w:t>
              </w:r>
            </w:hyperlink>
          </w:p>
        </w:tc>
        <w:tc>
          <w:tcPr>
            <w:tcW w:w="6060" w:type="dxa"/>
            <w:vAlign w:val="bottom"/>
            <w:gridSpan w:val="5"/>
          </w:tcPr>
          <w:p>
            <w:pPr>
              <w:spacing w:after="0"/>
              <w:rPr>
                <w:sz w:val="24"/>
                <w:szCs w:val="24"/>
                <w:color w:val="auto"/>
              </w:rPr>
            </w:pPr>
          </w:p>
        </w:tc>
        <w:tc>
          <w:tcPr>
            <w:tcW w:w="440" w:type="dxa"/>
            <w:vAlign w:val="bottom"/>
            <w:gridSpan w:val="2"/>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4260" w:type="dxa"/>
            <w:vAlign w:val="bottom"/>
            <w:gridSpan w:val="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Compensation Discussion and Analysis</w:t>
              </w:r>
            </w:hyperlink>
          </w:p>
        </w:tc>
        <w:tc>
          <w:tcPr>
            <w:tcW w:w="6060" w:type="dxa"/>
            <w:vAlign w:val="bottom"/>
            <w:gridSpan w:val="5"/>
          </w:tcPr>
          <w:p>
            <w:pPr>
              <w:spacing w:after="0"/>
              <w:rPr>
                <w:sz w:val="24"/>
                <w:szCs w:val="24"/>
                <w:color w:val="auto"/>
              </w:rPr>
            </w:pPr>
          </w:p>
        </w:tc>
        <w:tc>
          <w:tcPr>
            <w:tcW w:w="440" w:type="dxa"/>
            <w:vAlign w:val="bottom"/>
            <w:gridSpan w:val="2"/>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2420" w:type="dxa"/>
            <w:vAlign w:val="bottom"/>
            <w:gridSpan w:val="5"/>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Compensation Committee Report</w:t>
              </w:r>
            </w:hyperlink>
          </w:p>
        </w:tc>
        <w:tc>
          <w:tcPr>
            <w:tcW w:w="420" w:type="dxa"/>
            <w:vAlign w:val="bottom"/>
            <w:gridSpan w:val="2"/>
          </w:tcPr>
          <w:p>
            <w:pPr>
              <w:spacing w:after="0"/>
              <w:rPr>
                <w:sz w:val="24"/>
                <w:szCs w:val="24"/>
                <w:color w:val="auto"/>
              </w:rPr>
            </w:pPr>
          </w:p>
        </w:tc>
        <w:tc>
          <w:tcPr>
            <w:tcW w:w="7480" w:type="dxa"/>
            <w:vAlign w:val="bottom"/>
            <w:gridSpan w:val="7"/>
          </w:tcPr>
          <w:p>
            <w:pPr>
              <w:spacing w:after="0"/>
              <w:rPr>
                <w:sz w:val="24"/>
                <w:szCs w:val="24"/>
                <w:color w:val="auto"/>
              </w:rPr>
            </w:pPr>
          </w:p>
        </w:tc>
        <w:tc>
          <w:tcPr>
            <w:tcW w:w="440" w:type="dxa"/>
            <w:vAlign w:val="bottom"/>
            <w:gridSpan w:val="2"/>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1780" w:type="dxa"/>
            <w:vAlign w:val="bottom"/>
            <w:gridSpan w:val="4"/>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Executive Compensation</w:t>
              </w:r>
            </w:hyperlink>
          </w:p>
        </w:tc>
        <w:tc>
          <w:tcPr>
            <w:tcW w:w="640" w:type="dxa"/>
            <w:vAlign w:val="bottom"/>
          </w:tcPr>
          <w:p>
            <w:pPr>
              <w:spacing w:after="0"/>
              <w:rPr>
                <w:sz w:val="24"/>
                <w:szCs w:val="24"/>
                <w:color w:val="auto"/>
              </w:rPr>
            </w:pPr>
          </w:p>
        </w:tc>
        <w:tc>
          <w:tcPr>
            <w:tcW w:w="7900" w:type="dxa"/>
            <w:vAlign w:val="bottom"/>
            <w:gridSpan w:val="9"/>
          </w:tcPr>
          <w:p>
            <w:pPr>
              <w:spacing w:after="0"/>
              <w:rPr>
                <w:sz w:val="24"/>
                <w:szCs w:val="24"/>
                <w:color w:val="auto"/>
              </w:rPr>
            </w:pPr>
          </w:p>
        </w:tc>
        <w:tc>
          <w:tcPr>
            <w:tcW w:w="440" w:type="dxa"/>
            <w:vAlign w:val="bottom"/>
            <w:gridSpan w:val="2"/>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tcBorders>
              <w:left w:val="single" w:sz="8" w:color="0000EE"/>
            </w:tcBorders>
            <w:gridSpan w:val="4"/>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1780" w:type="dxa"/>
            <w:vAlign w:val="bottom"/>
            <w:gridSpan w:val="4"/>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Audit Committee Report</w:t>
              </w:r>
            </w:hyperlink>
          </w:p>
        </w:tc>
        <w:tc>
          <w:tcPr>
            <w:tcW w:w="8540" w:type="dxa"/>
            <w:vAlign w:val="bottom"/>
            <w:gridSpan w:val="10"/>
          </w:tcPr>
          <w:p>
            <w:pPr>
              <w:spacing w:after="0"/>
              <w:rPr>
                <w:sz w:val="24"/>
                <w:szCs w:val="24"/>
                <w:color w:val="auto"/>
              </w:rPr>
            </w:pPr>
          </w:p>
        </w:tc>
        <w:tc>
          <w:tcPr>
            <w:tcW w:w="440" w:type="dxa"/>
            <w:vAlign w:val="bottom"/>
            <w:gridSpan w:val="2"/>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3460" w:type="dxa"/>
            <w:vAlign w:val="bottom"/>
            <w:gridSpan w:val="8"/>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Householding of Annual Disclosure Documents</w:t>
              </w:r>
            </w:hyperlink>
          </w:p>
        </w:tc>
        <w:tc>
          <w:tcPr>
            <w:tcW w:w="6860" w:type="dxa"/>
            <w:vAlign w:val="bottom"/>
            <w:gridSpan w:val="6"/>
          </w:tcPr>
          <w:p>
            <w:pPr>
              <w:spacing w:after="0"/>
              <w:rPr>
                <w:sz w:val="24"/>
                <w:szCs w:val="24"/>
                <w:color w:val="auto"/>
              </w:rPr>
            </w:pPr>
          </w:p>
        </w:tc>
        <w:tc>
          <w:tcPr>
            <w:tcW w:w="440" w:type="dxa"/>
            <w:vAlign w:val="bottom"/>
            <w:gridSpan w:val="2"/>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80" w:type="dxa"/>
            <w:vAlign w:val="bottom"/>
            <w:tcBorders>
              <w:left w:val="single" w:sz="8" w:color="0000EE"/>
            </w:tcBorders>
            <w:gridSpan w:val="5"/>
            <w:shd w:val="clear" w:color="auto" w:fill="0000EE"/>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3460" w:type="dxa"/>
            <w:vAlign w:val="bottom"/>
            <w:gridSpan w:val="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Available Information</w:t>
              </w:r>
            </w:hyperlink>
          </w:p>
        </w:tc>
        <w:tc>
          <w:tcPr>
            <w:tcW w:w="6860" w:type="dxa"/>
            <w:vAlign w:val="bottom"/>
            <w:gridSpan w:val="6"/>
          </w:tcPr>
          <w:p>
            <w:pPr>
              <w:spacing w:after="0"/>
              <w:rPr>
                <w:sz w:val="24"/>
                <w:szCs w:val="24"/>
                <w:color w:val="auto"/>
              </w:rPr>
            </w:pPr>
          </w:p>
        </w:tc>
        <w:tc>
          <w:tcPr>
            <w:tcW w:w="440" w:type="dxa"/>
            <w:vAlign w:val="bottom"/>
            <w:gridSpan w:val="2"/>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740" w:type="dxa"/>
            <w:vAlign w:val="bottom"/>
            <w:gridSpan w:val="11"/>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1580" w:type="dxa"/>
            <w:vAlign w:val="bottom"/>
            <w:gridSpan w:val="3"/>
          </w:tcPr>
          <w:p>
            <w:pPr>
              <w:spacing w:after="0"/>
              <w:rPr>
                <w:sz w:val="20"/>
                <w:szCs w:val="20"/>
                <w:color w:val="auto"/>
              </w:rPr>
            </w:pPr>
            <w:r>
              <w:rPr>
                <w:rFonts w:ascii="Arial" w:cs="Arial" w:eastAsia="Arial" w:hAnsi="Arial"/>
                <w:sz w:val="18"/>
                <w:szCs w:val="18"/>
                <w:color w:val="0000EE"/>
              </w:rPr>
              <w:t>Notice and Ballot</w:t>
            </w:r>
          </w:p>
        </w:tc>
        <w:tc>
          <w:tcPr>
            <w:tcW w:w="8740" w:type="dxa"/>
            <w:vAlign w:val="bottom"/>
            <w:gridSpan w:val="11"/>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0000EE"/>
              </w:rPr>
              <w:t>45</w:t>
            </w:r>
          </w:p>
        </w:tc>
      </w:tr>
      <w:tr>
        <w:trPr>
          <w:trHeight w:val="20"/>
        </w:trPr>
        <w:tc>
          <w:tcPr>
            <w:tcW w:w="1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0760"/>
          </w:cols>
          <w:pgMar w:left="280" w:top="364" w:right="8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2017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enclosed proxy is solicited by and on behalf of the Board of Directors of Daktronics, Inc., a South Dakota corporation, for use at our Annual Meeting of Shareholders to be held on Wednesday, August 30, 2017 at Daktronics, Inc., 201 Daktronics Drive, Brookings, South Dakota at 7:00 p.m. Central Daylight Time, and at any adjournment or postponement thereof (the “Annual Meeting”), for the purposes set forth herein and in the accompanying Notice of Annual Meeting of Shareholders. This Proxy Statement and the accompanying form of proxy, together with our Fiscal 2017 Annual Report to Shareholders, are being made available to shareholders on the Internet or are being mailed on or about July 11, 2017 to shareholders entitled to vote at the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“Daktronics”, “Company”, “registrant”, “we”, “us” and “our” refer to Daktronics,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Entitled to Vote; Record Date</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Only shareholders of record at the close of business on June 26, 2017 (the “Record Date”) are entitled to notice of and to vote at the Annual Meeting. As of the Record Date, there were 44,195,817 shares of our common stock outstanding and entitled to vote held by 1,080 shareholders of record.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are making proxy materials for the Annual Meeting available over the Internet. Therefore, we are mailing to the majority of our shareholders a notice about the Internet availability of the proxy materials instead of a paper copy of the proxy materials. The notice is entitled “Notice of Internet Availability of Proxy Materials.” All shareholders receiving the notice will have the ability to access the proxy materials over the Internet and to request to receive a paper copy of the proxy materials by mail. Instructions on how to access the proxy materials over the Internet or to request a paper copy may be found on the notice. Our proxy materials may also be accessed on our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 xml:space="preserve"> by selecting "About Us", then “Investor Relations” and then “Annual Reports and Proxies" under the heading "Financial Information.” We are providing some of our shareholders, including shareholders who have previously requested to receive paper copies of the proxy materials, with paper copies of the proxy materials instead of the Notice of Internet Availability of Proxy Materials.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Annual Meeting; Vote Requirements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holders of a majority of the shares of common stock issued and outstanding and entitled to vote at the Annual Meeting, present in person or represented by proxy,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 Each share is entitled to one vote on all matters submitted to a vote. However, with respect to only the election of Directors, every shareholder will have the right to cast a number of votes equal to the number of Directors to be elected at the Annual Meeting multiplied by the number of shares the shareholder is entitled to vote. Shareholders may cast all votes for one nominee or divide the votes as they choose among two or more nominees. Shares abstaining will be treated as not voted.</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plurality of the votes cast is required for the election of Directors. This means that the Director nominee with the most votes for a particular slot is elected for that slot. Only votes “for” or “withheld” affect the outcome. Abstentions are not counted for purposes of the election of Directors. With respect to the advisory vote on how frequently shareholders should vote on the compensation of our named executive officers (the non-binding "say-on-pay frequency" vote), of the four voting alternatives, the alternative that receives the affirmative vote of a plurality of the voting power present at the Annual Meeting and entitled to vote on this item of business will be the alternative adopted by the shareholders. The affirmative vote of a majority of the shares of common stock represented at the Annual Meeting, either in person or by proxy, assuming a quorum is present, is required to approve the other proposals. If an executed proxy is returned and the shareholder has abstained from voting on any matter, the shares represented by such proxy will be considered present at the Annual Meeting for purposes of determining a quorum and for purposes of calculating the vote, but they will not be considered to have been voted in favor of such matter. If a signed proxy is returned by a broker holding shares in “street name,” and it indicates that the broker does not have discretionary authority to vote certain shares on one or more matters, such shares will be considered present at the Annual Meeting for purposes of determining a quorum but will not be considered to be represented at the Annual Meeting for purposes of calculating the vote with respect to such matter.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Counting Votes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inspector of election appointed for the Annual Meeting will count the votes cast by proxy or in person at the Annual Meeting.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Brokers who hold shares in street name for customers will not be able to vote the shares without instructions from their customers with respect to any of the proposals, other than the proposal to ratify the selection of our auditors (Proposal Four of this Proxy Statement). Shares for which brokers have not received instructions, and which therefore are not voted, with respect to a particular proposal are referred to as “broker non-votes” with respect to that proposal. Abstentions from voting on a proposal described in this proxy statement and broker non-votes will not affect the outcome of the vote on that proposal.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Submitted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If the shares of our common stock are held directly in the name of the shareholder, he or she can vote on matters to come before the Annual Meeting:</w:t>
      </w:r>
    </w:p>
    <w:p>
      <w:pPr>
        <w:spacing w:after="0" w:line="222" w:lineRule="exact"/>
        <w:rPr>
          <w:sz w:val="20"/>
          <w:szCs w:val="20"/>
          <w:color w:val="auto"/>
        </w:rPr>
      </w:pPr>
    </w:p>
    <w:p>
      <w:pPr>
        <w:ind w:left="660" w:right="2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completing, dating and signing the proxy card and returning it to us in the postage-paid envelope provided for that purpose, if the shareholder has received a paper copy of a proxy card;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written ballot at the Annual Meeting;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telephone, by calling 1-800-690-6903;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Internet, at www.proxyvote.com.</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Shareholders whose shares of our common stock are held in “street name” must either direct the record holder of their shares as to how to vote their shares of common stock or obtain a proxy from the record holder to vote at the Annual Meeting. “Street name” shareholders should check the voting instruction cards used by their brokers or nominees for specific instructions on methods of voting, including by telephone or using the Internet.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Participants in the Daktronics, Inc. 401(k) Plan (the “401(k) Plan”) who hold our common stock in the 401(k) Plan are entitled to instruct the trustee of the 401(k) Plan as to how to vote their shares. Each participant will receive a Notice of Internet Availability of Proxy Materials, similar to the notice received by the registered holders described above. Each participant will have the ability to access the proxy materials over the Internet and to request to receive a paper copy of the proxy materials by mail. Instructions on how to access the proxy materials over the Internet or to request a paper copy may be found on the notice as described above. The participants can vote on matters as described above. The votes will then be tabulated and submitted for vote by the trustee for the 401(k) Plan. If a participant does not timely vote, the trustee will vote the shares allocated to that participant in the same proportion as the shares that are voted by all other participants under the 401(k)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All shares entitled to vote and represented by properly submitted proxies received before the Annual Meeting will be voted at the Annual Meeting in accordance with the instructions indicated on those proxies if they are not revoked before the vote as described below. If no instructions are indicated on a properly submitted proxy, the shares represented by that proxy will be voted as recommended by the Board of Directors. If any other matters are properly presented for consideration at the Annual Meeting, the proxy holders will have discretion to vote on those matters in accordance with their best judgment.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Any proxy given pursuant to this solicitation may be revoked by the person giving it at any time before it is voted. A proxy may be revoked by:</w:t>
      </w:r>
    </w:p>
    <w:p>
      <w:pPr>
        <w:spacing w:after="0" w:line="21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delivering a written notice of revocation to the Secretary of the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submitting another proxy bearing a later date;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voting by telephone or via the Internet after a prior telephone or Internet vote;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(although attendance at the Annual Meeting alone will not itself revoke a proxy).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expenses of this solicitation, including the cost of preparing and mailing this Proxy Statement, will be borne by us. We may reimburse brokerage firms, custodians, nominees, fiduciaries and other persons representing beneficial owners of stock for their reasonable expenses in forwarding solicitation material to such beneficial owners. Our Directors, officers and employees may also solicit proxies in person or by telephone, email, letter or facsimile. Such Directors, officers and employees will not be additionally compensated, but they may be reimbursed for reasonable out-of-pocket expenses in connection with such solicitation.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Shareholder Proposals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Shareholders may present proper proposals for inclusion in our proxy materials for consideration at the next annual meeting of our shareholders by submitting their proposals to us in a timely manner. In order to be included in our proxy materials for the next annual meeting, shareholder proposals must be received by us no later than March 13, 2018 and must otherwise comply with the requirements of Rule 14a-8 under the Securities Exchange Act of 1934. If a shareholder wants to nominate a Director or bring other business before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shareholders at the next annual meeting of our shareholders without including the proposal in our proxy statement, we must receive notice of the proposal on or before May 27, 2018, and the shareholder must otherwise comply with Rule 14a-4(c) under the Securities Exchange Act of 1934. Notices of intention to present proposals at the 2018 annual meeting of shareholders should be addressed to Corporate Secretary, Daktronics, Inc., 201 Daktronics Drive, Brookings, South Dakota 57006.</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date of this Proxy Statement, management knows of no other business that may properly come before the Annual Meeting. However, if any other matters properly come before the Annual Meeting, the individuals named in enclosed form of the proxy will vote the proxies received in response to this solicitation in accordance with their best judgment on such matters.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regarding the beneficial ownership of common stock as of June 26, 2017, the Record Date, by each of our Directors, by each executive officer named in the Summary Compensation Table, by all Directors and executive officers as a group, and by each shareholder who is known by us to own beneficially more than five percent of our outstanding common stock.</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2"/>
          </w:tcPr>
          <w:p>
            <w:pPr>
              <w:ind w:left="500"/>
              <w:spacing w:after="0"/>
              <w:rPr>
                <w:sz w:val="20"/>
                <w:szCs w:val="20"/>
                <w:color w:val="auto"/>
              </w:rPr>
            </w:pPr>
            <w:r>
              <w:rPr>
                <w:rFonts w:ascii="Arial" w:cs="Arial" w:eastAsia="Arial" w:hAnsi="Arial"/>
                <w:sz w:val="18"/>
                <w:szCs w:val="18"/>
                <w:color w:val="auto"/>
              </w:rPr>
              <w:t>Amount and Nature of</w:t>
            </w:r>
          </w:p>
        </w:tc>
        <w:tc>
          <w:tcPr>
            <w:tcW w:w="2580" w:type="dxa"/>
            <w:vAlign w:val="bottom"/>
          </w:tcPr>
          <w:p>
            <w:pPr>
              <w:jc w:val="right"/>
              <w:ind w:right="230"/>
              <w:spacing w:after="0"/>
              <w:rPr>
                <w:sz w:val="20"/>
                <w:szCs w:val="20"/>
                <w:color w:val="auto"/>
              </w:rPr>
            </w:pPr>
            <w:r>
              <w:rPr>
                <w:rFonts w:ascii="Arial" w:cs="Arial" w:eastAsia="Arial" w:hAnsi="Arial"/>
                <w:sz w:val="18"/>
                <w:szCs w:val="18"/>
                <w:color w:val="auto"/>
              </w:rPr>
              <w:t>Percentage of Outstanding</w:t>
            </w:r>
          </w:p>
        </w:tc>
      </w:tr>
      <w:tr>
        <w:trPr>
          <w:trHeight w:val="257"/>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 and Address of Beneficial Owners</w:t>
            </w:r>
          </w:p>
        </w:tc>
        <w:tc>
          <w:tcPr>
            <w:tcW w:w="220" w:type="dxa"/>
            <w:vAlign w:val="bottom"/>
          </w:tcPr>
          <w:p>
            <w:pPr>
              <w:spacing w:after="0"/>
              <w:rPr>
                <w:sz w:val="22"/>
                <w:szCs w:val="22"/>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Note</w:t>
            </w:r>
          </w:p>
        </w:tc>
        <w:tc>
          <w:tcPr>
            <w:tcW w:w="220" w:type="dxa"/>
            <w:vAlign w:val="bottom"/>
          </w:tcPr>
          <w:p>
            <w:pPr>
              <w:spacing w:after="0"/>
              <w:rPr>
                <w:sz w:val="22"/>
                <w:szCs w:val="22"/>
                <w:color w:val="auto"/>
              </w:rPr>
            </w:pPr>
          </w:p>
        </w:tc>
        <w:tc>
          <w:tcPr>
            <w:tcW w:w="2620" w:type="dxa"/>
            <w:vAlign w:val="bottom"/>
            <w:tcBorders>
              <w:bottom w:val="single" w:sz="8" w:color="auto"/>
            </w:tcBorders>
          </w:tcPr>
          <w:p>
            <w:pPr>
              <w:jc w:val="right"/>
              <w:ind w:right="370"/>
              <w:spacing w:after="0" w:line="257" w:lineRule="exact"/>
              <w:rPr>
                <w:sz w:val="20"/>
                <w:szCs w:val="20"/>
                <w:color w:val="auto"/>
              </w:rPr>
            </w:pPr>
            <w:r>
              <w:rPr>
                <w:rFonts w:ascii="Arial" w:cs="Arial" w:eastAsia="Arial" w:hAnsi="Arial"/>
                <w:sz w:val="18"/>
                <w:szCs w:val="18"/>
                <w:color w:val="auto"/>
              </w:rPr>
              <w:t>Beneficial Ownership</w:t>
            </w:r>
            <w:r>
              <w:rPr>
                <w:rFonts w:ascii="Arial" w:cs="Arial" w:eastAsia="Arial" w:hAnsi="Arial"/>
                <w:sz w:val="25"/>
                <w:szCs w:val="25"/>
                <w:color w:val="auto"/>
                <w:vertAlign w:val="superscript"/>
              </w:rPr>
              <w:t>(1)</w:t>
            </w:r>
          </w:p>
        </w:tc>
        <w:tc>
          <w:tcPr>
            <w:tcW w:w="200" w:type="dxa"/>
            <w:vAlign w:val="bottom"/>
          </w:tcPr>
          <w:p>
            <w:pPr>
              <w:spacing w:after="0"/>
              <w:rPr>
                <w:sz w:val="22"/>
                <w:szCs w:val="22"/>
                <w:color w:val="auto"/>
              </w:rPr>
            </w:pPr>
          </w:p>
        </w:tc>
        <w:tc>
          <w:tcPr>
            <w:tcW w:w="2580" w:type="dxa"/>
            <w:vAlign w:val="bottom"/>
            <w:tcBorders>
              <w:bottom w:val="single" w:sz="8" w:color="auto"/>
            </w:tcBorders>
          </w:tcPr>
          <w:p>
            <w:pPr>
              <w:jc w:val="right"/>
              <w:ind w:right="870"/>
              <w:spacing w:after="0" w:line="257" w:lineRule="exact"/>
              <w:rPr>
                <w:sz w:val="20"/>
                <w:szCs w:val="20"/>
                <w:color w:val="auto"/>
              </w:rPr>
            </w:pPr>
            <w:r>
              <w:rPr>
                <w:rFonts w:ascii="Arial" w:cs="Arial" w:eastAsia="Arial" w:hAnsi="Arial"/>
                <w:sz w:val="18"/>
                <w:szCs w:val="18"/>
                <w:color w:val="auto"/>
              </w:rPr>
              <w:t>Shares</w:t>
            </w:r>
            <w:r>
              <w:rPr>
                <w:rFonts w:ascii="Arial" w:cs="Arial" w:eastAsia="Arial" w:hAnsi="Arial"/>
                <w:sz w:val="25"/>
                <w:szCs w:val="25"/>
                <w:color w:val="auto"/>
                <w:vertAlign w:val="superscript"/>
              </w:rPr>
              <w:t>(2)</w:t>
            </w: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5% Beneficial Owners:</w:t>
            </w:r>
          </w:p>
        </w:tc>
        <w:tc>
          <w:tcPr>
            <w:tcW w:w="12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(15)</w:t>
            </w: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43"/>
        </w:trPr>
        <w:tc>
          <w:tcPr>
            <w:tcW w:w="4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BlackRock, Inc.</w:t>
            </w:r>
          </w:p>
        </w:tc>
        <w:tc>
          <w:tcPr>
            <w:tcW w:w="12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(16)</w:t>
            </w:r>
          </w:p>
        </w:tc>
        <w:tc>
          <w:tcPr>
            <w:tcW w:w="220" w:type="dxa"/>
            <w:vAlign w:val="bottom"/>
            <w:shd w:val="clear" w:color="auto" w:fill="CCEEFF"/>
          </w:tcPr>
          <w:p>
            <w:pPr>
              <w:spacing w:after="0"/>
              <w:rPr>
                <w:sz w:val="21"/>
                <w:szCs w:val="21"/>
                <w:color w:val="auto"/>
              </w:rPr>
            </w:pPr>
          </w:p>
        </w:tc>
        <w:tc>
          <w:tcPr>
            <w:tcW w:w="2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4,553,984</w:t>
            </w:r>
          </w:p>
        </w:tc>
        <w:tc>
          <w:tcPr>
            <w:tcW w:w="200" w:type="dxa"/>
            <w:vAlign w:val="bottom"/>
            <w:shd w:val="clear" w:color="auto" w:fill="CCEEFF"/>
          </w:tcPr>
          <w:p>
            <w:pPr>
              <w:spacing w:after="0"/>
              <w:rPr>
                <w:sz w:val="21"/>
                <w:szCs w:val="21"/>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55 East 52nd Street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580" w:type="dxa"/>
            <w:vAlign w:val="bottom"/>
            <w:shd w:val="clear" w:color="auto" w:fill="CCEEFF"/>
          </w:tcPr>
          <w:p>
            <w:pPr>
              <w:spacing w:after="0"/>
              <w:rPr>
                <w:sz w:val="23"/>
                <w:szCs w:val="23"/>
                <w:color w:val="auto"/>
              </w:rPr>
            </w:pPr>
          </w:p>
        </w:tc>
      </w:tr>
      <w:tr>
        <w:trPr>
          <w:trHeight w:val="277"/>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New York, NY 10055</w:t>
            </w: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580" w:type="dxa"/>
            <w:vAlign w:val="bottom"/>
            <w:tcBorders>
              <w:bottom w:val="single" w:sz="8" w:color="CCEEFF"/>
            </w:tcBorders>
            <w:shd w:val="clear" w:color="auto" w:fill="CCEEFF"/>
          </w:tcPr>
          <w:p>
            <w:pPr>
              <w:spacing w:after="0"/>
              <w:rPr>
                <w:sz w:val="24"/>
                <w:szCs w:val="24"/>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Dimensional Fund Advisors LP</w:t>
            </w:r>
          </w:p>
        </w:tc>
        <w:tc>
          <w:tcPr>
            <w:tcW w:w="12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(17)</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2,255,309</w:t>
            </w:r>
          </w:p>
        </w:tc>
        <w:tc>
          <w:tcPr>
            <w:tcW w:w="2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4560" w:type="dxa"/>
            <w:vAlign w:val="bottom"/>
          </w:tcPr>
          <w:p>
            <w:pPr>
              <w:ind w:left="380"/>
              <w:spacing w:after="0"/>
              <w:rPr>
                <w:sz w:val="20"/>
                <w:szCs w:val="20"/>
                <w:color w:val="auto"/>
              </w:rPr>
            </w:pPr>
            <w:r>
              <w:rPr>
                <w:rFonts w:ascii="Arial" w:cs="Arial" w:eastAsia="Arial" w:hAnsi="Arial"/>
                <w:sz w:val="18"/>
                <w:szCs w:val="18"/>
                <w:color w:val="auto"/>
              </w:rPr>
              <w:t>Building One, 6300 Bee Cave Road</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270"/>
        </w:trPr>
        <w:tc>
          <w:tcPr>
            <w:tcW w:w="4560" w:type="dxa"/>
            <w:vAlign w:val="bottom"/>
          </w:tcPr>
          <w:p>
            <w:pPr>
              <w:ind w:left="380"/>
              <w:spacing w:after="0"/>
              <w:rPr>
                <w:sz w:val="20"/>
                <w:szCs w:val="20"/>
                <w:color w:val="auto"/>
              </w:rPr>
            </w:pPr>
            <w:r>
              <w:rPr>
                <w:rFonts w:ascii="Arial" w:cs="Arial" w:eastAsia="Arial" w:hAnsi="Arial"/>
                <w:sz w:val="18"/>
                <w:szCs w:val="18"/>
                <w:color w:val="auto"/>
              </w:rPr>
              <w:t>Austin, TX 78746</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Dr. Aelred J. Kurtenbach</w:t>
            </w:r>
          </w:p>
        </w:tc>
        <w:tc>
          <w:tcPr>
            <w:tcW w:w="12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(18)</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2,596,410</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Daktronics, Inc. 401(k) Plan</w:t>
            </w:r>
          </w:p>
        </w:tc>
        <w:tc>
          <w:tcPr>
            <w:tcW w:w="12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(19)</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2,800,183</w:t>
            </w:r>
          </w:p>
        </w:tc>
        <w:tc>
          <w:tcPr>
            <w:tcW w:w="2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Named Executive Officers and Directors: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Reece A. Kurtenbach</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(3)</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466,703</w:t>
            </w:r>
          </w:p>
        </w:tc>
        <w:tc>
          <w:tcPr>
            <w:tcW w:w="2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James B. Morgan</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(4)</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1,425,842</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Byron J. Anderson</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(5)</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81,225</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Robert G. Dutcher</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(6)</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90,051</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Nancy D. Frame</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(7)</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105,607</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John L. Mulligan</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(8)</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58,403</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Kevin P. McDermott</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(9)</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33,803</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John P. Friel</w:t>
            </w:r>
          </w:p>
        </w:tc>
        <w:tc>
          <w:tcPr>
            <w:tcW w:w="12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29,155</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Sheila M. Anderson</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(11)</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60,036</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Bradley T. Wiemann</w:t>
            </w:r>
          </w:p>
        </w:tc>
        <w:tc>
          <w:tcPr>
            <w:tcW w:w="12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(12)</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193,331</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Matthew J. Kurtenbach</w:t>
            </w:r>
          </w:p>
        </w:tc>
        <w:tc>
          <w:tcPr>
            <w:tcW w:w="12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(13)</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318,266</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Carla S. Gatzke</w:t>
            </w:r>
          </w:p>
        </w:tc>
        <w:tc>
          <w:tcPr>
            <w:tcW w:w="12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(14)</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765,247</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All Directors and executive officers as a group</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(12 persons, consisting of those named above)</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3,627,669</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4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ind w:left="140" w:hanging="132"/>
        <w:spacing w:after="0"/>
        <w:tabs>
          <w:tab w:leader="none" w:pos="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 w:lineRule="exact"/>
        <w:rPr>
          <w:rFonts w:ascii="Arial" w:cs="Arial" w:eastAsia="Arial" w:hAnsi="Arial"/>
          <w:sz w:val="18"/>
          <w:szCs w:val="18"/>
          <w:color w:val="auto"/>
        </w:rPr>
      </w:pPr>
    </w:p>
    <w:p>
      <w:pPr>
        <w:ind w:left="820" w:hanging="488"/>
        <w:spacing w:after="0" w:line="250"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Each person has sole voting and sole dispositive power with respect to all outstanding shares, except as noted. The individuals holding restricted shares have the power to vote but not the power to dispose of such shares.</w:t>
      </w:r>
    </w:p>
    <w:p>
      <w:pPr>
        <w:jc w:val="both"/>
        <w:ind w:left="820" w:hanging="488"/>
        <w:spacing w:after="0" w:line="281" w:lineRule="auto"/>
        <w:tabs>
          <w:tab w:leader="none" w:pos="8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Applicable percentage ownership is based on 44,195,817 shares of common stock outstanding as of June 26, 2017. In computing the number of shares of common stock beneficially owned by a person or group and the percentage ownership of that person or group, we deemed outstanding shares of common stock subject to options held by that person or group that are currently exercisable, options held by that person or group that are exercisable within 60 days of June 26, 2017, and restricted stock units that are scheduled to vest within 60 days of June 26, 2017. We did not deem these shares outstanding, however, for the purpose of computing the percentage ownership of any other person.</w:t>
      </w:r>
    </w:p>
    <w:p>
      <w:pPr>
        <w:spacing w:after="0" w:line="3" w:lineRule="exact"/>
        <w:rPr>
          <w:rFonts w:ascii="Arial" w:cs="Arial" w:eastAsia="Arial" w:hAnsi="Arial"/>
          <w:sz w:val="16"/>
          <w:szCs w:val="16"/>
          <w:color w:val="auto"/>
        </w:rPr>
      </w:pPr>
    </w:p>
    <w:p>
      <w:pPr>
        <w:ind w:left="820" w:hanging="488"/>
        <w:spacing w:after="0" w:line="261"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Includes 103,455 shares subject to options, 28,406 shares held through the 401(k) Plan, 17,400 shares held by his spouse, 44,800 shares held by his children and 4,732 shares of restricted stock with which vest within 60 days from June 26,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820" w:hanging="488"/>
        <w:spacing w:after="0" w:line="258"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22,598 shares subject to exercisable options, 51,479 shares held through the 401(k) Plan and 3,134 shares of restricted stock which vest on September 1, 2017.</w:t>
      </w:r>
    </w:p>
    <w:p>
      <w:pPr>
        <w:spacing w:after="0" w:line="1"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53,726 shares subject to exercisable options and 3,134 shares of restricted stock which vest on September 1, 2017.</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53,726 shares subject to exercisable options and 3,134 shares of restricted stock which vest on September 1, 2017.</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46,726 shares subject to exercisable options and 3,134 shares of restricted stock which vest on September 1, 2017.</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27,928 shares subject to exercisable options and 3,134 shares of restricted stock which vest on September 1, 2017.</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17,496 shares subject to exercisable options and 3,134 shares of restricted stock which vest on September 1, 2017.</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17,496 shares subject to exercisable options and 3,134 shares of restricted stock which vest on September 1, 2017.</w:t>
      </w:r>
    </w:p>
    <w:p>
      <w:pPr>
        <w:spacing w:after="0" w:line="9" w:lineRule="exact"/>
        <w:rPr>
          <w:rFonts w:ascii="Arial" w:cs="Arial" w:eastAsia="Arial" w:hAnsi="Arial"/>
          <w:sz w:val="18"/>
          <w:szCs w:val="18"/>
          <w:color w:val="auto"/>
        </w:rPr>
      </w:pPr>
    </w:p>
    <w:p>
      <w:pPr>
        <w:ind w:left="8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40,741 shares subject to options, 6,724 shares held through the 401(k) Plan and 2,750 shares of restricted stock which vest within 60 days from June 26, 2017.</w:t>
      </w:r>
    </w:p>
    <w:p>
      <w:pPr>
        <w:ind w:left="8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73,455 shares subject to options, 841 shares held through the 401(k) Plan, 584 shares held by his spouse and 2,832 shares of restricted stock which vest within 60 days from June 26, 2017.</w:t>
      </w:r>
    </w:p>
    <w:p>
      <w:pPr>
        <w:ind w:left="8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73,155 shares subject to options, 13,244 shares held through 401(k) Plan, 39,100 shares held by his children and 2,820 shares of restricted stock which vest within 60 days from June 26, 2017.</w:t>
      </w:r>
    </w:p>
    <w:p>
      <w:pPr>
        <w:ind w:left="820" w:right="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68,195 shares subject to options, 131,225 shares held through the 401(k) Plan, 90,000 shares held by her spouse, 30,385 shares held by her children and 2,620 shares of restricted stock with which vest within 60 days from June 26, 2017.</w:t>
      </w:r>
    </w:p>
    <w:p>
      <w:pPr>
        <w:ind w:left="8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Company's knowledge, except as noted in the table above, no person or entity is the beneficial owner of more than five percent of the outstanding shares of the Company's common stock.</w:t>
      </w:r>
    </w:p>
    <w:p>
      <w:pPr>
        <w:jc w:val="both"/>
        <w:ind w:left="8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Data based on an Amendment to Schedule 13G/A filed by the shareholder with the Securities and Exchange Commission (the "SEC") on January 9, 2017. As set forth in the Schedule 13G, BlackRock, Inc. has sole voting power as to 4,467,052 of these shares and sole dispositive power as to all 4,553,984 shares.</w:t>
      </w:r>
    </w:p>
    <w:p>
      <w:pPr>
        <w:spacing w:after="0" w:line="1" w:lineRule="exact"/>
        <w:rPr>
          <w:rFonts w:ascii="Arial" w:cs="Arial" w:eastAsia="Arial" w:hAnsi="Arial"/>
          <w:sz w:val="18"/>
          <w:szCs w:val="18"/>
          <w:color w:val="auto"/>
        </w:rPr>
      </w:pPr>
    </w:p>
    <w:p>
      <w:pPr>
        <w:ind w:left="820" w:right="20" w:hanging="488"/>
        <w:spacing w:after="0" w:line="265" w:lineRule="auto"/>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Data based on Schedule 13G filed by the shareholder with the SEC on February 09, 2017. As set forth in the Schedule 13G, Dimensional Fund Advisors LP has sole voting power as to 2,106,457 of these shares and sole dispositive power as to all 2,255,309 shares.</w:t>
      </w:r>
    </w:p>
    <w:p>
      <w:pPr>
        <w:ind w:left="8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1,100,159 shares held by his spouse, Irene Kurtenbach, and 331,675 shares held in Medary Creek LLLP. Medary Creek LLLP is a limited liability limited partnership of which Aelred and Irene Kurtenbach are the general partners.</w:t>
      </w:r>
    </w:p>
    <w:p>
      <w:pPr>
        <w:ind w:left="820" w:hanging="488"/>
        <w:spacing w:after="0" w:line="323" w:lineRule="auto"/>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common stock held by the 401(k) Plan and allocated to the 401(k) Plan participants are voted by the trustee of the 401(k) Plan according to the instructions of the 401(k) Plan participants. The address of the 401(k) Plan is 201 Daktronics Drive, Brookings, South Dakota 57006.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Board of Directors consists of eight individuals divided into three classes serving staggered three-year terms of office. There are two Directors (Robert G. Dutcher and Nancy D. Frame) whose terms will expire at the 2017 Annual Meeting; three Directors (Byron J. Anderson, John P. Friel, and Reece A. Kurtenbach) whose terms will expire in 2018; and three Directors (James B. Morgan, John L. Mulligan, and Kevin P. McDermott) whose terms will expire in 2019. The Nominating and Corporate Governance Committee has recommended to the Board of Directors that Robert G. Dutcher and Nancy D. Frame be nominated for re-election at the 2017 Annual Meeting, and the Board of Directors has approved that recommendation. All nominees have consented to being named as a nominee in this proxy statement and have indicated a willingness to serve if elected. However, if any nominee becomes unable to serve before the election, the shares represented by proxies may be voted for a substitute designated by the Board, unless a contrary instruction is indicated on the proxy.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See “Procedural Matters – Voting at the Annual Meeting: Vote Requirements” for a description of the votes required for the election of Directors.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OF DIRECTORS UNANIMOUSLY RECOMMENDS THAT THE SHAREHOLDERS VOTE “FOR” THE ELECTION OF THE NOMINEES FOR DIRECTORS NAMED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 for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certain other information about each nominee for Director as of the Record Date: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gridSpan w:val="2"/>
          </w:tcPr>
          <w:p>
            <w:pPr>
              <w:ind w:left="740"/>
              <w:spacing w:after="0"/>
              <w:rPr>
                <w:sz w:val="20"/>
                <w:szCs w:val="20"/>
                <w:color w:val="auto"/>
              </w:rPr>
            </w:pPr>
            <w:r>
              <w:rPr>
                <w:rFonts w:ascii="Arial" w:cs="Arial" w:eastAsia="Arial" w:hAnsi="Arial"/>
                <w:sz w:val="18"/>
                <w:szCs w:val="18"/>
                <w:color w:val="auto"/>
              </w:rPr>
              <w:t>Name</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Age</w:t>
            </w:r>
          </w:p>
        </w:tc>
        <w:tc>
          <w:tcPr>
            <w:tcW w:w="3840" w:type="dxa"/>
            <w:vAlign w:val="bottom"/>
            <w:gridSpan w:val="2"/>
          </w:tcPr>
          <w:p>
            <w:pPr>
              <w:ind w:left="1040"/>
              <w:spacing w:after="0"/>
              <w:rPr>
                <w:sz w:val="20"/>
                <w:szCs w:val="20"/>
                <w:color w:val="auto"/>
              </w:rPr>
            </w:pPr>
            <w:r>
              <w:rPr>
                <w:rFonts w:ascii="Arial" w:cs="Arial" w:eastAsia="Arial" w:hAnsi="Arial"/>
                <w:sz w:val="18"/>
                <w:szCs w:val="18"/>
                <w:color w:val="auto"/>
              </w:rPr>
              <w:t>Principal Occupation</w:t>
            </w:r>
          </w:p>
        </w:tc>
        <w:tc>
          <w:tcPr>
            <w:tcW w:w="3960" w:type="dxa"/>
            <w:vAlign w:val="bottom"/>
          </w:tcPr>
          <w:p>
            <w:pPr>
              <w:ind w:left="1140"/>
              <w:spacing w:after="0"/>
              <w:rPr>
                <w:sz w:val="20"/>
                <w:szCs w:val="20"/>
                <w:color w:val="auto"/>
              </w:rPr>
            </w:pPr>
            <w:r>
              <w:rPr>
                <w:rFonts w:ascii="Arial" w:cs="Arial" w:eastAsia="Arial" w:hAnsi="Arial"/>
                <w:sz w:val="18"/>
                <w:szCs w:val="18"/>
                <w:color w:val="auto"/>
              </w:rPr>
              <w:t>Committees Served On</w:t>
            </w:r>
          </w:p>
        </w:tc>
      </w:tr>
      <w:tr>
        <w:trPr>
          <w:trHeight w:val="27"/>
        </w:trPr>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G. Dutcher</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2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Retired</w:t>
            </w: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Committee - Chair</w:t>
            </w:r>
          </w:p>
        </w:tc>
      </w:tr>
      <w:tr>
        <w:trPr>
          <w:trHeight w:val="229"/>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Nancy D. Frame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220" w:type="dxa"/>
            <w:vAlign w:val="bottom"/>
          </w:tcPr>
          <w:p>
            <w:pPr>
              <w:spacing w:after="0"/>
              <w:rPr>
                <w:sz w:val="19"/>
                <w:szCs w:val="19"/>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Retired</w:t>
            </w:r>
          </w:p>
        </w:tc>
        <w:tc>
          <w:tcPr>
            <w:tcW w:w="3960" w:type="dxa"/>
            <w:vAlign w:val="bottom"/>
          </w:tcPr>
          <w:p>
            <w:pPr>
              <w:ind w:left="20"/>
              <w:spacing w:after="0"/>
              <w:rPr>
                <w:sz w:val="20"/>
                <w:szCs w:val="20"/>
                <w:color w:val="auto"/>
              </w:rPr>
            </w:pPr>
            <w:r>
              <w:rPr>
                <w:rFonts w:ascii="Arial" w:cs="Arial" w:eastAsia="Arial" w:hAnsi="Arial"/>
                <w:sz w:val="18"/>
                <w:szCs w:val="18"/>
                <w:color w:val="auto"/>
                <w:w w:val="93"/>
              </w:rPr>
              <w:t>Nominating and Corporate Governance Committee -</w:t>
            </w:r>
          </w:p>
        </w:tc>
      </w:tr>
      <w:tr>
        <w:trPr>
          <w:trHeight w:val="230"/>
        </w:trPr>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Chair</w:t>
            </w:r>
          </w:p>
        </w:tc>
      </w:tr>
    </w:tbl>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Robert G. Dutcher (72) </w:t>
      </w:r>
      <w:r>
        <w:rPr>
          <w:rFonts w:ascii="Arial" w:cs="Arial" w:eastAsia="Arial" w:hAnsi="Arial"/>
          <w:sz w:val="18"/>
          <w:szCs w:val="18"/>
          <w:color w:val="auto"/>
        </w:rPr>
        <w:t>is currently retired. He has been a Director of the Company since 2002 and chairperson of the Compensation Committee since 2005.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his retirement, from April 2009 until March 2011, he served as Strategic Advisor Lead Member of MEDRAD, Inc. From April 2008 through March 2009, he was President and Chief Executive Officer of the Cardiovascular Division of MEDRAD, Inc. From 1993 until April 2008, he was the President and Chief Executive Officer of Possis Medical, Inc., a publicly-held medical device company located in Minneapolis, Minnesota, which was acquired by MEDRAD, Inc. in April 2008. From December 2001 until April 2008, he served as Chairman of the Board of Possis Medical, Inc. Before joining Possis Medical in 1985, he was with Medtronic, Inc. for 12 years, most recently as Director of Research and Development. He previously worked in an engineering capacity for Control Data Corporation and Honeywell, Inc. Mr. Dutcher holds a Bachelor of Science degree in electrical engineering from South Dakota State University and a Master of Science degree in electrical engineering from the University of Minnesota. Mr. Dutcher brings to the Board extensive knowledge in driving profitable growth in technology driven industries from his experience in leading R&amp;D at Medtronic and as Chief Executive Officer of Possis Medical.</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Nancy D. Frame (72) </w:t>
      </w:r>
      <w:r>
        <w:rPr>
          <w:rFonts w:ascii="Arial" w:cs="Arial" w:eastAsia="Arial" w:hAnsi="Arial"/>
          <w:sz w:val="16"/>
          <w:szCs w:val="16"/>
          <w:color w:val="auto"/>
        </w:rPr>
        <w:t>is currently retired. She has been a Director of the Company since 1999, chairperson of the Nominating and Corporate Governance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since 2004 and Lead Independent Director since 2005. She was Deputy Director of the U.S. Trade and Development Agency from 1986 to 1999, when she retired. As a senior executive in this federal government agency, she was responsible for managing its day-to-day operations, budget, system of financial controls, and ethics program. From 1980 to 1986, she was Assistant General Counsel at the U.S. Agency for International Development, where she was in charge of all legal matters affecting personnel, labor relations and ethics. Before that she held various legal positions in the areas of international trade and commercial law. She has a law degree from Georgetown University, Washington, D.C., and a Bachelor of Science degree from South Dakota State University. Ms. Frame brings to the Board a legal and managerial background which is particularly pertinent to corporate governance and risk oversight and to understanding the legal issues faced by the Company, especially as they relate to our international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identity of the remaining Directors and certain information about them as of the Record Date are set forth below:</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Byron J. Anderson (73) </w:t>
      </w:r>
      <w:r>
        <w:rPr>
          <w:rFonts w:ascii="Arial" w:cs="Arial" w:eastAsia="Arial" w:hAnsi="Arial"/>
          <w:sz w:val="18"/>
          <w:szCs w:val="18"/>
          <w:color w:val="auto"/>
        </w:rPr>
        <w:t>is currently retired. He has been a Director of the Company since 2005 and has served on the Compensation Committee and</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Nominating and Corporate Governance Committee since November 2005. Before his retirement, from 1999 to 2004, he served at Agilent Technologies, Inc. as Senior Vice President serving customers and managing business groups located in the United States, Europe, Japan and Asia, which included worldwide sales and service activities. Before working with Agilent, he held various senior positions with Hewlett-Packard Company, most recently as a Vice President responsible for a business unit serving the worldwide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communications industry. He holds a Master of Business Administration from Harvard University and an electrical engineering degree from South Dakota State University. Mr. Anderson brings to the Board significant experience in high-tech industry with a unique knowledge of supply chains, international development, foreign trade and corporate strategy obtained from his years in management of large multi-national, technology companies.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John P. Friel (63) </w:t>
      </w:r>
      <w:r>
        <w:rPr>
          <w:rFonts w:ascii="Arial" w:cs="Arial" w:eastAsia="Arial" w:hAnsi="Arial"/>
          <w:sz w:val="16"/>
          <w:szCs w:val="16"/>
          <w:color w:val="auto"/>
        </w:rPr>
        <w:t>has been a Director since September 2015 and has served on the Audit Committee since September 2015 and on the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since October 2016. Mr. Friel served for 30 years in various capacities at MEDRAD, Inc., a global company that designs, develops, manufactures, sells, and supports medical devices. MEDRAD is an affiliate of Bayer, AG. He joined MEDRAD in the accounting area and earned a promotion to Treasurer and Vice President of Corporate Planning in 1986 and Vice President of Business Development area in 1987. He then served as Executive Vice President of Sales and Marketing from 1989 to 1995, Senior Vice President and General Manager from 1995 to 1998, and as President and Chief Executive Officer from 1998 to 2010. MEDRAD received the Malcolm Baldrige National Quality Award twice during his tenure, once in 2004 and again in 2010. Mr. Friel is currently the President and CEO of Vascor, Inc. Vascor is a pre-clinical medical device development company. He is currently the Managing Director at Preservation Technologies L.P., a Director of the medical device industry segment at Blue Water Growth LLC. Mr. Friel is the Principal and Founder of Five Radicals, which focuses on Baldrige Performance Excellence, strategic planning, general business consulting to entrepreneurial medical device companies, and private equity business development opportunity search efforts. He holds a Master of Arts in Law and Diplomacy from Tufts University and a Bachelor of Arts in Political Science and Bachelor of Science in Accounting from Pennsylvania State University. Mr. Friel brings to the Board extensive global general management knowledge and practice. He has strong experience in building and growing businesses, especially in technical product development and global expansions, which align with many of the Company's initiatives and strategies.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Reece A. Kurtenbach (52) </w:t>
      </w:r>
      <w:r>
        <w:rPr>
          <w:rFonts w:ascii="Arial" w:cs="Arial" w:eastAsia="Arial" w:hAnsi="Arial"/>
          <w:sz w:val="17"/>
          <w:szCs w:val="17"/>
          <w:color w:val="auto"/>
        </w:rPr>
        <w:t>was appointed as President and Chief Executive Officer and a Director effective on September 1, 2013 and has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of the Board since September 2014. He served as Executive Vice President from 2012 until September 2013, Vice President for Live Events and International from 2007 to 2012, Vice President for Video Systems from 2004 until 2007, and manager for video products engineering from 1994 until 2004. Mr. Kurtenbach joined the Company in 1991 as an applications engineer focusing on large display projects. Mr. Kurtenbach also worked as a student employee with various responsibilities from 1983 to 1987. Mr. Kurtenbach holds a Bachelor of Science degree from South Dakota State University in electrical engineering, with minors in mathematics and computer science. Mr. Kurtenbach is the son of Dr. Aelred Kurtenbach. The Board believes that Mr. Kurtenbach is an appropriate representative of management on the Board given his position as a senior executive officer and his long tenure with the Company which dates back more than 30 years. In addition, Mr. Kurtenbach brings a wealth of industry experience to the Board.</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James B. Morgan (70) </w:t>
      </w:r>
      <w:r>
        <w:rPr>
          <w:rFonts w:ascii="Arial" w:cs="Arial" w:eastAsia="Arial" w:hAnsi="Arial"/>
          <w:sz w:val="17"/>
          <w:szCs w:val="17"/>
          <w:color w:val="auto"/>
        </w:rPr>
        <w:t>is currently retired. He has been a Director since 1984 and has served on the Audit Committee and Nominating and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Governance Committee since October 2016. He served as the Company's President and Chief Executive Officer from 2001 through his retirement effective on September 1, 2013. Prior to that he served as President and Chief Operating Officer and Vice President for Engineering. He originally joined the Company in 1969 as its first design engineer. He holds a Bachelor of Science degree and a Master of Science degree in electrical engineering from South Dakota State University. Mr. Morgan brings to the Board his experience and knowledge of our business and industry derived from his previous positions as President and Chief Executive Officer and his experience of over 45 years working for the Company.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John L. Mulligan (78) </w:t>
      </w:r>
      <w:r>
        <w:rPr>
          <w:rFonts w:ascii="Arial" w:cs="Arial" w:eastAsia="Arial" w:hAnsi="Arial"/>
          <w:sz w:val="18"/>
          <w:szCs w:val="18"/>
          <w:color w:val="auto"/>
        </w:rPr>
        <w:t>has been a Director since 1993 and has served on the Audit Committee as Chairman from 1993 through September 2016 and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since October 2016. Since 1993, he has been employed by a number of financial institutions as a financial advisor and Vice President. He was employed by UBS from May 2008 through June 2017 and from 1999 through May 2008, he was with Morgan Stanley. From 1967 to March 1990, he served as President, Chairman, Chief Executive Officer and Director of American Western Corporation, a publicly-held company. Mr. Mulligan also served as a certified public accountant early in his career. Mr. Mulligan brings to the Board a significant amount of financial expertise from his experience in the financial services industry as well as a deep understanding of shareholder issues and concerns based on his more than 20-year career as chief executive officer of a public company.</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Kevin P. McDermott (63) </w:t>
      </w:r>
      <w:r>
        <w:rPr>
          <w:rFonts w:ascii="Arial" w:cs="Arial" w:eastAsia="Arial" w:hAnsi="Arial"/>
          <w:sz w:val="17"/>
          <w:szCs w:val="17"/>
          <w:color w:val="auto"/>
        </w:rPr>
        <w:t>has been a Director since June 2015 and has served on the Audit Committee as a member from August 2015 through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2016 and as Chairman since October 2016. Mr. McDermott retired from international accounting firm KPMG LLP in the fall of 2013 after having been with the firm for 33 years in various capacities, including audit engagement partner, SEC reviewing partner, professional practice partner, and in the firm’s Office of General Counsel. In addition to fulfilling professional obligations related to audits of financial statements and internal control over financial reporting, he assisted clients with financial and operational issues, acquisition due diligence, personnel performance, and corporate governance. In his capacity as SEC reviewing partner, Mr. McDermott performed concurring partner reviews of audits of financial statements and internal control over financial reporting for publicly-held audit clients. While in the Office of General Counsel, he provided assistance on a privileged basis to the firm and outside counsel in various SEC and Public Company Accounting Oversight Board investigations and third party litigation matters. He is a licensed Certified Public Accountant in Tennessee and New York and holds a Bachelor of Science in economics from South Dakota State University. Mr. McDermott was appointed to the board of directors of Genesco Inc. effective February 1, 2016 and currently serves as Chairman of its Audit Committee. Genesco is a publicly-traded retailer and wholesaler of branded footwear, apparel and accessories. Mr. McDermott brings significant expertise in the area of financial and internal control reporting by publicly-traded companies. This expertise aligns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our responsibility and commitment to provide oversight for our shareholders and others relating to the integrity of our financial statements and related filings.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Nominating and Corporate Governance Committee has determined that each of Messrs. Anderson, Mulligan, Dutcher, Friel, Morgan (effective September 2016) and McDermott and Ms. Frame are “independent,” as that term is defined in Rule 5605(a)(2) of the NASDAQ Listing Rules. Accordingly, the Board is composed of a majority of independent Directors as required by the NASDAQ Listing Rules. In addition, none of our directors are a party to any agreement or arrangement that would require disclosure pursuant to NASDAQ Listing Rule 5250(b)(3) regarding the payment of compensation to directors by a third party in connection with serving as a director of the Company.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TWO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(NON-BINDING) APPROVAL OF THE COMPANY'S EXECUTIVE COMPENSATION</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foundation of our executive compensation program is to pay for performance. Base compensation for our executive officers is set relatively low as compared to our peer groups, and a meaningful portion of the compensation paid to our executive officers is based on long-term equity incentive compensation and annual non-equity incentive compensation, which is focused on the key results and strategic drivers of our business. We believe that our executive compensation program aligns our incentive compensation with the long-term interests of our shareholders.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Chief Executive Officer (“CEO”) and all of the other executive officers named in the Summary Compensation Table appearing later in this proxy statement (collectively, the “Named Executive Officers”) are at-will employees consistent with applicable South Dakota state law. There are no employment agreements in place with any of the Named Executive Officers. We also do not maintain any supplemental executive retirement plans for our executive officers, and our Named Executive Officers participate in a retirement program that is open to all of our U.S. employees. We generally do not provide significant perquisites and other personal benefits.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urge you to read the Compensation Discussion and Analysis section of this proxy statement for additional details on our executive compensation, including our compensation philosophy and objectives and the fiscal 2017 compensation of our Named Executive Officers. We believe that, viewed as a whole, our compensation practices and policies are appropriate and are fair to both the Company and its executives.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U.S. Congress has enacted requirements commonly referred to as the “say-on-pay” rules. As required by those rules, we are asking you to vote on the adoption of the following resolution:</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BE IT RESOLVED by the shareholders of Daktronics, Inc., that the shareholders approve the compensation of the Company's Named Executive Officers as disclosed pursuant to Item 402 of Regulation S-K in the Company's proxy statement for the 2017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Proxies will be voted in favor of the resolution unless shareholders specify otherwise in their proxies and except for broker non-votes. The affirmative vote of at least a majority of the voting power of the shares present, in person or by proxy, and entitled to vote (excluding broker non-votes) is required for advisory approval of our executive compensation. As an advisory approval, this proposal is non-binding. However, the Board and our Compensation Committee, which is responsible for designing and overseeing the administration of our executive compensation program, value the opinions of our shareholders and will consider the outcome of the vote when making future compensation decisions for our Named Executive Officers.</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PROPOSAL TWO, THE ADVISORY (NON-BINDING) APPROVAL OF THE COMPENSATION OF OUR NAMED EXECUTIVE OFFICERS AS DISCLOSED IN THE PROXY STATEMENT PURSUANT TO THE SEC’S COMPENSATION DISCLOSURE RULES.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THREE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(NON-BINDING) VOTE ON FREQUENCY OF SAY-ON-PAY VOTE</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required under the SEC’s rules, every six years our shareholders have the opportunity to cast an advisory, non-binding vote on how frequently future say-on-pay votes should be conducted by the Company. Shareholders may indicate whether they would prefer an advisory vote on executive compensation every one, two or three years, or they may abstain from voting on this item. At our annual meeting of shareholders held in 2011, our shareholders voted, by a plurality of votes, that we should hold the advisory vote on executive compensation every year. Therefore, since 2011, the Company has held the advisory vote on executive compensation every year. We are now required to again solicit shareholder votes on the frequency of future say-on-pay proposals.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of Directors has determined that a vote once every year is preferable to give our shareholders the opportunity to consider and vote upon our named executive officers’ compensation annually. In addition, voting on say-on-pay annually is consistent with our historical practice. The frequency selected by the shareholders for conducting say-on-pay voting at the annual meetings of the shareholders of the Company is not a binding determination. However, the frequency selected will be given due consideration by our Compensation Committee.</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proxy card accompanying this Proxy Statement provides shareholders with the opportunity to choose among four alternatives (holding the say-on-pay advisory vote once every one, two or three years, or abstaining from voting on this item). As a result, with respect to the recommended frequency of the say-on-pay vote, shareholders will not be voting to approve or disapprove the recommendation of the Board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Proxies will be voted for the alternative of once every year unless our shareholders specify otherwise in their proxies. The voting alternative, if any, that receives the affirmative vote of a plurality of the voting power present (in person or by proxy) at the Annual Meeting and entitled to vote on this item of business will be the alternative adopted by the shareholders. However, the results of this vote are not binding on the Board of Directors, whether or not any alternative is passed under this voting standard. In evaluating the vote on this advisory resolution, the Board will consider the voting results in their entirety.</w:t>
      </w:r>
    </w:p>
    <w:p>
      <w:pPr>
        <w:spacing w:after="0" w:line="15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THE ALTERNATIVE OF ONCE EVERY YEAR AS THE PREFERRED FREQUENCY FOR ADVISORY SAY-ON-PAY VOTES ON EXECUTIVE COMPENSATION.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PROPOSAL FOUR</w:t>
      </w:r>
    </w:p>
    <w:p>
      <w:pPr>
        <w:spacing w:after="0" w:line="2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of the Board of Directors has appointed Ernst &amp; Young LLP as our independent registered public accounting firm (the "Independent Auditor") to perform reviews of our interim consolidated financial statements to be included in our fiscal 2018 Quarterly Reports on Form 10-Q and to audit our annual consolidated financial statements and our internal control over financial reporting for fiscal 2018, and it recommends that the shareholders vote for ratification of such appointment. Ernst &amp; Young LLP has acted as our Independent Auditor since fiscal year 2003. A representative of Ernst &amp; Young LLP is expected to be present at the Annual Meeting, will have the opportunity to make a statement, and is expected to be available to respond to appropriate questions.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Professional Fees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aggregate fees billed for professional services rendered by Ernst &amp; Young LLP for the last two fiscal years are set forth in the following table: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4"/>
          </w:tcPr>
          <w:p>
            <w:pPr>
              <w:jc w:val="right"/>
              <w:ind w:right="750"/>
              <w:spacing w:after="0"/>
              <w:rPr>
                <w:sz w:val="20"/>
                <w:szCs w:val="20"/>
                <w:color w:val="auto"/>
              </w:rPr>
            </w:pPr>
            <w:r>
              <w:rPr>
                <w:rFonts w:ascii="Arial" w:cs="Arial" w:eastAsia="Arial" w:hAnsi="Arial"/>
                <w:sz w:val="18"/>
                <w:szCs w:val="18"/>
                <w:color w:val="auto"/>
              </w:rPr>
              <w:t>Fiscal Year Ended</w:t>
            </w:r>
          </w:p>
        </w:tc>
      </w:tr>
      <w:tr>
        <w:trPr>
          <w:trHeight w:val="27"/>
        </w:trPr>
        <w:tc>
          <w:tcPr>
            <w:tcW w:w="3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April 29, 2017</w:t>
            </w:r>
          </w:p>
        </w:tc>
        <w:tc>
          <w:tcPr>
            <w:tcW w:w="14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w w:val="97"/>
              </w:rPr>
              <w:t>April 30, 2016</w:t>
            </w: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32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887,897</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902,625</w:t>
            </w:r>
          </w:p>
        </w:tc>
      </w:tr>
      <w:tr>
        <w:trPr>
          <w:trHeight w:val="270"/>
        </w:trPr>
        <w:tc>
          <w:tcPr>
            <w:tcW w:w="32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26,600</w:t>
            </w:r>
          </w:p>
        </w:tc>
      </w:tr>
      <w:tr>
        <w:trPr>
          <w:trHeight w:val="270"/>
        </w:trPr>
        <w:tc>
          <w:tcPr>
            <w:tcW w:w="3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5"/>
                <w:szCs w:val="25"/>
                <w:color w:val="auto"/>
                <w:vertAlign w:val="superscript"/>
              </w:rPr>
              <w:t>(3)</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r>
      <w:tr>
        <w:trPr>
          <w:trHeight w:val="237"/>
        </w:trPr>
        <w:tc>
          <w:tcPr>
            <w:tcW w:w="3280" w:type="dxa"/>
            <w:vAlign w:val="bottom"/>
          </w:tcPr>
          <w:p>
            <w:pPr>
              <w:ind w:left="500"/>
              <w:spacing w:after="0"/>
              <w:rPr>
                <w:sz w:val="20"/>
                <w:szCs w:val="20"/>
                <w:color w:val="auto"/>
              </w:rPr>
            </w:pPr>
            <w:r>
              <w:rPr>
                <w:rFonts w:ascii="Arial" w:cs="Arial" w:eastAsia="Arial" w:hAnsi="Arial"/>
                <w:sz w:val="18"/>
                <w:szCs w:val="18"/>
                <w:color w:val="auto"/>
              </w:rPr>
              <w:t>Totals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915,092</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931,220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0049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04945" cy="17145"/>
                    </a:xfrm>
                    <a:prstGeom prst="rect">
                      <a:avLst/>
                    </a:prstGeom>
                    <a:noFill/>
                  </pic:spPr>
                </pic:pic>
              </a:graphicData>
            </a:graphic>
          </wp:anchor>
        </w:drawing>
      </w:r>
    </w:p>
    <w:p>
      <w:pPr>
        <w:spacing w:after="0" w:line="33" w:lineRule="exact"/>
        <w:rPr>
          <w:sz w:val="20"/>
          <w:szCs w:val="20"/>
          <w:color w:val="auto"/>
        </w:rPr>
      </w:pPr>
    </w:p>
    <w:p>
      <w:pPr>
        <w:jc w:val="both"/>
        <w:ind w:left="660" w:right="2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w:t>
      </w: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Audit-related fees are fees for assurance and related services performed by Ernst &amp; Young LLP that are reasonably related to the performance of the audit or review of the Company’s financial statements.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other fees are fees for other permissible work performed by Ernst &amp; Young LLP that does not meet the above category descriptions.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-825500</wp:posOffset>
            </wp:positionV>
            <wp:extent cx="1920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provided in the Audit Committee’s charter, all engagements for any non-audit services by our Independent Auditor must be approved by the Audit Committee before the commencement of any such services. The Audit Committee may designate a member or members of the Audit Committee to represent the entire Audit Committee for purposes of approving non-audit services, subject to review by the full Audit Committee at its next regularly scheduled meeting.</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Audit Committee considers the provision of services by Ernst &amp; Young LLP to us, over and above the audit fees, to be compatible with the ability of Ernst &amp; Young LLP to maintain its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affirmative vote of a majority of the shares of our common stock represented at the Annual Meeting, either in person or by proxy, assuming a quorum is present, is required to ratify the appointment by the Audit Committee of the Board of Directors of Ernst &amp; Young LLP as our Independent Auditor for the fiscal year ending April 28, 2018. If the shareholders do not approve the selection of Ernst &amp; Young LLP, the Audit Committee will reconsider its selection.</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THE RATIFICATION OF THE APPOINTMENT OF ERNST &amp; YOUNG LLP AS THE COMPANY’S INDEPENDENT REGISTERED PUBLIC ACCOUNTING FIRM FOR THE FISCAL YEAR ENDING APRIL 28, 2018 AS SET FORTH IN PROPOSAL FOUR.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adheres to governance principles that assure the integrity and continued viability of the Company. The Board has responsibility for risk management oversight and for providing strategic guidance to the Company. The Board believes that it must stay well-informed about the issues, challenges and opportunities facing Daktronics so that the Board members can properly exercise their fiduciary responsibilities to our shareholders. As part of this process, the Board is kept informed of our business through discussions with the Chief Executive Officer and other officers, by reviewing material provided to them and by participating in meetings of the Board and its Committees.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Dr. Aelred Kurtenbach, one of our founders and our first Chief Executive Officer ("CEO"), served as Chairman of the Board from the Company's inception until September 2014. When he retired from the CEO responsibilities in 2001, the Board separated the Chair and CEO roles and retained Dr. Kurtenbach as Chair in order to continue to benefit from his leadership. The Board has also established a Lead Independent Director role. Ms. Nancy Frame has served as our Lead Independent Director since 2005. When Dr. Kurtenbach retired as Chairman of the Board in September 2014, the Board studied and discussed publicly available research and expert guidance on different structures. After this study and discussion, the Board determined that a return to the combined Chair and CEO roles plus a Lead Independent Director role would best serve the Company and its shareholders going forward.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Chairman conducts the Board meetings, and the Lead Independent Director presides over independent Director meetings. The Lead Independent Director also serves as chairperson of the Nominating and Corporate Governance Committee. In this dual role, the Lead Independent Director is able to bring to the Board a special focus on governance issues. She also facilitates the ability of non-management Directors to fulfill their responsibilities, builds consensus among Board members and provides a structure for communicating any concerns the non-management Directors may have directly to our executive management.</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governance practices are compliant with the NASDAQ Listing Rules and the corporate governance regulations of the Sarbanes-Oxley Act of 2002. Among other things, these practices include the following:</w:t>
      </w:r>
    </w:p>
    <w:p>
      <w:pPr>
        <w:spacing w:after="0" w:line="170"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reviews with the Board annually the composition of the Board as a whole, including the Directors’ independence, skills, experience, age, diversity and availability of service to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recommends Director candidates for approval by the Board and election by the shareholders, taking into account the Company’s need for diverse skills, professional experiences, backgrounds and other qualities to ensure a variety of viewpoints.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conducts periodic self-evaluations facilitated by the Nominating and Corporate Governance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independent Directors meet in conjunction with regularly scheduled quarterly Board meetings and at other appropriate times.</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and all Board Committees are authorized to hire their own advisors as they deem to be necessary or advisable to fulfill their obligations, and the Company will pay the costs of such advisors.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2017, the Board of Directors held four regularly scheduled meetings and two special meetings, the Audit Committee met eight times, the Compensation Committee met five times, and the Nominating and Corporate Governance Committee met four times. All of the Directors attended at least 75 percent of the aggregate of all meetings of the Board of Directors and Committees upon which they served and the annual meeting of shareholders held in August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the Board</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Board has adopted a practice of meeting in executive session, and then with independent Directors only, in conjunction with each regularly scheduled Board meeting. The independent Directors met four times in fiscal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Attendance Policy</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set forth in our Corporate Governance Guidelines, members of the Board of Directors are expected to devote sufficient time and attention to prepare for, attend and participate in Board meetings, shareholder meetings and meetings of Committees of the Board on which they serve.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takes an active role in risk oversight both as a full Board and through its Committees. The Company's management team attends a portion of each regular Board meeting, and the Board engages management in a review of the business with respect to our strategies and risks. Such risks include those inherent in our businesses as well as the risks from external sources such as competitors, the economy, credit markets and regulatory and legislative developments.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various Committees of the Board are also responsible for specific areas of risks. The Audit Committee meets regularly with management and our independent registered public accounting firm to oversee our financial risk management processes, controls and capabilities. The Audit Committee also oversees and reviews with management certain aspects of our credit, litigation, and currency risks and other finance matters. In addition, the Audit Committee reviews and monitors our procedures regarding the receipt, retention and treatment of complaints regarding internal accounting, accounting controls or audit matters. The Compensation Committee oversees our executive compensation arrangements and certain benefit plans. This includes the identification and management of risks that may arise from our compensation policies and practices. The Nominating and Corporate Governance Committee has oversight of corporate governance, including practices and procedures that promote good governance and thus mitigate governance risk, and it is also responsible for reviewing the performance of the Board, its Committees and their members. These Committees report to the full Board on these topics, including risks, as they deem to be necessary or advisable.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Board of Directors has adopted our Code of Conduct, which applies to all of our employees, officers and Directors as described in our Annual Report to Shareholders. Included in the Code of Conduct are ethics provisions that apply to our Chief Executive Officer, Chief Financial Officer, and all other financial and accounting management employees. Copies of the Code of Conduct are available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 The Nominating and Corporate Governance Committee reviews the Code of Conduct annually and oversees its implementation.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Procedures with Respect to Related Party Transactions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has adopted a written policy and procedure with respect to related party transactions, which the Audit Committee oversees. Under the policy, a “related party transaction” is generally defined as a transaction, arrangement or relationship in which the Company was, is or will be a participant; the amount involved exceeds $120,000; and in which any “related person” had, has or will have a direct or indirect material interest. The policy generally defines a “related person” as a Director, executive officer or beneficial owner of more than five percent of any class of our voting securities and any immediate family member of any of the foregoing persons.</w:t>
      </w:r>
    </w:p>
    <w:p>
      <w:pPr>
        <w:spacing w:after="0" w:line="19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Audit Committee reviews and, if appropriate, approves related party transactions, including certain transactions which are deemed to be pre-approved under the policy. On an annual basis, the Audit Committee reviews any previously approved related party transaction that is ongoing.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Board of Directors currently has three standing Committees: an Audit Committee, a Compensation Committee and a Nominating and Corporate Governance Committee.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u w:val="single" w:color="auto"/>
          <w:color w:val="auto"/>
        </w:rPr>
        <w:t>Audit Committee</w:t>
      </w:r>
      <w:r>
        <w:rPr>
          <w:rFonts w:ascii="Arial" w:cs="Arial" w:eastAsia="Arial" w:hAnsi="Arial"/>
          <w:sz w:val="17"/>
          <w:szCs w:val="17"/>
          <w:color w:val="auto"/>
        </w:rPr>
        <w:t>. During fiscal 2017, our Audit Committee consisted of John L. Mulligan (Chairperson from May 1, 2016 through September 30, 2016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non-Chairperson member beginning October 1, 2016), John P. Friel, Kevin P. McDermott (non-Chairperson member from May 1, 2016 through September 30, 2016 and Chairperson beginning October 1, 2016), and James B. Morgan (beginning October 1, 2016). The Board of Directors has determined that each Audit Committee member is independent as defined under Rule 5605(a)(2) of the NASDAQ Listing Rules and Rule 10A-3 under the Securities Exchange Act of 1934 (“Exchange Act”). The Board has determined that Mr. Mulligan, Mr. McDermott, Mr. Friel, and Mr. Morgan are qualified as “audit committee financial experts,” as that term is defined in Item 407(d)(5)(ii) of Regulation S-K. The Audit Committee assists the Board of Directors in fulfilling its oversight responsibilities concerning the quality and integrity of our financial reports and related filings with the SEC. In fulfilling this role, the Audit Committee, among other things, oversees the accounting and financial reporting process and audits of the financial statements and related SEC filings, appoints and determines the compensation of our Independent Auditor, reviews the scope and findings of the audit, reviews the adequacy and effectiveness of our accounting policies and system of internal control over financial reporting, and oversees our policy and procedures with respect to related party transactions. The Audit Committee’s Charter is available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Compensation Committee</w:t>
      </w:r>
      <w:r>
        <w:rPr>
          <w:rFonts w:ascii="Arial" w:cs="Arial" w:eastAsia="Arial" w:hAnsi="Arial"/>
          <w:sz w:val="18"/>
          <w:szCs w:val="18"/>
          <w:color w:val="auto"/>
        </w:rPr>
        <w:t>. During fiscal 2017, our Compensation Committee consisted of Robert G. Dutcher (Chairperson), Byron J. Anderson, Nancy 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Frame (from May 1, 2016 through September 30, 2016), and John P. Friel (beginning October 1, 2016). All of the Compensation Committee members satisfy the independence requirements of the NASDAQ Listing Rules, as determined by the Board of Directors. The Compensation Committee annually reviews and approves the Chief Executive Officer’s and other executives' compensation packages and acts upon management’s recommendations for executives concerning employee equity incentives, bonuses and other compensation and benefit plans. The Compensation Committee’s Charter is available on our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Nominating and Corporate Governance Committee</w:t>
      </w:r>
      <w:r>
        <w:rPr>
          <w:rFonts w:ascii="Arial" w:cs="Arial" w:eastAsia="Arial" w:hAnsi="Arial"/>
          <w:sz w:val="18"/>
          <w:szCs w:val="18"/>
          <w:color w:val="auto"/>
        </w:rPr>
        <w:t>. During fiscal 2017, our Nominating and Corporate Governance Committee (the “Nominating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consisted of Nancy D. Frame (Chairperson), Byron J. Anderson, John P. Friel (from May 1, 2016 through September 30, 2016), and James B. Morgan (beginning October 1, 2016). The Board of Directors has determined that all of the Nominating Committee members satisfy the independence requirements of the NASDAQ Listing Rules. Our Nominating Committee advises and makes recommendations to the Board of Directors on all matters concerning the selection of candidates as nominees for election as Directors, develops and recommends to the Board of Directors corporate governance guidelines, oversees our Code of Conduct, 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provides oversight with respect to corporate governance and ethical conduct. It also facilitates the annual review of the performance of the Board of Directors. The Nominating Committee’s Charter and our Corporate Governance Guidelines are available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below describes the criteria and process that the Nominating Committee uses to evaluate future candidates to the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Qualification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Board candidates are considered, they are evaluated based upon various criteria, such as their broad-based business and professional skills and experiences, experience serving as management or on the board of directors of other organizations, concern for the long-term interests of the shareholders, technology company experience, financial literacy, personal integrity and judgment and willingness to be prepared and active participants at Board and Committee meetings. The Nominating Committee and the Board seek to attract and retain highly qualified Directors who have sufficient time to attend to their duties and responsibilities to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Committee and the Board seek members who will contribute to our overall corporate goals, taking into account:</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responsibility to its key stakeholders, which include shareholders, customers, suppliers, community and employees.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Integrity in financial reporting and business conduct. Candidates are selected based upon their potential contributions to the long-term interests of shareholders.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Diversity of a candidate’s skills and experiences.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candidate for Director must possess the following specific minimum qualifications:</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Demonstrated integrity and ethics in his or her professional life and an established record of professional accomplishment in his or her chosen field.</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Absence of any material personal, financial or professional interest in any present or potential competitor of the Company.</w:t>
      </w:r>
    </w:p>
    <w:p>
      <w:pPr>
        <w:spacing w:after="0" w:line="9" w:lineRule="exact"/>
        <w:rPr>
          <w:rFonts w:ascii="Arial" w:cs="Arial" w:eastAsia="Arial" w:hAnsi="Arial"/>
          <w:sz w:val="18"/>
          <w:szCs w:val="18"/>
          <w:color w:val="auto"/>
        </w:rPr>
      </w:pPr>
    </w:p>
    <w:p>
      <w:pPr>
        <w:jc w:val="both"/>
        <w:ind w:left="660" w:right="20" w:hanging="328"/>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participate fully in activities of the Board of Directors, including active membership in at least one Committee of the Board of Directors (in the case of independent Directors) and attendance at, and active participation in, meetings of the Board of Directors and the Committee(s) of the Board of which he or she is a member.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 for Nominees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Nominating Committee will consider written proposals from shareholders for nominees for Director. Any such nominations must be submitted to the Nominating Committee in the care of our Corporate Secretary and should include (at a minimum) the following information: (a) all information relating to such nominee that is required to be disclosed in Schedule 14A under the Exchange Act (including appropriate biographical information); (b) other board memberships; (c) such person’s written consent to being named in the proxy statement as a Director nominee and to serving as a Director, if elected; (d) the name(s) and address(es) of the shareholder(s) making the nomination and the number of shares of our common stock which are owned beneficially and of record by such shareholder(s); and (e) a statement as to the qualifications of the nominee. Shareholder proposals should be submitted by the deadline described in this proxy statement under the caption “Procedural Matters – Procedure for Submitting Shareholder Proposals” above.</w:t>
      </w:r>
    </w:p>
    <w:p>
      <w:pPr>
        <w:spacing w:after="0" w:line="1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Nominating Committee will not change the manner in which it evaluates candidates for Board nominees, including the applicable criteria set forth above, based on whether the candidate was recommended by a shareholder. To date, we have not received any shareholder proposals to nominate a Director.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Evaluation</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an ongoing basis, the Nominating Committee facilitates a process to determine whether the Board of Directors and its Committees are functioning effectively. The results of this process are reported to the Board for discussion.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the Board of Directors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Shareholders wishing to contact our Board of Directors may do so by writing to it at the following address: Corporate Secretary, Daktronics, Inc., 201 Daktronics Drive, Brookings, South Dakota 57006. All letters received will be forwarded to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fiscal 2017, none of our executive officers served on the board of directors or compensation committee of another company that had an executive officer who served on our Board of Directors or our Compensation Committee.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compensation paid to and earned by our Directors for the fiscal year ended April 29,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2017 DIRECTOR COMPENSATION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color w:val="auto"/>
              </w:rPr>
              <w:t>Fees Earned or</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ind w:right="650"/>
              <w:spacing w:after="0"/>
              <w:rPr>
                <w:sz w:val="20"/>
                <w:szCs w:val="20"/>
                <w:color w:val="auto"/>
              </w:rPr>
            </w:pPr>
            <w:r>
              <w:rPr>
                <w:rFonts w:ascii="Arial" w:cs="Arial" w:eastAsia="Arial" w:hAnsi="Arial"/>
                <w:sz w:val="18"/>
                <w:szCs w:val="18"/>
                <w:color w:val="auto"/>
              </w:rPr>
              <w:t>Total</w:t>
            </w:r>
          </w:p>
        </w:tc>
      </w:tr>
      <w:tr>
        <w:trPr>
          <w:trHeight w:val="257"/>
        </w:trPr>
        <w:tc>
          <w:tcPr>
            <w:tcW w:w="250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Name</w:t>
            </w:r>
            <w:r>
              <w:rPr>
                <w:rFonts w:ascii="Arial" w:cs="Arial" w:eastAsia="Arial" w:hAnsi="Arial"/>
                <w:sz w:val="25"/>
                <w:szCs w:val="25"/>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7"/>
              </w:rPr>
              <w:t>Paid in Cash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30"/>
              <w:spacing w:after="0" w:line="257" w:lineRule="exact"/>
              <w:rPr>
                <w:sz w:val="20"/>
                <w:szCs w:val="20"/>
                <w:color w:val="auto"/>
              </w:rPr>
            </w:pPr>
            <w:r>
              <w:rPr>
                <w:rFonts w:ascii="Arial" w:cs="Arial" w:eastAsia="Arial" w:hAnsi="Arial"/>
                <w:sz w:val="18"/>
                <w:szCs w:val="18"/>
                <w:color w:val="auto"/>
                <w:w w:val="89"/>
              </w:rPr>
              <w:t xml:space="preserve">Stock Awards ($) </w:t>
            </w:r>
            <w:r>
              <w:rPr>
                <w:rFonts w:ascii="Arial" w:cs="Arial" w:eastAsia="Arial" w:hAnsi="Arial"/>
                <w:sz w:val="25"/>
                <w:szCs w:val="25"/>
                <w:color w:val="auto"/>
                <w:w w:val="89"/>
                <w:vertAlign w:val="superscript"/>
              </w:rPr>
              <w:t>(2)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70"/>
              <w:spacing w:after="0" w:line="257" w:lineRule="exact"/>
              <w:rPr>
                <w:sz w:val="20"/>
                <w:szCs w:val="20"/>
                <w:color w:val="auto"/>
              </w:rPr>
            </w:pPr>
            <w:r>
              <w:rPr>
                <w:rFonts w:ascii="Arial" w:cs="Arial" w:eastAsia="Arial" w:hAnsi="Arial"/>
                <w:sz w:val="18"/>
                <w:szCs w:val="18"/>
                <w:color w:val="auto"/>
                <w:w w:val="90"/>
              </w:rPr>
              <w:t xml:space="preserve">Option Awards ($) </w:t>
            </w:r>
            <w:r>
              <w:rPr>
                <w:rFonts w:ascii="Arial" w:cs="Arial" w:eastAsia="Arial" w:hAnsi="Arial"/>
                <w:sz w:val="25"/>
                <w:szCs w:val="25"/>
                <w:color w:val="auto"/>
                <w:w w:val="90"/>
                <w:vertAlign w:val="superscript"/>
              </w:rPr>
              <w:t>(3)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5"/>
              </w:rPr>
              <w:t>Compensation ($)</w:t>
            </w:r>
          </w:p>
        </w:tc>
      </w:tr>
      <w:tr>
        <w:trPr>
          <w:trHeight w:val="244"/>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Byron J. Anderson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93,990</w:t>
            </w:r>
          </w:p>
        </w:tc>
      </w:tr>
      <w:tr>
        <w:trPr>
          <w:trHeight w:val="243"/>
        </w:trPr>
        <w:tc>
          <w:tcPr>
            <w:tcW w:w="2600" w:type="dxa"/>
            <w:vAlign w:val="bottom"/>
            <w:gridSpan w:val="2"/>
          </w:tcPr>
          <w:p>
            <w:pPr>
              <w:ind w:left="40"/>
              <w:spacing w:after="0"/>
              <w:rPr>
                <w:sz w:val="20"/>
                <w:szCs w:val="20"/>
                <w:color w:val="auto"/>
              </w:rPr>
            </w:pPr>
            <w:r>
              <w:rPr>
                <w:rFonts w:ascii="Arial" w:cs="Arial" w:eastAsia="Arial" w:hAnsi="Arial"/>
                <w:sz w:val="18"/>
                <w:szCs w:val="18"/>
                <w:color w:val="auto"/>
              </w:rPr>
              <w:t>Robert G. Dutcher</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29,992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24,998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93,990</w:t>
            </w: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Nancy D. Frame</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94,990</w:t>
            </w:r>
          </w:p>
        </w:tc>
      </w:tr>
      <w:tr>
        <w:trPr>
          <w:trHeight w:val="243"/>
        </w:trPr>
        <w:tc>
          <w:tcPr>
            <w:tcW w:w="2600" w:type="dxa"/>
            <w:vAlign w:val="bottom"/>
            <w:gridSpan w:val="2"/>
          </w:tcPr>
          <w:p>
            <w:pPr>
              <w:ind w:left="40"/>
              <w:spacing w:after="0"/>
              <w:rPr>
                <w:sz w:val="20"/>
                <w:szCs w:val="20"/>
                <w:color w:val="auto"/>
              </w:rPr>
            </w:pPr>
            <w:r>
              <w:rPr>
                <w:rFonts w:ascii="Arial" w:cs="Arial" w:eastAsia="Arial" w:hAnsi="Arial"/>
                <w:sz w:val="18"/>
                <w:szCs w:val="18"/>
                <w:color w:val="auto"/>
              </w:rPr>
              <w:t>John P. Friel</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29,992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24,998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95,990</w:t>
            </w: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Kevin P. McDermott</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94,990</w:t>
            </w:r>
          </w:p>
        </w:tc>
      </w:tr>
      <w:tr>
        <w:trPr>
          <w:trHeight w:val="243"/>
        </w:trPr>
        <w:tc>
          <w:tcPr>
            <w:tcW w:w="2600" w:type="dxa"/>
            <w:vAlign w:val="bottom"/>
            <w:gridSpan w:val="2"/>
          </w:tcPr>
          <w:p>
            <w:pPr>
              <w:ind w:left="40"/>
              <w:spacing w:after="0"/>
              <w:rPr>
                <w:sz w:val="20"/>
                <w:szCs w:val="20"/>
                <w:color w:val="auto"/>
              </w:rPr>
            </w:pPr>
            <w:r>
              <w:rPr>
                <w:rFonts w:ascii="Arial" w:cs="Arial" w:eastAsia="Arial" w:hAnsi="Arial"/>
                <w:sz w:val="18"/>
                <w:szCs w:val="18"/>
                <w:color w:val="auto"/>
              </w:rPr>
              <w:t>James B. Morgan</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29,992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24,998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92,990</w:t>
            </w: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2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John L. Mulligan</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29,992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94,990</w:t>
            </w:r>
          </w:p>
        </w:tc>
      </w:tr>
      <w:tr>
        <w:trPr>
          <w:trHeight w:val="27"/>
        </w:trPr>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jc w:val="both"/>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an employee of the Company, Reece A. Kurtenbach, the President and Chief Executive Officer since September 1, 2013, was a Named Executive Officer during fiscal 2017 and therefore his compensation is included in the appropriate tables within the section of this proxy statement entitled "Executive Compensation."</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Represents September 1, 2016 grants of 3,134 restricted shares of our common stock to each of the Directors name in the table with a grant date fair value of $29,992, which vest on September 1, 2017 if they are then Directors of the Company. The dollar amounts in the table were computed in accordance with Financial Accounting Standards Board Accounting Standards Codification Topic 718 (“ASC 718”).</w:t>
      </w:r>
    </w:p>
    <w:p>
      <w:pPr>
        <w:jc w:val="both"/>
        <w:ind w:left="660" w:hanging="328"/>
        <w:spacing w:after="0" w:line="271"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Represents September 1, 2016 grants of stock option awards of 8,305 shares to each of the Directors named in the table with a grant date fair value of $24,998, which vest on September 1, 2017 if they are then Directors of the Company. The dollar amounts in the table were computed in accordance with ASC 718. The 2015 Stock Incentive Plan (the "2015 Plan") requires that all options granted under the 2015 Plan have an exercise price equal to the fair market value of our common stock on the date of grant. All options granted to non-employee Directors under the 2015 Plan are non-qualified options not intended to qualify as incentive stock options under Section 422 of the Internal Revenue Code of 1986.</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Independent Director Fees. </w:t>
      </w:r>
      <w:r>
        <w:rPr>
          <w:rFonts w:ascii="Arial" w:cs="Arial" w:eastAsia="Arial" w:hAnsi="Arial"/>
          <w:sz w:val="18"/>
          <w:szCs w:val="18"/>
          <w:color w:val="auto"/>
        </w:rPr>
        <w:t>For fiscal 2017, each independent Director received an annual retainer of $25,000. In addition, each independent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$2,500 per meeting for each Board of Directors meeting attended in person. The following table describes the annual retainers paid to each independent director for Committee membership participation: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Other</w:t>
            </w:r>
          </w:p>
        </w:tc>
      </w:tr>
      <w:tr>
        <w:trPr>
          <w:trHeight w:val="230"/>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Chair</w:t>
            </w: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w w:val="93"/>
              </w:rPr>
              <w:t>Members</w:t>
            </w:r>
          </w:p>
        </w:tc>
      </w:tr>
      <w:tr>
        <w:trPr>
          <w:trHeight w:val="27"/>
        </w:trPr>
        <w:tc>
          <w:tcPr>
            <w:tcW w:w="5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Audit Committee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Compensation Committee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Nominating and Corporate Governance Committee</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5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retainers for Board and Committee service are included in the table above entitled “Fiscal Year 2017 Director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Stock Ownership and Retention Guidelines. </w:t>
      </w:r>
      <w:r>
        <w:rPr>
          <w:rFonts w:ascii="Arial" w:cs="Arial" w:eastAsia="Arial" w:hAnsi="Arial"/>
          <w:sz w:val="18"/>
          <w:szCs w:val="18"/>
          <w:color w:val="auto"/>
        </w:rPr>
        <w:t>The Board of Directors has implemented stock ownership guidelines for Directors. Under these guidelines,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Director is expected to achieve a target of 5,000 shares owned, excluding shares subject to options. Directors have five years from the later of their first becoming a member of the Board of Directors or, if applicable, January 2007 to achieve this level of ownership. As of the Record Date, all directors were in compliance with these guidelines.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sets forth information as of June 26, 2017 about our executive officers who are not Directors.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Executive</w:t>
            </w:r>
          </w:p>
        </w:tc>
      </w:t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Officer</w:t>
            </w:r>
          </w:p>
        </w:tc>
      </w:tr>
      <w:tr>
        <w:trPr>
          <w:trHeight w:val="230"/>
        </w:trPr>
        <w:tc>
          <w:tcPr>
            <w:tcW w:w="2500" w:type="dxa"/>
            <w:vAlign w:val="bottom"/>
            <w:gridSpan w:val="2"/>
          </w:tcPr>
          <w:p>
            <w:pPr>
              <w:ind w:left="940"/>
              <w:spacing w:after="0"/>
              <w:rPr>
                <w:sz w:val="20"/>
                <w:szCs w:val="20"/>
                <w:color w:val="auto"/>
              </w:rPr>
            </w:pPr>
            <w:r>
              <w:rPr>
                <w:rFonts w:ascii="Arial" w:cs="Arial" w:eastAsia="Arial" w:hAnsi="Arial"/>
                <w:sz w:val="18"/>
                <w:szCs w:val="18"/>
                <w:color w:val="auto"/>
              </w:rPr>
              <w:t>Name</w:t>
            </w:r>
          </w:p>
        </w:tc>
        <w:tc>
          <w:tcPr>
            <w:tcW w:w="5400" w:type="dxa"/>
            <w:vAlign w:val="bottom"/>
            <w:gridSpan w:val="2"/>
          </w:tcPr>
          <w:p>
            <w:pPr>
              <w:ind w:left="1580"/>
              <w:spacing w:after="0"/>
              <w:rPr>
                <w:sz w:val="20"/>
                <w:szCs w:val="20"/>
                <w:color w:val="auto"/>
              </w:rPr>
            </w:pPr>
            <w:r>
              <w:rPr>
                <w:rFonts w:ascii="Arial" w:cs="Arial" w:eastAsia="Arial" w:hAnsi="Arial"/>
                <w:sz w:val="18"/>
                <w:szCs w:val="18"/>
                <w:color w:val="auto"/>
              </w:rPr>
              <w:t>Positions with the Company</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Age</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Since</w:t>
            </w:r>
          </w:p>
        </w:tc>
      </w:tr>
      <w:tr>
        <w:trPr>
          <w:trHeight w:val="27"/>
        </w:trPr>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Sheila M. Anderson</w:t>
            </w:r>
          </w:p>
        </w:tc>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Financial Officer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Bradley T. Wiemann</w:t>
            </w: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2004</w:t>
            </w: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Matthew J. Kurtenbach</w:t>
            </w:r>
          </w:p>
        </w:tc>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Vice President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Carla S. Gatzke</w:t>
            </w: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Vice President and Secretary</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2015</w:t>
            </w: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Sheila M. Anderson </w:t>
      </w:r>
      <w:r>
        <w:rPr>
          <w:rFonts w:ascii="Arial" w:cs="Arial" w:eastAsia="Arial" w:hAnsi="Arial"/>
          <w:sz w:val="17"/>
          <w:szCs w:val="17"/>
          <w:color w:val="auto"/>
        </w:rPr>
        <w:t>joined the Company in 2002 as a senior accountant after spending a number of years working as a certified public accountant in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and auditing firms and as a senior accountant at a private company. In 2006, Ms. Anderson was named Corporate Controller and, in 2012, she was named Chief Financial Officer and Treasurer. Ms. Anderson holds a Master of Business Administration degree from the University of South Dakota and a Bachelor of Science degree in Accounting from Southwest Minnesota State University.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Bradley T. Wiemann </w:t>
      </w:r>
      <w:r>
        <w:rPr>
          <w:rFonts w:ascii="Arial" w:cs="Arial" w:eastAsia="Arial" w:hAnsi="Arial"/>
          <w:sz w:val="18"/>
          <w:szCs w:val="18"/>
          <w:color w:val="auto"/>
        </w:rPr>
        <w:t>joined the Company in 1993 as a lead design engineer after spending a number of years with Rockwell International Corporation, where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was involved in flight control systems. In 1994, he became manager of the Company's engineering groups focused on commercial and transportation product design. In 2001, his responsibilities expanded to include sales and service for commercial and transportation. In 2004, he was appointed Vice President, Commercial and Transportation and, in 2012, he was named Executive Vice President. In 2013, his responsibilities expanded to include sales and service for the School &amp; Theatres business unit, which is now known as the High School Park and Recreation business unit. Mr. Wiemann holds a Master of Science degree in electrical and computer engineering from the University of Iowa and a Bachelor of Science degree in electrical engineering from South Dakota State University.</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Matthew J. Kurtenbach </w:t>
      </w:r>
      <w:r>
        <w:rPr>
          <w:rFonts w:ascii="Arial" w:cs="Arial" w:eastAsia="Arial" w:hAnsi="Arial"/>
          <w:sz w:val="17"/>
          <w:szCs w:val="17"/>
          <w:color w:val="auto"/>
        </w:rPr>
        <w:t>joined the Company in 1992 as a manager in manufacturing, and he subsequently served as a project manager for sports projects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project manager for the Company's process improvements and facility expansions. In 2001, he was named Manufacturing Manager and, in 2006, he was appointed Vice President, Manufacturing. Also in 2006, he was charged with leading the Company's transformation to lean manufacturing. More recently, he gained responsibility for repair center operations associated with after-sales services. Mr. Kurtenbach holds a Master of Science degree in industrial management and a Bachelor of Science degree in electrical engineering from South Dakota State University. Mr. Kurtenbach is the son of Aelred J. Kurtenbach and the brother of Reece A. Kurtenbach and Carla S. Gatzke.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Carla S. Gatzke </w:t>
      </w:r>
      <w:r>
        <w:rPr>
          <w:rFonts w:ascii="Arial" w:cs="Arial" w:eastAsia="Arial" w:hAnsi="Arial"/>
          <w:sz w:val="17"/>
          <w:szCs w:val="17"/>
          <w:color w:val="auto"/>
        </w:rPr>
        <w:t>joined the Company fulltime in 1984 in Systems Sales Engineering where she was responsible for sales and project management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legislative voting systems. In 1988, Ms. Gatzke took an 18 month leave of absence to attend Drake University and teach for one semester. In 1990, Ms. Gatzke returned to Daktronics and managed Star Circuits, which manufactures printed circuit boards. In 1992, she became responsible for Human Resources and, in 1996, she added the responsibility of Information and Technology and Systems. In 2006, the responsibility of the Company's Human Resources and Information and Technology and Systems departments separated, and Ms. Gatzke was appointed Vice President of Human Resources. Ms. Gatzke has served as Corporate Secretary since 1994. Ms. Gatzke holds a Master of Business Administration degree from Drake University and a Bachelor of Science degree in electrical engineering with minors in math and computer science from South Dakota State University. Ms. Gatzke is the daughter of Aelred J. Kurtenbach and the sister of Reece A. Kurtenbach and Matthew J. Kurtenbach.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Section 16(a) of the Securities Exchange Act of 1934 requires that our Directors, executive officers, and persons who own more than 10 percent of a registered class of our equity securities (“10% Shareholders”) file with the SEC initial reports of ownership on Form 3 and reports of change in ownership on Form 4 or Form 5. Such Directors, executive officers and 10% Shareholders are also required by rules of the SEC to furnish us with copies of all Section 16(a) forms that they file. To our knowledge, based solely on a review of copies of such forms submitted to us and on written representations from our reporting persons, we believe all required reports were filed on a timely basis during fiscal 2017, except that John P. Friel inadvertently filed one late report on Form 4 regarding one sale of 5,000 shares on February 2, 2016; James B. Morgan inadvertently filed one late report on Form 4 regarding one sale of 5,000 shares on December 19, 2016 and one sale of 5,000 shares on December 20, 2016; and Matthew J. Kurtenbach inadvertently filed one late report on Form 4 regarding the two sales of a total of 4,000 shares on January 3, 2017.</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discussion should be read in conjunction with the various tables and accompanying narrative disclosure appearing in this proxy statement. Those tables and narrative disclosure provide more detailed information regarding the compensation and benefits awarded to, earned by, or paid to our Named Executive Officers, as well as the plans in which they are eligible to participate. At last year’s annual meeting, our shareholders provided an advisory “say-on-pay” vote indicating their overwhelming support of the Company’s compensation program for our Named Executive Officers. Our shareholders also previously voted that such say-on-pay votes be held annually. As a result, Proposal Two presented in this proxy statement seeks our shareholders’ input on our executive compensation program. This Compensation Discussion and Analysis, the compensation tables and the narrative disclosures that accompany the tables provide information that will assist our shareholders in deciding how to vote on Proposal Two.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executive compensation program, developed by management and approved by the Compensation Committee of the Board of Directors (the “Committee”), is intended to be simple (easily understood) and team-based, focused on a few key performance metrics and balanced among:</w:t>
      </w:r>
    </w:p>
    <w:p>
      <w:pPr>
        <w:spacing w:after="0" w:line="16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Employees, managers and executives;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Long-term and short-term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and stock performance;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and equity compensation.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program is designed to align the interests of the executive team with the interests of our shareholders. It uses salary, benefits, and non-equity-based and equity-based incentive plans to achieve these goals, with a focus on tying compensation to corporate performance. The retention of top talent and the achievement of corporate objectives measure the effectiveness of our compensation program.</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financial performance for the fiscal year ended April 29, 2017 included strong sales and growth in orders as compared to fiscal 2016. Orders and sales increased over last fiscal year due to improved global economic conditions which prompted more projects to move forward, success in winning a number of projects for high-profile locations, and the integration of ADFLOW solutions into our portfolio. In fiscal 2017, we delivered a 2.9 percent return on assets and a 5.1 percent return on beginning shareholders' equity. In fiscal 2017 compared to fiscal 2016, sales were up 2.9 percent and operating income increased by 518.1 percent. In fiscal 2017, operating income as a percent of sales increased to 2.6 percent as compared to 0.4 percent in fiscal 2016.</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to executive compensation during the current fiscal year were mainly due to both maintaining competitiveness as the economy improved and the Company's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Committee, Philosophy and Objectives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Compensation Committee has responsibility for guiding our executive compensation philosophy and overseeing the design of our executive compensation programs. In arriving at the appropriate levels of pay and incentive opportunities, the Committee reviews our compensation philosophy and trends in our peer group to ensure that our executive compensation program is competitive to effectively recruit and retain talented management, focuses our executives to achieve short and long-range corporate objectives, and aligns the interests of the executives with the interests of our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Committee bases its executive compensation decisions on the following philosophies:</w:t>
      </w:r>
    </w:p>
    <w:p>
      <w:pPr>
        <w:spacing w:after="0" w:line="225" w:lineRule="exact"/>
        <w:rPr>
          <w:sz w:val="20"/>
          <w:szCs w:val="20"/>
          <w:color w:val="auto"/>
        </w:rPr>
      </w:pPr>
    </w:p>
    <w:p>
      <w:pPr>
        <w:ind w:left="66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compensation should be appropriate to recruit and retain high-performing executives successfully, taking into account executive pay at comparable companies and our pay practices for non-executive employees.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individual executive's compensation should be based on the executive's responsibility level, capability and performance.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executive team's compensation should include a significant component that is based on the Company's overall financial performance to encourage the executive team to focus on the overall success of the Company.</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executives should receive few perquisites, if any, other than those provided to all employees.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annually reviews each executive's compensation. The Committee has determined that our executives' compensation will include base salary, non-equity-based incentive compensation, and equity-based incentive pay in the form of options and restricted stock units. We view the various components of compensation as related but distinct.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appropriate level for each executive compensation component based in part, but not exclusively, on the following factors:</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internal equity and consistency;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executive compensation paid by other companies with which we compete for executive talent;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base salary reflects the pay that the Committee believes is appropriate for each executive's responsibility, capability and performance. The non-equity-based incentive compensation is designed to focus the executive team on the Company-wide goals and objectives, which focus on growth in revenue and reductions in cost in order to achieve and sustain a target operating margin. The Committee has not adopted any formal policies or guidelines for allocating compensation between long-term and currently paid-out compensation, between cash and non-cash compensation, or among different forms of non-cash compensation, although it has a preference for a material amount of “at risk” compensation, the amount of which is based on our financial results. The equity-based compensation plan is designed to encourage executives to also own stock in the Company, and thereby more directly align executives' interests with our shareholders' interests.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Committee considers both internal equity and market competitiveness. We compare executive pay to the compensation of other key managers and employees at the Company. As described below, we also compare overall executive compensation to comparison companies and to salary database information. The Committee believes that equitable and competitive compensation, as well as leader development and promotion-from-within, is essential to retain high-performing executives. The average number of years of experience with Daktronics of our currently employed non-Director Named Executive Officers is 24.4 years.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fiscal 2017, our Named Executive Officers were Reece A. Kurtenbach, President and Chief Executive Officer; Sheila M. Anderson, Chief Financial Officer and Treasurer; Bradley T. Wiemann, Executive Vice President; Matthew J. Kurtenbach, Vice President, Manufacturing; and Carla S. Gatzke, Vice President of Human Resources and Secretary.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Chief Executive Officer and Vice President of Human Resources present to the Compensation Committee their recommendations for the salary, non-equity-based incentive compensation, and equity-based compensation grants for the Named Executive Officers and selected other executives. The Committee considers these recommendations and accepts or adjusts them, in whole or in part. The Chief Executive Officer and Vice President of Human Resources are not present for the discussions or determinations about their own compensation, but they generally participate in the discussions regarding other executive officers’ compensation. The Chair of the Compensation Committee presents the Committee’s findings regarding compensation for executive officers to the Board of Directors. Based on such input, the Board of Directors reviews and generally approves and adopts the Committee's recommendations regarding the executives' compensation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making decisions regarding elements and amounts of compensation, the Committee considers the compensation paid to executive officers at similar levels and responsibilities. These are public companies in our geographical area (South Dakota, North Dakota, Minnesota, Iowa, and Nebraska) with revenues of between $250 million and $1 billion and with a focus on manufacturing or technology.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list sets forth the companies comprising our peer group list:</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Apogee Enterprises, Inc.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Hawkins, Inc.</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Datalink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EVINE Live Inc.</w:t>
      </w:r>
    </w:p>
    <w:p>
      <w:pPr>
        <w:spacing w:after="0" w:line="75"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Bio-Techne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Tennant Company</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Winnebago Industries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Lindsay Corporation</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Raven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Hutchinson Technology, Inc.</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Graco,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Arctic Cat, Inc.</w:t>
      </w:r>
    </w:p>
    <w:p>
      <w:pPr>
        <w:spacing w:after="0" w:line="75"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MTS Systems Corporation</w:t>
      </w:r>
    </w:p>
    <w:p>
      <w:pPr>
        <w:sectPr>
          <w:pgSz w:w="11900" w:h="16838" w:orient="portrait"/>
          <w:cols w:equalWidth="0" w:num="1">
            <w:col w:w="11420"/>
          </w:cols>
          <w:pgMar w:left="240" w:top="125" w:right="239" w:bottom="1440" w:gutter="0" w:footer="0" w:header="0"/>
          <w:type w:val="continuous"/>
        </w:sectPr>
      </w:pPr>
    </w:p>
    <w:p>
      <w:pPr>
        <w:spacing w:after="0" w:line="2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Committee also considers compensation data from Salary.com and the Economic Research Institute, which takes into consideration company size, geography, base salary and variable cash compensation but excludes equity incentive compensation information.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Committee believes that its executive compensation is sufficiently conservative, as well as appropriately competitive, so as not to require an external consultant opinion.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fiscal 2017, the principal components of our executive compensation program consisted of the following, each of which is addressed below in greater detail:</w:t>
      </w:r>
    </w:p>
    <w:p>
      <w:pPr>
        <w:spacing w:after="0" w:line="18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non-equity-based incentive compensation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equity-based compensation plan;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benefits.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u w:val="single" w:color="auto"/>
          <w:color w:val="auto"/>
        </w:rPr>
        <w:t>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The base salary reflects each executive's responsibility, capability and performance. Base salary is determined based on the benchmarking data</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executive's responsibilities, the executive's experience, and the executive's performance and the impact of such performance on our business results.</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Committee also takes into account the Company's financial performance, and it has in the past limited executive pay changes based on business or economic conditions. The Committee also considers the recommendations of the Chief Executive Officer for other Named Executive Officers.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Non-Equity-Based Incentive Compensation Plan</w:t>
      </w:r>
      <w:r>
        <w:rPr>
          <w:rFonts w:ascii="Arial" w:cs="Arial" w:eastAsia="Arial" w:hAnsi="Arial"/>
          <w:sz w:val="17"/>
          <w:szCs w:val="17"/>
          <w:i w:val="1"/>
          <w:iCs w:val="1"/>
          <w:color w:val="auto"/>
        </w:rPr>
        <w:t xml:space="preserve">. </w:t>
      </w:r>
      <w:r>
        <w:rPr>
          <w:rFonts w:ascii="Arial" w:cs="Arial" w:eastAsia="Arial" w:hAnsi="Arial"/>
          <w:sz w:val="17"/>
          <w:szCs w:val="17"/>
          <w:color w:val="auto"/>
        </w:rPr>
        <w:t>The purpose of our non-equity-based incentive compensation plan is to focus the executive team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Company-wide goals and objectives of growth in revenue and reductions in cost in order to achieve and sustain a target operating margin. The non-equity-based incentive compensation plan is a formula-based variable cash compensation plan, with no payouts if operating margin is less than 2.5 percent, targeted payouts at a 10 percent operating margin, and maximum payouts at a 12.5 percent operating margin. The targeted level of variable cash compensation varies from an amount equal to five and half months of base salary to eight months of base salary for each executive officer. The maximum level of the variable cash compensation is 120 percent of the targeted level of variable cash compensation.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level of non-equity compensation takes into account other non-equity incentive compensation plans at comparable companies, as well as the Committee's preference for a material level of executive compensation that varies with the Company's performance. The Compensation Committee selected the operating margin measure for the formula because it believes it is the most appropriate indicator of performance that will drive long-term shareholder value, and it is consistent with our corporate strategies.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various payout percentages based on operating margins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6"/>
              </w:rPr>
              <w:t>Percentage of Targeted</w:t>
            </w:r>
          </w:p>
        </w:tc>
      </w:t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Non-equity Incentive</w:t>
            </w:r>
          </w:p>
        </w:tc>
      </w:tr>
      <w:tr>
        <w:trPr>
          <w:trHeight w:val="230"/>
        </w:trPr>
        <w:tc>
          <w:tcPr>
            <w:tcW w:w="2320" w:type="dxa"/>
            <w:vAlign w:val="bottom"/>
            <w:gridSpan w:val="2"/>
          </w:tcPr>
          <w:p>
            <w:pPr>
              <w:ind w:left="400"/>
              <w:spacing w:after="0"/>
              <w:rPr>
                <w:sz w:val="20"/>
                <w:szCs w:val="20"/>
                <w:color w:val="auto"/>
              </w:rPr>
            </w:pPr>
            <w:r>
              <w:rPr>
                <w:rFonts w:ascii="Arial" w:cs="Arial" w:eastAsia="Arial" w:hAnsi="Arial"/>
                <w:sz w:val="18"/>
                <w:szCs w:val="18"/>
                <w:color w:val="auto"/>
              </w:rPr>
              <w:t>Operating Margin</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Compensation</w:t>
            </w:r>
          </w:p>
        </w:tc>
      </w:tr>
      <w:tr>
        <w:trPr>
          <w:trHeight w:val="27"/>
        </w:trPr>
        <w:tc>
          <w:tcPr>
            <w:tcW w:w="2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2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Less than 2.5%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2.5 to 5.0%</w:t>
            </w:r>
          </w:p>
        </w:tc>
        <w:tc>
          <w:tcPr>
            <w:tcW w:w="2120" w:type="dxa"/>
            <w:vAlign w:val="bottom"/>
          </w:tcPr>
          <w:p>
            <w:pPr>
              <w:jc w:val="right"/>
              <w:spacing w:after="0"/>
              <w:rPr>
                <w:sz w:val="20"/>
                <w:szCs w:val="20"/>
                <w:color w:val="auto"/>
              </w:rPr>
            </w:pPr>
            <w:r>
              <w:rPr>
                <w:rFonts w:ascii="Arial" w:cs="Arial" w:eastAsia="Arial" w:hAnsi="Arial"/>
                <w:sz w:val="18"/>
                <w:szCs w:val="18"/>
                <w:color w:val="auto"/>
              </w:rPr>
              <w:t>0.0 to 25.0%</w:t>
            </w:r>
          </w:p>
        </w:tc>
      </w:tr>
      <w:tr>
        <w:trPr>
          <w:trHeight w:val="27"/>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 to 7.5%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 to 60.0%</w:t>
            </w:r>
          </w:p>
        </w:tc>
      </w:tr>
      <w:tr>
        <w:trPr>
          <w:trHeight w:val="243"/>
        </w:trPr>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7.5 to 10.0%</w:t>
            </w:r>
          </w:p>
        </w:tc>
        <w:tc>
          <w:tcPr>
            <w:tcW w:w="2120" w:type="dxa"/>
            <w:vAlign w:val="bottom"/>
          </w:tcPr>
          <w:p>
            <w:pPr>
              <w:jc w:val="right"/>
              <w:spacing w:after="0"/>
              <w:rPr>
                <w:sz w:val="20"/>
                <w:szCs w:val="20"/>
                <w:color w:val="auto"/>
              </w:rPr>
            </w:pPr>
            <w:r>
              <w:rPr>
                <w:rFonts w:ascii="Arial" w:cs="Arial" w:eastAsia="Arial" w:hAnsi="Arial"/>
                <w:sz w:val="18"/>
                <w:szCs w:val="18"/>
                <w:color w:val="auto"/>
              </w:rPr>
              <w:t>60.1 to 100.0%</w:t>
            </w:r>
          </w:p>
        </w:tc>
      </w:tr>
      <w:tr>
        <w:trPr>
          <w:trHeight w:val="27"/>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 to 12.5%</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 to 120.0%</w:t>
            </w:r>
          </w:p>
        </w:tc>
      </w:tr>
      <w:tr>
        <w:trPr>
          <w:trHeight w:val="27"/>
        </w:trPr>
        <w:tc>
          <w:tcPr>
            <w:tcW w:w="2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follow applicable laws and regulations regarding the recovery of any non-equity-based compensation, other incentive-based or equity-based compensation and profits realized from the sale of securities resulting from any misconduct on the part of an executive officer.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2017, the Named Executive Officers were eligible for non-equity-based incentive compensation if the maximum payout of 120 percent of target was achieved as follows: Chief Executive Officer - 67 percent of his base salary; Chief Financial Officer - 46 percent of her base salary; Vice President and Secretary - 42 percent of her base salary; and all other Named Executives Officers - 54 percent of their base salaries. For fiscal 2015, a payout of approximately 26 percent was made. For fiscal 2016, there was no non-equity-based incentive compensation paid out to any Named Executive Officer. For fiscal 2017, the operating margin resulted in a non-equity incentive compensation payout of approximately 1 percent of the target, or 1 percent of the maximum payouts.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Equity-Based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Grants of equity awards have been the primary vehicles for offering long-term incentives to our executives and to</w:t>
      </w:r>
      <w:r>
        <w:rPr>
          <w:rFonts w:ascii="Arial" w:cs="Arial" w:eastAsia="Arial" w:hAnsi="Arial"/>
          <w:sz w:val="18"/>
          <w:szCs w:val="18"/>
          <w:i w:val="1"/>
          <w:iCs w:val="1"/>
          <w:color w:val="auto"/>
        </w:rPr>
        <w:t xml:space="preserve"> </w:t>
      </w:r>
      <w:r>
        <w:rPr>
          <w:rFonts w:ascii="Arial" w:cs="Arial" w:eastAsia="Arial" w:hAnsi="Arial"/>
          <w:sz w:val="18"/>
          <w:szCs w:val="18"/>
          <w:color w:val="auto"/>
        </w:rPr>
        <w:t>aligning the interests of employees more closely with those of our shareholders.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year, the Board of Directors, based on recommendations of the Compensation Committee, determines the number of shares that may be subject to equity awards for all employees, including the Named Executive Officers. The total number of shares subject to equity awards is constrained by our Board’s desire to limit dilution to shareholders to a level consistent with our historical levels, which generally approximate a dilution of one percent, and to limit the total grant date fair value of the equity awards to a targeted level. The one percent dilution is based on an assessment of a conservative amount relative to high-tech growth companies. The grant date fair value is based on a comparison to the prior fiscal year's expense and the current year’s estimate of a percentage of total payroll expense. The Compensation</w:t>
      </w:r>
    </w:p>
    <w:p>
      <w:pPr>
        <w:sectPr>
          <w:pgSz w:w="11900" w:h="16838" w:orient="portrait"/>
          <w:cols w:equalWidth="0" w:num="1">
            <w:col w:w="11420"/>
          </w:cols>
          <w:pgMar w:left="240" w:top="125"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Committee and the Board of Directors generally follow a practice of calculating the equity grant valuation limit based on the share price on the date of the Compensation Committee meeting at which the equity grants are determined by the Committee for recommendation to the Board to assure that the valuation limit is consistent with the approximate dilution limit of one percent. The Compensation Committee then allocates these equity grants to the Named Executive Officers, and the Chief Executive Officer allocates equity grants to selected employees. To facilitate the grant of stock options to employees and other executive officers, the Board of Directors authorized the Chief Executive Officer to grant individual stock options and restricted stock units during fiscal 2017, subject to the guidelines and limitations imposed by the Compensation Committee.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Committee also considers trends in equity-based compensation, the mix of the type of equity grants, and the number of our shares that are available for equity grants. The Compensation Committee and the Board of Directors also generally follow a practice of allocating similar equity grants to each of the Named Executive Officers, with some variation based on responsibilities and experience. The allocation among Named Executive Officers is based on historical grants, the value of past grants and the Company’s performance, all of which are subject to the objectives listed under the section of this proxy statement entitled “Compensation Discussion and Analysis - Role of Compensation Committee, Philosophy and Objectives.”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fiscal 2015 allocation, the Committee recommended that each Named Executive Officer would be allocated equity grants for approximately 10,000 shares of common stock, with a ratio of 2.5 to 1 of incentive stock options to restricted stock units. The Committee recommended that Mr. Reece A. Kurtenbach should receive a grant of twice the amount of other Named Executive Officers to facilitate his ownership of additional stock of the Company as the CEO and to reflect a ratio of grants to the CEO compared to grants to other Named Executive Officers that is more similar to the ratio in the benchmarking data. The Board approved the Compensation Committee's recommended allocation. For fiscal 2015, all equity grants to employees were made under the Daktronics, Inc. 2007 Incentive Stock Plan (the "2007 Plan").</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fiscal 2016, the Compensation Committee determined that it would continue to grant restricted stock units as well as incentive stock options in a manner substantially similar to fiscal 2015, and that the valuation of the equity grants, based on the grant date fair value as determined under ASC 718, would be limited to approximately $2.5 million for all employees, including the Named Executive Officers. The total number of shares of common stock subject to stock options and restricted stock units granted to all employees remained the same in fiscal 2016 compared to fiscal 2015. The value of the restricted stock units was equal to 90.6 percent of the value of the stock options for executives, as determined under the fair value provisions of ASC 718. For fiscal 2016, all equity grants to employees were made under the 2015 Plan.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fiscal 2017, the Compensation Committee determined that it would continue to grant restricted stock units as well as incentive stock options in a manner substantially similar to fiscal 2016, and that the valuation of the equity grants, based on the grant date fair value as determined under ASC 718, would be limited to approximately $2.5 million for all employees, including the Named Executive Officers. The total number of shares of common stock subject to stock options and restricted stock units granted to all employees increased in fiscal 2017 compared to fiscal 2016. The value of the restricted stock units was equal to 106.8 percent of the value of the stock options for executives, as determined under the fair value provisions of ASC 718. For fiscal 2017, all equity grants to employees were made under the 2015 Plan.</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Board and the Compensation Committee approve equity grants for Named Executive Officers and other employees annually in their summer meetings to coincide with the Director equity grants and the annual meeting of shareholders. Equity awards are not typically granted at other times of the year for employees, including new employees. The exercise price of all stock options granted is equal to the fair market value of the Company’s common stock as reported on The NASDAQ Global Select Market on the date of grant, which is defined in the 2007 Plan and the 2015 Plan as the closing price of the common stock as reported on The NASDAQ Global Select Market on the date of grant. All options also contain five-year vesting provisions, with 20 percent of the shares underlying the stock option vesting each year following the date of grant. The restricted stock units also contain a five-year vesting provisions, with 20 percent of the restricted stock units vesting each year following the date of grant.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Named Executive Officers are eligible for all benefits generally available to our full-time employees. We do not provide pension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health coverage, or similar benefits for our executives or employees.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employees, including the Named Executive Officers, are entitled to participate in the 401(k) Plan, which is qualified under Section 401(k) of the Internal Revenue Code of 1986. At the discretion of the Board of Directors, we may make matching contributions equal to a percentage of the salary deduction contributions or other discretionary amounts. We paid $2.5 million in matching and discretionary contributions in fiscal 2017, $2.3 million in fiscal 2016 and $2.0 million in fiscal 2015. Contributions to the 401(k) Plan on behalf of the Named Executive Officers are described in the table entitled “Summary Compensation Table – Fiscal 2017.”</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employees, including the Named Executive Officers, are entitled to participate in the Daktronics, Inc. Employee Stock Purchase Plan (“ESPP”), which is intended to qualify under Section 423 of the Internal Revenue Code of 1986. The ESPP allows employees to purchase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of our common stock, subject to annual limitations, at a price equal to 85 percent of the lower of the fair market value of the common stock at the beginning or the end of each six-month offering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and Tax Treatment</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account for equity-based compensation paid to employees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promulgated by the Financial Accounting Standards Board, which requires us to estimate and record an expense over the service period of the award. Thus, we may record an expense in one year for awards granted in earlier years. Accounting rules also require us to record cash compensation as an expense at the time the obligation is accrued.</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option awards, we generally can deduct the gain recognized by employees and Directors from the exercise of non-qualified options. However, to the extent that an option is an incentive stock option, we cannot deduct the gain recognized by the optionee upon exercise of the option if there is no disqualifying disposition by the optionee.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restricted stock awards, we generally can deduct the fair market value of the shares vested on the vesting date. Alternatively, if the recipient were to make an election under Section 83(b) of the Internal Revenue Code of 1986, we would be entitled to a deduction on the date of grant equal to the value of the restricted stock on the date of grant.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162(m) of the Internal Revenue Code of 1986 generally disallows a tax deduction to a public company for compensation in excess of $1 million paid to the company's chief executive officer and four other most highly-paid executive officers. Qualifying performance-based compensation will not be subject to the deduction limitation if certain requirements are met. Because the potential amount of base salary and non-equity-based incentive compensation that each of our executive officers can earn is less than $1 million, Section 162(m) has not been material to our compensation decisions.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Compensation Committee shall not be deemed to be incorporated by reference into any such filings and shall not otherwise be deemed filed under such acts.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has reviewed and discussed the section of this proxy statement entitled “Compensation Discussion and Analysis” with management. Based on such review and discussions, the Compensation Committee recommended to our Board of Directors that the Compensation Discussion and Analysis be included in this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the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G. Dutcher,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Byron J. Anderson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P. Friel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fiscal years ended April 29, 2017, April 30, 2016 and May 2, 2015, the following table sets forth information about compensation awarded to, earned by or paid to our principal executive officer and principal financial officer and our next three most highly compensated executive officers whose total compensation was greater than $100,000 for the fiscal year ended April 29, 2017. The Company operates on a 52- or 53- week fiscal year, with our fiscal year ending on the Saturday closest to April 30 of each year. Fiscal 2015 is a 53-week year; therefore, the fiscal year ended May 2, 2015 contained results for 53 weeks while the fiscal years ended April 29, 2017 and April 30, 2016 contained results for 52 weeks.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12"/>
          </w:tcPr>
          <w:p>
            <w:pPr>
              <w:ind w:left="40"/>
              <w:spacing w:after="0"/>
              <w:rPr>
                <w:sz w:val="20"/>
                <w:szCs w:val="20"/>
                <w:color w:val="auto"/>
              </w:rPr>
            </w:pPr>
            <w:r>
              <w:rPr>
                <w:rFonts w:ascii="Arial" w:cs="Arial" w:eastAsia="Arial" w:hAnsi="Arial"/>
                <w:sz w:val="18"/>
                <w:szCs w:val="18"/>
                <w:b w:val="1"/>
                <w:bCs w:val="1"/>
                <w:color w:val="auto"/>
              </w:rPr>
              <w:t>SUMMARY COMPENSATION TABLE – FISCAL 2017</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Non-Equity</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Option</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Incentive Plan</w:t>
            </w:r>
          </w:p>
        </w:tc>
        <w:tc>
          <w:tcPr>
            <w:tcW w:w="240" w:type="dxa"/>
            <w:vAlign w:val="bottom"/>
          </w:tcPr>
          <w:p>
            <w:pPr>
              <w:spacing w:after="0"/>
              <w:rPr>
                <w:sz w:val="18"/>
                <w:szCs w:val="18"/>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8"/>
                <w:szCs w:val="18"/>
                <w:color w:val="auto"/>
              </w:rPr>
              <w:t>Awards($)</w:t>
            </w:r>
          </w:p>
        </w:tc>
        <w:tc>
          <w:tcPr>
            <w:tcW w:w="2520" w:type="dxa"/>
            <w:vAlign w:val="bottom"/>
            <w:gridSpan w:val="6"/>
            <w:vMerge w:val="restart"/>
          </w:tcPr>
          <w:p>
            <w:pPr>
              <w:ind w:left="80"/>
              <w:spacing w:after="0"/>
              <w:rPr>
                <w:sz w:val="20"/>
                <w:szCs w:val="20"/>
                <w:color w:val="auto"/>
              </w:rPr>
            </w:pPr>
            <w:r>
              <w:rPr>
                <w:rFonts w:ascii="Arial" w:cs="Arial" w:eastAsia="Arial" w:hAnsi="Arial"/>
                <w:sz w:val="18"/>
                <w:szCs w:val="18"/>
                <w:color w:val="auto"/>
              </w:rPr>
              <w:t>Awards($)   Compensation($)</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60" w:type="dxa"/>
            <w:vAlign w:val="bottom"/>
            <w:vMerge w:val="restart"/>
          </w:tcPr>
          <w:p>
            <w:pPr>
              <w:ind w:left="300"/>
              <w:spacing w:after="0"/>
              <w:rPr>
                <w:sz w:val="20"/>
                <w:szCs w:val="20"/>
                <w:color w:val="auto"/>
              </w:rPr>
            </w:pPr>
            <w:r>
              <w:rPr>
                <w:rFonts w:ascii="Arial" w:cs="Arial" w:eastAsia="Arial" w:hAnsi="Arial"/>
                <w:sz w:val="18"/>
                <w:szCs w:val="18"/>
                <w:color w:val="auto"/>
              </w:rPr>
              <w:t>Name and Principal Position</w:t>
            </w: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8"/>
                <w:szCs w:val="18"/>
                <w:color w:val="auto"/>
              </w:rPr>
              <w:t>Year</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Salary($)</w:t>
            </w:r>
          </w:p>
        </w:tc>
        <w:tc>
          <w:tcPr>
            <w:tcW w:w="100" w:type="dxa"/>
            <w:vAlign w:val="bottom"/>
            <w:vMerge w:val="restart"/>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2520" w:type="dxa"/>
            <w:vAlign w:val="bottom"/>
            <w:gridSpan w:val="6"/>
            <w:vMerge w:val="continue"/>
          </w:tcPr>
          <w:p>
            <w:pPr>
              <w:spacing w:after="0"/>
              <w:rPr>
                <w:sz w:val="5"/>
                <w:szCs w:val="5"/>
                <w:color w:val="auto"/>
              </w:rPr>
            </w:pPr>
          </w:p>
        </w:tc>
        <w:tc>
          <w:tcPr>
            <w:tcW w:w="1460" w:type="dxa"/>
            <w:vAlign w:val="bottom"/>
            <w:gridSpan w:val="2"/>
            <w:vMerge w:val="restart"/>
          </w:tcPr>
          <w:p>
            <w:pPr>
              <w:ind w:left="20"/>
              <w:spacing w:after="0" w:line="257" w:lineRule="exact"/>
              <w:rPr>
                <w:sz w:val="20"/>
                <w:szCs w:val="20"/>
                <w:color w:val="auto"/>
              </w:rPr>
            </w:pPr>
            <w:r>
              <w:rPr>
                <w:rFonts w:ascii="Arial" w:cs="Arial" w:eastAsia="Arial" w:hAnsi="Arial"/>
                <w:sz w:val="18"/>
                <w:szCs w:val="18"/>
                <w:color w:val="auto"/>
                <w:w w:val="89"/>
              </w:rPr>
              <w:t>Compensation($)</w:t>
            </w:r>
            <w:r>
              <w:rPr>
                <w:rFonts w:ascii="Arial" w:cs="Arial" w:eastAsia="Arial" w:hAnsi="Arial"/>
                <w:sz w:val="25"/>
                <w:szCs w:val="25"/>
                <w:color w:val="auto"/>
                <w:w w:val="89"/>
                <w:vertAlign w:val="superscript"/>
              </w:rPr>
              <w:t>(4)</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8"/>
                <w:szCs w:val="18"/>
                <w:color w:val="auto"/>
                <w:w w:val="93"/>
              </w:rPr>
              <w:t>Total($)</w:t>
            </w:r>
          </w:p>
        </w:tc>
        <w:tc>
          <w:tcPr>
            <w:tcW w:w="0" w:type="dxa"/>
            <w:vAlign w:val="bottom"/>
          </w:tcPr>
          <w:p>
            <w:pPr>
              <w:spacing w:after="0"/>
              <w:rPr>
                <w:sz w:val="1"/>
                <w:szCs w:val="1"/>
                <w:color w:val="auto"/>
              </w:rPr>
            </w:pPr>
          </w:p>
        </w:tc>
      </w:tr>
      <w:tr>
        <w:trPr>
          <w:trHeight w:val="190"/>
        </w:trPr>
        <w:tc>
          <w:tcPr>
            <w:tcW w:w="2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color w:val="auto"/>
                <w:w w:val="87"/>
              </w:rPr>
              <w:t>(3)</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Reece A. Kurtenbach</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407,692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46,440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43,500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512,265</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Executive Officer and</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367,308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40,620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44,850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460,669</w:t>
            </w:r>
          </w:p>
        </w:tc>
        <w:tc>
          <w:tcPr>
            <w:tcW w:w="0" w:type="dxa"/>
            <w:vAlign w:val="bottom"/>
          </w:tcPr>
          <w:p>
            <w:pPr>
              <w:spacing w:after="0"/>
              <w:rPr>
                <w:sz w:val="1"/>
                <w:szCs w:val="1"/>
                <w:color w:val="auto"/>
              </w:rPr>
            </w:pPr>
          </w:p>
        </w:tc>
      </w:tr>
      <w:tr>
        <w:trPr>
          <w:trHeight w:val="277"/>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315,077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72,780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83,250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61,600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7,270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539,977</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Sheila M. Anderson</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250,923</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23,220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21,750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6,765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303,859</w:t>
            </w:r>
          </w:p>
        </w:tc>
        <w:tc>
          <w:tcPr>
            <w:tcW w:w="0" w:type="dxa"/>
            <w:vAlign w:val="bottom"/>
          </w:tcPr>
          <w:p>
            <w:pPr>
              <w:spacing w:after="0"/>
              <w:rPr>
                <w:sz w:val="1"/>
                <w:szCs w:val="1"/>
                <w:color w:val="auto"/>
              </w:rPr>
            </w:pPr>
          </w:p>
        </w:tc>
      </w:tr>
      <w:tr>
        <w:trPr>
          <w:trHeight w:val="270"/>
        </w:trPr>
        <w:tc>
          <w:tcPr>
            <w:tcW w:w="266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228,308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20,310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22,425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277,909</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3"/>
                <w:szCs w:val="23"/>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208,977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36,390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41,625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6,986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320,598</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Bradley T. Wiemann</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251,015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23,220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21,750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304,887</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Vice President</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236,985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20,310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287,670</w:t>
            </w:r>
          </w:p>
        </w:tc>
        <w:tc>
          <w:tcPr>
            <w:tcW w:w="0" w:type="dxa"/>
            <w:vAlign w:val="bottom"/>
          </w:tcPr>
          <w:p>
            <w:pPr>
              <w:spacing w:after="0"/>
              <w:rPr>
                <w:sz w:val="1"/>
                <w:szCs w:val="1"/>
                <w:color w:val="auto"/>
              </w:rPr>
            </w:pPr>
          </w:p>
        </w:tc>
      </w:tr>
      <w:tr>
        <w:trPr>
          <w:trHeight w:val="277"/>
        </w:trPr>
        <w:tc>
          <w:tcPr>
            <w:tcW w:w="2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229,560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36,390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41,625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28,072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343,409</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Matthew J. Kurtenbach</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237,015</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23,220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21,750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291,103</w:t>
            </w:r>
          </w:p>
        </w:tc>
        <w:tc>
          <w:tcPr>
            <w:tcW w:w="0" w:type="dxa"/>
            <w:vAlign w:val="bottom"/>
          </w:tcPr>
          <w:p>
            <w:pPr>
              <w:spacing w:after="0"/>
              <w:rPr>
                <w:sz w:val="1"/>
                <w:szCs w:val="1"/>
                <w:color w:val="auto"/>
              </w:rPr>
            </w:pPr>
          </w:p>
        </w:tc>
      </w:tr>
      <w:tr>
        <w:trPr>
          <w:trHeight w:val="270"/>
        </w:trPr>
        <w:tc>
          <w:tcPr>
            <w:tcW w:w="266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222,985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20,310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22,425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7,187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272,907</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3"/>
                <w:szCs w:val="23"/>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219,272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36,390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41,625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26,378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330,581</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Carla S. Gatzke</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204,462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21,285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6,774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253,319</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Vice President and</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193,154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18,618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6,636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238,949</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Secretary</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186,854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33,358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38,129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285,553</w:t>
            </w: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jc w:val="both"/>
        <w:ind w:left="660" w:hanging="328"/>
        <w:spacing w:after="0" w:line="265"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Consists of restricted stock units granted under the 2007 Plan for fiscal 2015 and under the 2015 Plan for fiscal years 2016 and 2017. In accordance with ASC 718, the amount is calculated based on the grant date fair value of the award. Refer to “Item 7. Management’s Discussion and Analysis of Financial Condition and Results of Operations — Critical Accounting Policies and Estimates” in our Annual Report on Form 10-K for the fiscal year ended April 29, 2017 for a discussion of the assumptions used in calculating the amount under ASC 718.</w:t>
      </w:r>
    </w:p>
    <w:p>
      <w:pPr>
        <w:jc w:val="both"/>
        <w:ind w:left="660" w:hanging="328"/>
        <w:spacing w:after="0" w:line="265"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Consists of stock options granted under the 2007 Plan for fiscal 2015 and under the 2015 Plan for fiscal years 2016 and 2017. The value of the option awards is calculated based on the grant date fair value of the award in accordance with ASC 718. Refer to “Item 7. Management’s Discussion and Analysis of Financial Condition and Results of Operations — Critical Accounting Policies and Estimates” in our Annual Report on Form 10-K for the fiscal year ended April 29, 2017 for a discussion of the assumptions used in calculating the amount under ASC 718.</w:t>
      </w:r>
    </w:p>
    <w:p>
      <w:pPr>
        <w:jc w:val="both"/>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amounts in this column reflect the total variable cash compensation paid to the Named Executive Officers under the non-equity-based incentive compensation plan. As explained earlier in this proxy statement, variable incentive compensation payments are based upon the achievement of certain operating margin targets for fiscal 2015, fiscal 2016 and fiscal 2017.</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matching contributions made by us under the 401(k) Plan, which is intended to qualify under Section 401(k) of the Internal Revenue Code of 1986.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9120" w:type="dxa"/>
            <w:vAlign w:val="bottom"/>
            <w:gridSpan w:val="1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0400" w:type="dxa"/>
            <w:vAlign w:val="bottom"/>
            <w:gridSpan w:val="17"/>
          </w:tcPr>
          <w:p>
            <w:pPr>
              <w:jc w:val="center"/>
              <w:ind w:right="760"/>
              <w:spacing w:after="0"/>
              <w:rPr>
                <w:sz w:val="20"/>
                <w:szCs w:val="20"/>
                <w:color w:val="auto"/>
              </w:rPr>
            </w:pPr>
            <w:r>
              <w:rPr>
                <w:rFonts w:ascii="Arial" w:cs="Arial" w:eastAsia="Arial" w:hAnsi="Arial"/>
                <w:sz w:val="18"/>
                <w:szCs w:val="18"/>
                <w:color w:val="auto"/>
                <w:w w:val="91"/>
              </w:rPr>
              <w:t>The following table sets forth information regarding grants of plan-based awards to the Named Executive Officers during fiscal 2017:</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10"/>
          </w:tcPr>
          <w:p>
            <w:pPr>
              <w:ind w:left="340"/>
              <w:spacing w:after="0"/>
              <w:rPr>
                <w:sz w:val="20"/>
                <w:szCs w:val="20"/>
                <w:color w:val="auto"/>
              </w:rPr>
            </w:pPr>
            <w:r>
              <w:rPr>
                <w:rFonts w:ascii="Arial" w:cs="Arial" w:eastAsia="Arial" w:hAnsi="Arial"/>
                <w:sz w:val="18"/>
                <w:szCs w:val="18"/>
                <w:b w:val="1"/>
                <w:bCs w:val="1"/>
                <w:color w:val="auto"/>
              </w:rPr>
              <w:t>GRANTS OF PLAN-BASED AWARDS — FISCAL 2017</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Estimated future payouts under non-equity</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All other</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stock</w:t>
            </w: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40" w:type="dxa"/>
            <w:vAlign w:val="bottom"/>
            <w:gridSpan w:val="5"/>
            <w:vMerge w:val="restart"/>
          </w:tcPr>
          <w:p>
            <w:pPr>
              <w:jc w:val="center"/>
              <w:spacing w:after="0" w:line="257" w:lineRule="exact"/>
              <w:rPr>
                <w:sz w:val="20"/>
                <w:szCs w:val="20"/>
                <w:color w:val="auto"/>
              </w:rPr>
            </w:pPr>
            <w:r>
              <w:rPr>
                <w:rFonts w:ascii="Arial" w:cs="Arial" w:eastAsia="Arial" w:hAnsi="Arial"/>
                <w:sz w:val="18"/>
                <w:szCs w:val="18"/>
                <w:color w:val="auto"/>
                <w:w w:val="88"/>
              </w:rPr>
              <w:t>incentive plan awards</w:t>
            </w:r>
            <w:r>
              <w:rPr>
                <w:rFonts w:ascii="Arial" w:cs="Arial" w:eastAsia="Arial" w:hAnsi="Arial"/>
                <w:sz w:val="25"/>
                <w:szCs w:val="25"/>
                <w:color w:val="auto"/>
                <w:w w:val="88"/>
                <w:vertAlign w:val="superscript"/>
              </w:rPr>
              <w:t>(1)</w:t>
            </w: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40" w:type="dxa"/>
            <w:vAlign w:val="bottom"/>
            <w:tcBorders>
              <w:bottom w:val="single" w:sz="8" w:color="auto"/>
            </w:tcBorders>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awards:</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6"/>
              </w:rPr>
              <w:t>All other option</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9"/>
              </w:rPr>
              <w:t>Grant date</w:t>
            </w:r>
          </w:p>
        </w:tc>
        <w:tc>
          <w:tcPr>
            <w:tcW w:w="0" w:type="dxa"/>
            <w:vAlign w:val="bottom"/>
          </w:tcPr>
          <w:p>
            <w:pPr>
              <w:spacing w:after="0"/>
              <w:rPr>
                <w:sz w:val="1"/>
                <w:szCs w:val="1"/>
                <w:color w:val="auto"/>
              </w:rPr>
            </w:pPr>
          </w:p>
        </w:tc>
      </w:tr>
      <w:tr>
        <w:trPr>
          <w:trHeight w:val="47"/>
        </w:trPr>
        <w:tc>
          <w:tcPr>
            <w:tcW w:w="1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 of</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awards: number</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7"/>
              </w:rPr>
              <w:t>Exercise or base</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fair value of</w:t>
            </w:r>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6"/>
              </w:rPr>
              <w:t>shares of</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of securities</w:t>
            </w:r>
          </w:p>
        </w:tc>
        <w:tc>
          <w:tcPr>
            <w:tcW w:w="1440" w:type="dxa"/>
            <w:vAlign w:val="bottom"/>
            <w:gridSpan w:val="2"/>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8"/>
              </w:rPr>
              <w:t>stock and</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price of option</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stock or</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underlying</w:t>
            </w:r>
          </w:p>
        </w:tc>
        <w:tc>
          <w:tcPr>
            <w:tcW w:w="1440" w:type="dxa"/>
            <w:vAlign w:val="bottom"/>
            <w:gridSpan w:val="2"/>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3"/>
              </w:rPr>
              <w:t>option</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7"/>
              </w:rPr>
              <w:t>awards($/share)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40" w:type="dxa"/>
            <w:vAlign w:val="bottom"/>
            <w:gridSpan w:val="2"/>
            <w:vMerge w:val="restart"/>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5"/>
                <w:szCs w:val="5"/>
                <w:color w:val="auto"/>
              </w:rPr>
            </w:pPr>
          </w:p>
        </w:tc>
        <w:tc>
          <w:tcPr>
            <w:tcW w:w="1120" w:type="dxa"/>
            <w:vAlign w:val="bottom"/>
            <w:vMerge w:val="restart"/>
          </w:tcPr>
          <w:p>
            <w:pPr>
              <w:jc w:val="right"/>
              <w:ind w:right="50"/>
              <w:spacing w:after="0"/>
              <w:rPr>
                <w:sz w:val="20"/>
                <w:szCs w:val="20"/>
                <w:color w:val="auto"/>
              </w:rPr>
            </w:pPr>
            <w:r>
              <w:rPr>
                <w:rFonts w:ascii="Arial" w:cs="Arial" w:eastAsia="Arial" w:hAnsi="Arial"/>
                <w:sz w:val="18"/>
                <w:szCs w:val="18"/>
                <w:color w:val="auto"/>
              </w:rPr>
              <w:t>Grant Date</w:t>
            </w:r>
          </w:p>
        </w:tc>
        <w:tc>
          <w:tcPr>
            <w:tcW w:w="100" w:type="dxa"/>
            <w:vAlign w:val="bottom"/>
            <w:vMerge w:val="restart"/>
          </w:tcPr>
          <w:p>
            <w:pPr>
              <w:spacing w:after="0"/>
              <w:rPr>
                <w:sz w:val="5"/>
                <w:szCs w:val="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w w:val="94"/>
              </w:rPr>
              <w:t>Threshold($)</w:t>
            </w:r>
          </w:p>
        </w:tc>
        <w:tc>
          <w:tcPr>
            <w:tcW w:w="100" w:type="dxa"/>
            <w:vAlign w:val="bottom"/>
            <w:vMerge w:val="restart"/>
          </w:tcPr>
          <w:p>
            <w:pPr>
              <w:spacing w:after="0"/>
              <w:rPr>
                <w:sz w:val="5"/>
                <w:szCs w:val="5"/>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color w:val="auto"/>
              </w:rPr>
              <w:t>Target($)</w:t>
            </w:r>
          </w:p>
        </w:tc>
        <w:tc>
          <w:tcPr>
            <w:tcW w:w="120" w:type="dxa"/>
            <w:vAlign w:val="bottom"/>
            <w:vMerge w:val="restart"/>
          </w:tcPr>
          <w:p>
            <w:pPr>
              <w:spacing w:after="0"/>
              <w:rPr>
                <w:sz w:val="5"/>
                <w:szCs w:val="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w w:val="95"/>
              </w:rPr>
              <w:t>Maximum($)</w:t>
            </w:r>
          </w:p>
        </w:tc>
        <w:tc>
          <w:tcPr>
            <w:tcW w:w="120" w:type="dxa"/>
            <w:vAlign w:val="bottom"/>
          </w:tcPr>
          <w:p>
            <w:pPr>
              <w:spacing w:after="0"/>
              <w:rPr>
                <w:sz w:val="5"/>
                <w:szCs w:val="5"/>
                <w:color w:val="auto"/>
              </w:rPr>
            </w:pPr>
          </w:p>
        </w:tc>
        <w:tc>
          <w:tcPr>
            <w:tcW w:w="980" w:type="dxa"/>
            <w:vAlign w:val="bottom"/>
            <w:vMerge w:val="restart"/>
          </w:tcPr>
          <w:p>
            <w:pPr>
              <w:jc w:val="center"/>
              <w:spacing w:after="0" w:line="257" w:lineRule="exact"/>
              <w:rPr>
                <w:sz w:val="20"/>
                <w:szCs w:val="20"/>
                <w:color w:val="auto"/>
              </w:rPr>
            </w:pPr>
            <w:r>
              <w:rPr>
                <w:rFonts w:ascii="Arial" w:cs="Arial" w:eastAsia="Arial" w:hAnsi="Arial"/>
                <w:sz w:val="18"/>
                <w:szCs w:val="18"/>
                <w:color w:val="auto"/>
                <w:w w:val="88"/>
              </w:rPr>
              <w:t>units (#)</w:t>
            </w:r>
            <w:r>
              <w:rPr>
                <w:rFonts w:ascii="Arial" w:cs="Arial" w:eastAsia="Arial" w:hAnsi="Arial"/>
                <w:sz w:val="25"/>
                <w:szCs w:val="25"/>
                <w:color w:val="auto"/>
                <w:w w:val="88"/>
                <w:vertAlign w:val="superscript"/>
              </w:rPr>
              <w:t>(2)</w:t>
            </w:r>
          </w:p>
        </w:tc>
        <w:tc>
          <w:tcPr>
            <w:tcW w:w="100" w:type="dxa"/>
            <w:vAlign w:val="bottom"/>
            <w:vMerge w:val="restart"/>
          </w:tcPr>
          <w:p>
            <w:pPr>
              <w:spacing w:after="0"/>
              <w:rPr>
                <w:sz w:val="5"/>
                <w:szCs w:val="5"/>
                <w:color w:val="auto"/>
              </w:rPr>
            </w:pPr>
          </w:p>
        </w:tc>
        <w:tc>
          <w:tcPr>
            <w:tcW w:w="1240" w:type="dxa"/>
            <w:vAlign w:val="bottom"/>
            <w:vMerge w:val="restart"/>
          </w:tcPr>
          <w:p>
            <w:pPr>
              <w:jc w:val="center"/>
              <w:spacing w:after="0" w:line="257" w:lineRule="exact"/>
              <w:rPr>
                <w:sz w:val="20"/>
                <w:szCs w:val="20"/>
                <w:color w:val="auto"/>
              </w:rPr>
            </w:pPr>
            <w:r>
              <w:rPr>
                <w:rFonts w:ascii="Arial" w:cs="Arial" w:eastAsia="Arial" w:hAnsi="Arial"/>
                <w:sz w:val="18"/>
                <w:szCs w:val="18"/>
                <w:color w:val="auto"/>
                <w:w w:val="86"/>
              </w:rPr>
              <w:t xml:space="preserve">options (#) </w:t>
            </w:r>
            <w:r>
              <w:rPr>
                <w:rFonts w:ascii="Arial" w:cs="Arial" w:eastAsia="Arial" w:hAnsi="Arial"/>
                <w:sz w:val="25"/>
                <w:szCs w:val="25"/>
                <w:color w:val="auto"/>
                <w:w w:val="86"/>
                <w:vertAlign w:val="superscript"/>
              </w:rPr>
              <w:t>(3)</w:t>
            </w:r>
          </w:p>
        </w:tc>
        <w:tc>
          <w:tcPr>
            <w:tcW w:w="100" w:type="dxa"/>
            <w:vAlign w:val="bottom"/>
            <w:vMerge w:val="restart"/>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020" w:type="dxa"/>
            <w:vAlign w:val="bottom"/>
            <w:vMerge w:val="restart"/>
          </w:tcPr>
          <w:p>
            <w:pPr>
              <w:jc w:val="center"/>
              <w:spacing w:after="0" w:line="257" w:lineRule="exact"/>
              <w:rPr>
                <w:sz w:val="20"/>
                <w:szCs w:val="20"/>
                <w:color w:val="auto"/>
              </w:rPr>
            </w:pPr>
            <w:r>
              <w:rPr>
                <w:rFonts w:ascii="Arial" w:cs="Arial" w:eastAsia="Arial" w:hAnsi="Arial"/>
                <w:sz w:val="18"/>
                <w:szCs w:val="18"/>
                <w:color w:val="auto"/>
                <w:w w:val="85"/>
              </w:rPr>
              <w:t xml:space="preserve">awards($) </w:t>
            </w:r>
            <w:r>
              <w:rPr>
                <w:rFonts w:ascii="Arial" w:cs="Arial" w:eastAsia="Arial" w:hAnsi="Arial"/>
                <w:sz w:val="25"/>
                <w:szCs w:val="25"/>
                <w:color w:val="auto"/>
                <w:w w:val="85"/>
                <w:vertAlign w:val="superscript"/>
              </w:rPr>
              <w:t>(5)</w:t>
            </w:r>
          </w:p>
        </w:tc>
        <w:tc>
          <w:tcPr>
            <w:tcW w:w="0" w:type="dxa"/>
            <w:vAlign w:val="bottom"/>
          </w:tcPr>
          <w:p>
            <w:pPr>
              <w:spacing w:after="0"/>
              <w:rPr>
                <w:sz w:val="1"/>
                <w:szCs w:val="1"/>
                <w:color w:val="auto"/>
              </w:rPr>
            </w:pPr>
          </w:p>
        </w:tc>
      </w:tr>
      <w:tr>
        <w:trPr>
          <w:trHeight w:val="190"/>
        </w:trPr>
        <w:tc>
          <w:tcPr>
            <w:tcW w:w="18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(4)</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09/01/2016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336,000</w:t>
            </w:r>
          </w:p>
        </w:tc>
        <w:tc>
          <w:tcPr>
            <w:tcW w:w="11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89,940</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Sheila M. Anderson</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09/01/2016</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30,021</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120,083</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144,100</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44,970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09/01/2016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34,992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139,967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167,960</w:t>
            </w:r>
          </w:p>
        </w:tc>
        <w:tc>
          <w:tcPr>
            <w:tcW w:w="11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44,970</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w w:val="96"/>
              </w:rPr>
              <w:t>Matthew J. Kurtenbach</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09/01/2016</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33,096</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132,383</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158,860</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44,970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09/01/2016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21,875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105,000</w:t>
            </w:r>
          </w:p>
        </w:tc>
        <w:tc>
          <w:tcPr>
            <w:tcW w:w="11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41,208</w:t>
            </w: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variable cash compensation under our annual non-equity-based incentive compensation plan. The amounts reflect the minimum payment level, if an award is achieved, the target payment level and the maximum payment level under the plan. For additional information concerning our annual non-equity-based compensation plan, see the section of this proxy statement entitled “Compensation Discussion and Analysis - Elements of Compensation.”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restricted stock units granted to the Named Executive Officers in fiscal 2017 under the 2015 Plan. The units vest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options granted to the Named Executive Officers in fiscal 2017 under the 2015 Plan. The options vest and become exercisable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exercise price of all options was equal to the closing price of the common stock as quoted on The NASDAQ Global Select Market on the date of grant as provided in the 2015 Plan.</w:t>
      </w:r>
    </w:p>
    <w:p>
      <w:pPr>
        <w:jc w:val="both"/>
        <w:ind w:left="660" w:hanging="328"/>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full grant date fair value determined pursuant to ASC 718 as reflected in our financial statements, based on the numbers of shares subject to the options and restricted stock unit awards granted and the closing price of the common stock as quoted on The NASDAQ Global Select Market on the date of grant, which was $9.57 per share on September 1, 2016.</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about unexercised options and restricted stock units that have not vested that were held at April 29, 2017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OUTSTANDING EQUITY AWARDS AT FISCAL YEAR-END — FISCAL 2017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8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Option Awards</w:t>
            </w:r>
            <w:r>
              <w:rPr>
                <w:rFonts w:ascii="Arial" w:cs="Arial" w:eastAsia="Arial" w:hAnsi="Arial"/>
                <w:sz w:val="25"/>
                <w:szCs w:val="25"/>
                <w:color w:val="auto"/>
                <w:w w:val="90"/>
                <w:vertAlign w:val="superscript"/>
              </w:rPr>
              <w:t>(1)</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Stock Awards</w:t>
            </w:r>
          </w:p>
        </w:tc>
      </w:tr>
      <w:tr>
        <w:trPr>
          <w:trHeight w:val="222"/>
        </w:trPr>
        <w:tc>
          <w:tcPr>
            <w:tcW w:w="1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Market Value of</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Shares or Units</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Shares or Units</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of Stock that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of Stock That</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Exercise Price</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Have Not</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Have Not</w:t>
            </w:r>
          </w:p>
        </w:tc>
      </w:tr>
      <w:tr>
        <w:trPr>
          <w:trHeight w:val="257"/>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Grant Date</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Exercisable</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Unexercisable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(2)</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(3)</w:t>
            </w:r>
          </w:p>
        </w:tc>
      </w:tr>
      <w:tr>
        <w:trPr>
          <w:trHeight w:val="237"/>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11/15/2007</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20.07</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11/14/2017</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12/03/2018</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12/02/2019</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7,155</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12/01/2020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11/30/2021</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8,640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08/22/2022</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08/22/2013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5,250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08/21/2023</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09/01/2013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10.93</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08/31/2023</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09/04/2014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13.31</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09/03/2024</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09/03/2015</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8.51</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09/02/2025</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09/01/2016</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08/31/2026</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7"/>
        </w:trPr>
        <w:tc>
          <w:tcPr>
            <w:tcW w:w="18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16,232</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153,555</w:t>
            </w:r>
          </w:p>
        </w:tc>
      </w:tr>
      <w:tr>
        <w:trPr>
          <w:trHeight w:val="20"/>
        </w:trPr>
        <w:tc>
          <w:tcPr>
            <w:tcW w:w="18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08" w:right="2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69"/>
        </w:trPr>
        <w:tc>
          <w:tcPr>
            <w:tcW w:w="12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Option Awards</w:t>
            </w:r>
            <w:r>
              <w:rPr>
                <w:rFonts w:ascii="Arial" w:cs="Arial" w:eastAsia="Arial" w:hAnsi="Arial"/>
                <w:sz w:val="25"/>
                <w:szCs w:val="25"/>
                <w:color w:val="auto"/>
                <w:w w:val="90"/>
                <w:vertAlign w:val="superscript"/>
              </w:rPr>
              <w:t>(1)</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Stock Awards</w:t>
            </w:r>
          </w:p>
        </w:tc>
      </w:tr>
      <w:tr>
        <w:trPr>
          <w:trHeight w:val="222"/>
        </w:trPr>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Market Value of</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Shares or Units</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Shares or Units</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Option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of Stock that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of Stock That</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Exercise Price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Have Not</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Have Not</w:t>
            </w:r>
          </w:p>
        </w:tc>
      </w:tr>
      <w:tr>
        <w:trPr>
          <w:trHeight w:val="257"/>
        </w:trPr>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Grant Date</w:t>
            </w: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Exercisable</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Unexercisable</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(2)</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(3)</w:t>
            </w:r>
          </w:p>
        </w:tc>
      </w:tr>
      <w:tr>
        <w:trPr>
          <w:trHeight w:val="237"/>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Sheila M. Anderson</w:t>
            </w:r>
          </w:p>
        </w:tc>
        <w:tc>
          <w:tcPr>
            <w:tcW w:w="1240" w:type="dxa"/>
            <w:vAlign w:val="bottom"/>
          </w:tcPr>
          <w:p>
            <w:pPr>
              <w:ind w:left="220"/>
              <w:spacing w:after="0"/>
              <w:rPr>
                <w:sz w:val="20"/>
                <w:szCs w:val="20"/>
                <w:color w:val="auto"/>
              </w:rPr>
            </w:pPr>
            <w:r>
              <w:rPr>
                <w:rFonts w:ascii="Arial" w:cs="Arial" w:eastAsia="Arial" w:hAnsi="Arial"/>
                <w:sz w:val="18"/>
                <w:szCs w:val="18"/>
                <w:color w:val="auto"/>
              </w:rPr>
              <w:t>11/15/2007</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11/14/2017</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12/03/2018</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12/02/2010</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12/01/2011</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08/23/2012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3,200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800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09/12/2012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4,800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1,200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08/22/2013</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4,122</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2,748</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08/21/2023</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09/04/2014</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3,000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4,500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09/03/2024</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09/03/2015</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1,500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6,000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09/02/2025</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09/01/2016</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7,500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08/31/2026</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8,700</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82,302</w:t>
            </w:r>
          </w:p>
        </w:tc>
      </w:tr>
      <w:tr>
        <w:trPr>
          <w:trHeight w:val="27"/>
        </w:trPr>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11/15/2007</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11/14/2017</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12/03/2018</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7,155</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8,640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08/22/2013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08/21/2023</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09/04/2014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09/03/2024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09/03/2015</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09/02/2025</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09/01/2016</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08/31/2026</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8,832</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83,551</w:t>
            </w:r>
          </w:p>
        </w:tc>
      </w:tr>
      <w:tr>
        <w:trPr>
          <w:trHeight w:val="237"/>
        </w:trPr>
        <w:tc>
          <w:tcPr>
            <w:tcW w:w="1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96"/>
              </w:rPr>
              <w:t>Matthew J. Kurtenbach</w:t>
            </w:r>
          </w:p>
        </w:tc>
        <w:tc>
          <w:tcPr>
            <w:tcW w:w="12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11/15/2007</w:t>
            </w:r>
          </w:p>
        </w:tc>
        <w:tc>
          <w:tcPr>
            <w:tcW w:w="14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20.07</w:t>
            </w: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11/14/2017</w:t>
            </w: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12/03/2018</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12/02/2010</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7,155</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12/01/2011</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08/23/2012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8,400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2,100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08/22/2013</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4,500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3,000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08/21/2023</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09/04/2014</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3,000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4,500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09/03/2024</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09/03/2015</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1,500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6,000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09/02/2025</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09/01/2016</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7,500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08/31/2026</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8,820</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83,437</w:t>
            </w:r>
          </w:p>
        </w:tc>
      </w:tr>
      <w:tr>
        <w:trPr>
          <w:trHeight w:val="27"/>
        </w:trPr>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11/15/2007</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8,500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11/14/2017</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12/03/2018</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6,455</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08/22/2013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4,122</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2,748</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08/21/2023</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09/04/2014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2,748</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4,122</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09/03/2024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09/03/2015</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1,374</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5,496</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09/02/2025</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09/01/2016</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6,870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08/31/2026</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7"/>
        </w:trPr>
        <w:tc>
          <w:tcPr>
            <w:tcW w:w="1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8,120</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76,815</w:t>
            </w:r>
          </w:p>
        </w:tc>
      </w:tr>
      <w:tr>
        <w:trPr>
          <w:trHeight w:val="20"/>
        </w:trPr>
        <w:tc>
          <w:tcPr>
            <w:tcW w:w="1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603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36"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options vest in equal installments over five years beginning one year after the grant date, but only if the Named Executive Officer is then an employee of the Company, and expire after 10 years.</w:t>
      </w:r>
    </w:p>
    <w:p>
      <w:pPr>
        <w:sectPr>
          <w:pgSz w:w="11900" w:h="16838" w:orient="portrait"/>
          <w:cols w:equalWidth="0" w:num="1">
            <w:col w:w="11420"/>
          </w:cols>
          <w:pgMar w:left="240" w:top="108" w:right="239" w:bottom="568"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08" w:right="239" w:bottom="568"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Restricted stock units vest as to 20 percent of the shares one year after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Determined by multiplying the Company's $9.46 per share closing stock price on April 29, 2017, which was the last business day of fiscal year 2017, by the number of shares subject to the award.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grant date of the restricted stock units and the number of shares subject to the restricted stock units are as follows:</w:t>
      </w:r>
    </w:p>
    <w:p>
      <w:pPr>
        <w:spacing w:after="0" w:line="355" w:lineRule="exact"/>
        <w:rPr>
          <w:sz w:val="20"/>
          <w:szCs w:val="20"/>
          <w:color w:val="auto"/>
        </w:rPr>
      </w:pPr>
    </w:p>
    <w:tbl>
      <w:tblPr>
        <w:tblLayout w:type="fixed"/>
        <w:tblInd w:w="670" w:type="dxa"/>
        <w:tblCellMar>
          <w:top w:w="0" w:type="dxa"/>
          <w:left w:w="0" w:type="dxa"/>
          <w:bottom w:w="0" w:type="dxa"/>
          <w:right w:w="0" w:type="dxa"/>
        </w:tblCellMar>
      </w:tblPr>
      <w:tr>
        <w:trPr>
          <w:trHeight w:val="242"/>
        </w:trPr>
        <w:tc>
          <w:tcPr>
            <w:tcW w:w="2000" w:type="dxa"/>
            <w:vAlign w:val="bottom"/>
            <w:tcBorders>
              <w:top w:val="single" w:sz="8" w:color="auto"/>
              <w:left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120" w:type="dxa"/>
            <w:vAlign w:val="bottom"/>
            <w:tcBorders>
              <w:top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19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Shares</w:t>
            </w:r>
          </w:p>
        </w:tc>
        <w:tc>
          <w:tcPr>
            <w:tcW w:w="20" w:type="dxa"/>
            <w:vAlign w:val="bottom"/>
            <w:tcBorders>
              <w:top w:val="single" w:sz="8" w:color="auto"/>
            </w:tcBorders>
            <w:shd w:val="clear" w:color="auto" w:fill="000000"/>
          </w:tcPr>
          <w:p>
            <w:pPr>
              <w:spacing w:after="0"/>
              <w:rPr>
                <w:sz w:val="21"/>
                <w:szCs w:val="21"/>
                <w:color w:val="auto"/>
              </w:rPr>
            </w:pPr>
          </w:p>
        </w:tc>
      </w:tr>
      <w:tr>
        <w:trPr>
          <w:trHeight w:val="230"/>
        </w:trPr>
        <w:tc>
          <w:tcPr>
            <w:tcW w:w="2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Officer</w:t>
            </w:r>
          </w:p>
        </w:tc>
        <w:tc>
          <w:tcPr>
            <w:tcW w:w="1100" w:type="dxa"/>
            <w:vAlign w:val="bottom"/>
          </w:tcPr>
          <w:p>
            <w:pPr>
              <w:ind w:left="160"/>
              <w:spacing w:after="0"/>
              <w:rPr>
                <w:sz w:val="20"/>
                <w:szCs w:val="20"/>
                <w:color w:val="auto"/>
              </w:rPr>
            </w:pPr>
            <w:r>
              <w:rPr>
                <w:rFonts w:ascii="Arial" w:cs="Arial" w:eastAsia="Arial" w:hAnsi="Arial"/>
                <w:sz w:val="18"/>
                <w:szCs w:val="18"/>
                <w:color w:val="auto"/>
              </w:rPr>
              <w:t>Grant Date</w:t>
            </w:r>
          </w:p>
        </w:tc>
        <w:tc>
          <w:tcPr>
            <w:tcW w:w="11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Granted</w:t>
            </w:r>
          </w:p>
        </w:tc>
        <w:tc>
          <w:tcPr>
            <w:tcW w:w="1980" w:type="dxa"/>
            <w:vAlign w:val="bottom"/>
          </w:tcPr>
          <w:p>
            <w:pPr>
              <w:ind w:left="20"/>
              <w:spacing w:after="0"/>
              <w:rPr>
                <w:sz w:val="20"/>
                <w:szCs w:val="20"/>
                <w:color w:val="auto"/>
              </w:rPr>
            </w:pPr>
            <w:r>
              <w:rPr>
                <w:rFonts w:ascii="Arial" w:cs="Arial" w:eastAsia="Arial" w:hAnsi="Arial"/>
                <w:sz w:val="18"/>
                <w:szCs w:val="18"/>
                <w:color w:val="auto"/>
              </w:rPr>
              <w:t>Officer</w:t>
            </w:r>
          </w:p>
        </w:tc>
        <w:tc>
          <w:tcPr>
            <w:tcW w:w="1080" w:type="dxa"/>
            <w:vAlign w:val="bottom"/>
          </w:tcPr>
          <w:p>
            <w:pPr>
              <w:ind w:left="140"/>
              <w:spacing w:after="0"/>
              <w:rPr>
                <w:sz w:val="20"/>
                <w:szCs w:val="20"/>
                <w:color w:val="auto"/>
              </w:rPr>
            </w:pPr>
            <w:r>
              <w:rPr>
                <w:rFonts w:ascii="Arial" w:cs="Arial" w:eastAsia="Arial" w:hAnsi="Arial"/>
                <w:sz w:val="18"/>
                <w:szCs w:val="18"/>
                <w:color w:val="auto"/>
              </w:rPr>
              <w:t>Grant Date</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Granted</w:t>
            </w:r>
          </w:p>
        </w:tc>
        <w:tc>
          <w:tcPr>
            <w:tcW w:w="20" w:type="dxa"/>
            <w:vAlign w:val="bottom"/>
            <w:shd w:val="clear" w:color="auto" w:fill="000000"/>
          </w:tcPr>
          <w:p>
            <w:pPr>
              <w:spacing w:after="0"/>
              <w:rPr>
                <w:sz w:val="20"/>
                <w:szCs w:val="20"/>
                <w:color w:val="auto"/>
              </w:rPr>
            </w:pPr>
          </w:p>
        </w:tc>
      </w:tr>
      <w:tr>
        <w:trPr>
          <w:trHeight w:val="27"/>
        </w:trPr>
        <w:tc>
          <w:tcPr>
            <w:tcW w:w="200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20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12/03/2009</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Bradley T. Wiemann</w:t>
            </w: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12/03/2009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 w:type="dxa"/>
            <w:vAlign w:val="bottom"/>
            <w:shd w:val="clear" w:color="auto" w:fill="000000"/>
          </w:tcPr>
          <w:p>
            <w:pPr>
              <w:spacing w:after="0"/>
              <w:rPr>
                <w:sz w:val="20"/>
                <w:szCs w:val="20"/>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12/02/2010</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12/02/2010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12/01/2011</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12/01/2011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08/23/2012</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08/23/2012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08/22/2013</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08/22/2013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09/04/2014</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09/04/2014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09/03/2015</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09/03/2015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000000"/>
          </w:tcPr>
          <w:p>
            <w:pPr>
              <w:spacing w:after="0"/>
              <w:rPr>
                <w:sz w:val="23"/>
                <w:szCs w:val="23"/>
                <w:color w:val="auto"/>
              </w:rPr>
            </w:pPr>
          </w:p>
        </w:tc>
      </w:tr>
      <w:tr>
        <w:trPr>
          <w:trHeight w:val="302"/>
        </w:trPr>
        <w:tc>
          <w:tcPr>
            <w:tcW w:w="2000" w:type="dxa"/>
            <w:vAlign w:val="bottom"/>
            <w:tcBorders>
              <w:left w:val="single" w:sz="8" w:color="auto"/>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09/01/2016</w:t>
            </w:r>
          </w:p>
        </w:tc>
        <w:tc>
          <w:tcPr>
            <w:tcW w:w="11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9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09/01/2016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Borders>
              <w:bottom w:val="single" w:sz="8" w:color="auto"/>
            </w:tcBorders>
            <w:shd w:val="clear" w:color="auto" w:fill="000000"/>
          </w:tcPr>
          <w:p>
            <w:pPr>
              <w:spacing w:after="0"/>
              <w:rPr>
                <w:sz w:val="24"/>
                <w:szCs w:val="24"/>
                <w:color w:val="auto"/>
              </w:rPr>
            </w:pPr>
          </w:p>
        </w:tc>
      </w:tr>
      <w:tr>
        <w:trPr>
          <w:trHeight w:val="237"/>
        </w:trPr>
        <w:tc>
          <w:tcPr>
            <w:tcW w:w="20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Sheila M. Anderson</w:t>
            </w:r>
          </w:p>
        </w:tc>
        <w:tc>
          <w:tcPr>
            <w:tcW w:w="11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12/03/2009</w:t>
            </w:r>
          </w:p>
        </w:tc>
        <w:tc>
          <w:tcPr>
            <w:tcW w:w="11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Matthew J. Kurtenbach</w:t>
            </w:r>
          </w:p>
        </w:tc>
        <w:tc>
          <w:tcPr>
            <w:tcW w:w="1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12/03/2009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20" w:type="dxa"/>
            <w:vAlign w:val="bottom"/>
            <w:tcBorders>
              <w:top w:val="single" w:sz="8" w:color="auto"/>
            </w:tcBorders>
            <w:shd w:val="clear" w:color="auto" w:fill="000000"/>
          </w:tcPr>
          <w:p>
            <w:pPr>
              <w:spacing w:after="0"/>
              <w:rPr>
                <w:sz w:val="20"/>
                <w:szCs w:val="20"/>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12/02/2010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12/02/2010</w:t>
            </w:r>
          </w:p>
        </w:tc>
        <w:tc>
          <w:tcPr>
            <w:tcW w:w="1080" w:type="dxa"/>
            <w:vAlign w:val="bottom"/>
          </w:tcPr>
          <w:p>
            <w:pPr>
              <w:jc w:val="right"/>
              <w:spacing w:after="0"/>
              <w:rPr>
                <w:sz w:val="20"/>
                <w:szCs w:val="20"/>
                <w:color w:val="auto"/>
              </w:rPr>
            </w:pPr>
            <w:r>
              <w:rPr>
                <w:rFonts w:ascii="Arial" w:cs="Arial" w:eastAsia="Arial" w:hAnsi="Arial"/>
                <w:sz w:val="18"/>
                <w:szCs w:val="18"/>
                <w:color w:val="auto"/>
              </w:rPr>
              <w:t>1,575</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12/01/2011</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12/01/2011</w:t>
            </w:r>
          </w:p>
        </w:tc>
        <w:tc>
          <w:tcPr>
            <w:tcW w:w="1080" w:type="dxa"/>
            <w:vAlign w:val="bottom"/>
          </w:tcPr>
          <w:p>
            <w:pPr>
              <w:jc w:val="right"/>
              <w:spacing w:after="0"/>
              <w:rPr>
                <w:sz w:val="20"/>
                <w:szCs w:val="20"/>
                <w:color w:val="auto"/>
              </w:rPr>
            </w:pPr>
            <w:r>
              <w:rPr>
                <w:rFonts w:ascii="Arial" w:cs="Arial" w:eastAsia="Arial" w:hAnsi="Arial"/>
                <w:sz w:val="18"/>
                <w:szCs w:val="18"/>
                <w:color w:val="auto"/>
              </w:rPr>
              <w:t>2,100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08/23/2012</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08/23/2012</w:t>
            </w:r>
          </w:p>
        </w:tc>
        <w:tc>
          <w:tcPr>
            <w:tcW w:w="1080" w:type="dxa"/>
            <w:vAlign w:val="bottom"/>
          </w:tcPr>
          <w:p>
            <w:pPr>
              <w:jc w:val="right"/>
              <w:spacing w:after="0"/>
              <w:rPr>
                <w:sz w:val="20"/>
                <w:szCs w:val="20"/>
                <w:color w:val="auto"/>
              </w:rPr>
            </w:pPr>
            <w:r>
              <w:rPr>
                <w:rFonts w:ascii="Arial" w:cs="Arial" w:eastAsia="Arial" w:hAnsi="Arial"/>
                <w:sz w:val="18"/>
                <w:szCs w:val="18"/>
                <w:color w:val="auto"/>
              </w:rPr>
              <w:t>2,100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09/12/2012</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08/22/2013</w:t>
            </w:r>
          </w:p>
        </w:tc>
        <w:tc>
          <w:tcPr>
            <w:tcW w:w="108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08/22/2013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09/04/2014</w:t>
            </w:r>
          </w:p>
        </w:tc>
        <w:tc>
          <w:tcPr>
            <w:tcW w:w="108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09/04/2014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09/05/2015</w:t>
            </w:r>
          </w:p>
        </w:tc>
        <w:tc>
          <w:tcPr>
            <w:tcW w:w="108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09/03/2015</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09/01/2016</w:t>
            </w:r>
          </w:p>
        </w:tc>
        <w:tc>
          <w:tcPr>
            <w:tcW w:w="108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09/01/2016</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9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r>
      <w:tr>
        <w:trPr>
          <w:trHeight w:val="27"/>
        </w:trPr>
        <w:tc>
          <w:tcPr>
            <w:tcW w:w="200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20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12/03/2009</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9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12/02/2010</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12/01/2011</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08/23/2012</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08/22/2013</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09/04/2014</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09/03/2015</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7"/>
        </w:trPr>
        <w:tc>
          <w:tcPr>
            <w:tcW w:w="2000" w:type="dxa"/>
            <w:vAlign w:val="bottom"/>
            <w:tcBorders>
              <w:left w:val="single" w:sz="8" w:color="auto"/>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09/01/2016</w:t>
            </w:r>
          </w:p>
        </w:tc>
        <w:tc>
          <w:tcPr>
            <w:tcW w:w="11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9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0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the exercise of stock options by and the vesting of restricted stock awards during fiscal 2017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7060" w:type="dxa"/>
            <w:vAlign w:val="bottom"/>
            <w:gridSpan w:val="8"/>
          </w:tcPr>
          <w:p>
            <w:pPr>
              <w:ind w:left="600"/>
              <w:spacing w:after="0"/>
              <w:rPr>
                <w:sz w:val="20"/>
                <w:szCs w:val="20"/>
                <w:color w:val="auto"/>
              </w:rPr>
            </w:pPr>
            <w:r>
              <w:rPr>
                <w:rFonts w:ascii="Arial" w:cs="Arial" w:eastAsia="Arial" w:hAnsi="Arial"/>
                <w:sz w:val="18"/>
                <w:szCs w:val="18"/>
                <w:b w:val="1"/>
                <w:bCs w:val="1"/>
                <w:color w:val="auto"/>
              </w:rPr>
              <w:t>OPTION EXERCISES AND STOCK VESTED – FISCAL 2017</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gridSpan w:val="4"/>
          </w:tcPr>
          <w:p>
            <w:pPr>
              <w:ind w:left="1320"/>
              <w:spacing w:after="0"/>
              <w:rPr>
                <w:sz w:val="20"/>
                <w:szCs w:val="20"/>
                <w:color w:val="auto"/>
              </w:rPr>
            </w:pPr>
            <w:r>
              <w:rPr>
                <w:rFonts w:ascii="Arial" w:cs="Arial" w:eastAsia="Arial" w:hAnsi="Arial"/>
                <w:sz w:val="18"/>
                <w:szCs w:val="18"/>
                <w:color w:val="auto"/>
              </w:rPr>
              <w:t>Option Awards</w:t>
            </w:r>
          </w:p>
        </w:tc>
        <w:tc>
          <w:tcPr>
            <w:tcW w:w="3620" w:type="dxa"/>
            <w:vAlign w:val="bottom"/>
            <w:gridSpan w:val="3"/>
          </w:tcPr>
          <w:p>
            <w:pPr>
              <w:jc w:val="right"/>
              <w:ind w:right="1210"/>
              <w:spacing w:after="0"/>
              <w:rPr>
                <w:sz w:val="20"/>
                <w:szCs w:val="20"/>
                <w:color w:val="auto"/>
              </w:rPr>
            </w:pPr>
            <w:r>
              <w:rPr>
                <w:rFonts w:ascii="Arial" w:cs="Arial" w:eastAsia="Arial" w:hAnsi="Arial"/>
                <w:sz w:val="18"/>
                <w:szCs w:val="18"/>
                <w:color w:val="auto"/>
              </w:rPr>
              <w:t>Stock Awards</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Number of Shares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Number of Shares</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60" w:type="dxa"/>
            <w:vAlign w:val="bottom"/>
            <w:vMerge w:val="restart"/>
          </w:tcPr>
          <w:p>
            <w:pPr>
              <w:ind w:left="1620"/>
              <w:spacing w:after="0"/>
              <w:rPr>
                <w:sz w:val="20"/>
                <w:szCs w:val="20"/>
                <w:color w:val="auto"/>
              </w:rPr>
            </w:pPr>
            <w:r>
              <w:rPr>
                <w:rFonts w:ascii="Arial" w:cs="Arial" w:eastAsia="Arial" w:hAnsi="Arial"/>
                <w:sz w:val="18"/>
                <w:szCs w:val="18"/>
                <w:color w:val="auto"/>
              </w:rPr>
              <w:t>Name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Acquired on Exercise</w:t>
            </w: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Value Realized on</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Acquired on</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Value Realized on</w:t>
            </w:r>
          </w:p>
        </w:tc>
        <w:tc>
          <w:tcPr>
            <w:tcW w:w="0" w:type="dxa"/>
            <w:vAlign w:val="bottom"/>
          </w:tcPr>
          <w:p>
            <w:pPr>
              <w:spacing w:after="0"/>
              <w:rPr>
                <w:sz w:val="1"/>
                <w:szCs w:val="1"/>
                <w:color w:val="auto"/>
              </w:rPr>
            </w:pPr>
          </w:p>
        </w:tc>
      </w:tr>
      <w:tr>
        <w:trPr>
          <w:trHeight w:val="257"/>
        </w:trPr>
        <w:tc>
          <w:tcPr>
            <w:tcW w:w="266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24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Exercise($)</w:t>
            </w:r>
            <w:r>
              <w:rPr>
                <w:rFonts w:ascii="Arial" w:cs="Arial" w:eastAsia="Arial" w:hAnsi="Arial"/>
                <w:sz w:val="25"/>
                <w:szCs w:val="25"/>
                <w:color w:val="auto"/>
                <w:vertAlign w:val="superscript"/>
              </w:rPr>
              <w:t>(1)</w:t>
            </w:r>
          </w:p>
        </w:tc>
        <w:tc>
          <w:tcPr>
            <w:tcW w:w="2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Vesting(#)</w:t>
            </w:r>
          </w:p>
        </w:tc>
        <w:tc>
          <w:tcPr>
            <w:tcW w:w="2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310"/>
              <w:spacing w:after="0" w:line="257" w:lineRule="exact"/>
              <w:rPr>
                <w:sz w:val="20"/>
                <w:szCs w:val="20"/>
                <w:color w:val="auto"/>
              </w:rPr>
            </w:pPr>
            <w:r>
              <w:rPr>
                <w:rFonts w:ascii="Arial" w:cs="Arial" w:eastAsia="Arial" w:hAnsi="Arial"/>
                <w:sz w:val="18"/>
                <w:szCs w:val="18"/>
                <w:color w:val="auto"/>
              </w:rPr>
              <w:t>Vesting($)</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3,952</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33,647</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2,310</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19,479</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2,652</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22,883</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Matthew J. Kurtenbach</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2,640</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22,783</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2,470</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21,332</w:t>
            </w:r>
          </w:p>
        </w:tc>
        <w:tc>
          <w:tcPr>
            <w:tcW w:w="0" w:type="dxa"/>
            <w:vAlign w:val="bottom"/>
          </w:tcPr>
          <w:p>
            <w:pPr>
              <w:spacing w:after="0"/>
              <w:rPr>
                <w:sz w:val="1"/>
                <w:szCs w:val="1"/>
                <w:color w:val="auto"/>
              </w:rPr>
            </w:pPr>
          </w:p>
        </w:tc>
      </w:tr>
      <w:tr>
        <w:trPr>
          <w:trHeight w:val="20"/>
        </w:trPr>
        <w:tc>
          <w:tcPr>
            <w:tcW w:w="26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660" w:right="20" w:hanging="328"/>
        <w:spacing w:after="0" w:line="25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the difference between the closing price of our common stock on the date of exercise and the per share exercise price of the option multiplied by the number of shares acquired upon exercise.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the number of shares vested multiplied by the market value of the stock as of the vesting date.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as of April 29, 2017 with respect to our equity compensation plans: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3"/>
              </w:rPr>
              <w:t>Remaining Available for</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Number of Securities to be</w:t>
            </w: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Weighted-Average</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Future Issuance Under Equity</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Issued Upon Exercise of</w:t>
            </w: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Exercise Price of</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Compensation Plans</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Outstanding Options,</w:t>
            </w:r>
          </w:p>
        </w:tc>
        <w:tc>
          <w:tcPr>
            <w:tcW w:w="192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Outstanding Options,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(Excluding Securities</w:t>
            </w:r>
          </w:p>
        </w:tc>
      </w:tr>
      <w:tr>
        <w:trPr>
          <w:trHeight w:val="230"/>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Plan category</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Warrants and Rights</w:t>
            </w:r>
          </w:p>
        </w:tc>
        <w:tc>
          <w:tcPr>
            <w:tcW w:w="1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Warrants and Rights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Reflected in Column (a))</w:t>
            </w:r>
          </w:p>
        </w:tc>
      </w:tr>
      <w:tr>
        <w:trPr>
          <w:trHeight w:val="27"/>
        </w:trPr>
        <w:tc>
          <w:tcPr>
            <w:tcW w:w="3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w:t>
            </w: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29"/>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37"/>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holders:</w:t>
            </w:r>
          </w:p>
        </w:tc>
        <w:tc>
          <w:tcPr>
            <w:tcW w:w="2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spacing w:after="0"/>
              <w:rPr>
                <w:sz w:val="20"/>
                <w:szCs w:val="20"/>
                <w:color w:val="auto"/>
              </w:rPr>
            </w:pPr>
          </w:p>
        </w:tc>
      </w:tr>
      <w:tr>
        <w:trPr>
          <w:trHeight w:val="243"/>
        </w:trPr>
        <w:tc>
          <w:tcPr>
            <w:tcW w:w="4160" w:type="dxa"/>
            <w:vAlign w:val="bottom"/>
            <w:gridSpan w:val="2"/>
          </w:tcPr>
          <w:p>
            <w:pPr>
              <w:ind w:left="280"/>
              <w:spacing w:after="0"/>
              <w:rPr>
                <w:sz w:val="20"/>
                <w:szCs w:val="20"/>
                <w:color w:val="auto"/>
              </w:rPr>
            </w:pPr>
            <w:r>
              <w:rPr>
                <w:rFonts w:ascii="Arial" w:cs="Arial" w:eastAsia="Arial" w:hAnsi="Arial"/>
                <w:sz w:val="18"/>
                <w:szCs w:val="18"/>
                <w:color w:val="auto"/>
              </w:rPr>
              <w:t>2007 Stock Incentive Plan</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2,009,909</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11.65</w:t>
            </w:r>
          </w:p>
        </w:tc>
        <w:tc>
          <w:tcPr>
            <w:tcW w:w="20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2015 Stock Incentive Plan</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471,148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c>
          <w:tcPr>
            <w:tcW w:w="2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2,215,235</w:t>
            </w:r>
          </w:p>
        </w:tc>
      </w:tr>
      <w:tr>
        <w:trPr>
          <w:trHeight w:val="270"/>
        </w:trPr>
        <w:tc>
          <w:tcPr>
            <w:tcW w:w="416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Employee Stock Purchase Plan</w:t>
            </w:r>
            <w:r>
              <w:rPr>
                <w:rFonts w:ascii="Arial" w:cs="Arial" w:eastAsia="Arial" w:hAnsi="Arial"/>
                <w:sz w:val="25"/>
                <w:szCs w:val="25"/>
                <w:color w:val="auto"/>
                <w:vertAlign w:val="superscript"/>
              </w:rPr>
              <w:t>(1)</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Not Applicable</w:t>
            </w:r>
          </w:p>
        </w:tc>
        <w:tc>
          <w:tcPr>
            <w:tcW w:w="120" w:type="dxa"/>
            <w:vAlign w:val="bottom"/>
          </w:tcPr>
          <w:p>
            <w:pPr>
              <w:spacing w:after="0"/>
              <w:rPr>
                <w:sz w:val="23"/>
                <w:szCs w:val="23"/>
                <w:color w:val="auto"/>
              </w:rPr>
            </w:pPr>
          </w:p>
        </w:tc>
        <w:tc>
          <w:tcPr>
            <w:tcW w:w="1800" w:type="dxa"/>
            <w:vAlign w:val="bottom"/>
            <w:gridSpan w:val="2"/>
          </w:tcPr>
          <w:p>
            <w:pPr>
              <w:ind w:left="400"/>
              <w:spacing w:after="0"/>
              <w:rPr>
                <w:sz w:val="20"/>
                <w:szCs w:val="20"/>
                <w:color w:val="auto"/>
              </w:rPr>
            </w:pPr>
            <w:r>
              <w:rPr>
                <w:rFonts w:ascii="Arial" w:cs="Arial" w:eastAsia="Arial" w:hAnsi="Arial"/>
                <w:sz w:val="18"/>
                <w:szCs w:val="18"/>
                <w:color w:val="auto"/>
              </w:rPr>
              <w:t>Not Applicable</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395,906</w:t>
            </w:r>
          </w:p>
        </w:tc>
      </w:tr>
      <w:tr>
        <w:trPr>
          <w:trHeight w:val="277"/>
        </w:trPr>
        <w:tc>
          <w:tcPr>
            <w:tcW w:w="4160" w:type="dxa"/>
            <w:vAlign w:val="bottom"/>
            <w:tcBorders>
              <w:top w:val="single" w:sz="8" w:color="CCEEFF"/>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2,481,057</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2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2,611,141</w:t>
            </w:r>
          </w:p>
        </w:tc>
      </w:tr>
      <w:tr>
        <w:trPr>
          <w:trHeight w:val="20"/>
        </w:trPr>
        <w:tc>
          <w:tcPr>
            <w:tcW w:w="39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8"/>
          <w:szCs w:val="18"/>
          <w:color w:val="auto"/>
        </w:rPr>
        <w:t>(1)  Under the ESPP, shares are acquired at the time of investment by the participating employees at the applicable discount.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of Employment or Change in Control</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reflects the compensation that would be paid to each of our Named Executive Officers in the event of termination of such executive’s employment. The amounts shown assume that such termination was effective as of April 29, 2017, include estimated amounts earned through such date, and are estimates of the amounts which would be paid out to the executives upon their termination. The actual amounts to be paid can be determined only at the time of such executive’s separation from the Company. In addition, there may be re-negotiation of the payments upon any termination of employment or change in control.</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2007 Plan, and the 2015 Plan all options and restricted stock units immediately vest upon a change in control, as that term is defined in the 2007 Plan, and the 2015 Plan. Upon a termination of employment for any reason, and consistent with our employment policies which apply to all employees, we are obligated to pay for accrued and unused vacation time, which would then be payable in a lump sum.</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Termination</w:t>
            </w: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due to</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without cause</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for cause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change in</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or for good</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or for good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340" w:type="dxa"/>
            <w:vAlign w:val="bottom"/>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2900" w:type="dxa"/>
            <w:vAlign w:val="bottom"/>
          </w:tcPr>
          <w:p>
            <w:pPr>
              <w:ind w:left="1400"/>
              <w:spacing w:after="0"/>
              <w:rPr>
                <w:sz w:val="20"/>
                <w:szCs w:val="20"/>
                <w:color w:val="auto"/>
              </w:rPr>
            </w:pPr>
            <w:r>
              <w:rPr>
                <w:rFonts w:ascii="Arial" w:cs="Arial" w:eastAsia="Arial" w:hAnsi="Arial"/>
                <w:sz w:val="18"/>
                <w:szCs w:val="18"/>
                <w:color w:val="auto"/>
              </w:rPr>
              <w:t>Benefit</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control</w:t>
            </w: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Death</w:t>
            </w:r>
          </w:p>
        </w:tc>
      </w:tr>
      <w:tr>
        <w:trPr>
          <w:trHeight w:val="27"/>
        </w:trPr>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0" w:type="dxa"/>
            <w:vAlign w:val="bottom"/>
            <w:shd w:val="clear" w:color="auto" w:fill="CCEEFF"/>
          </w:tcPr>
          <w:p>
            <w:pPr>
              <w:spacing w:after="0"/>
              <w:rPr>
                <w:sz w:val="22"/>
                <w:szCs w:val="22"/>
                <w:color w:val="auto"/>
              </w:rPr>
            </w:pPr>
          </w:p>
        </w:tc>
        <w:tc>
          <w:tcPr>
            <w:tcW w:w="29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Restricted stock vesting acceleration</w:t>
            </w: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153,555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2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43,010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43,010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43,010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43,010</w:t>
            </w:r>
          </w:p>
        </w:tc>
      </w:tr>
      <w:tr>
        <w:trPr>
          <w:trHeight w:val="244"/>
        </w:trPr>
        <w:tc>
          <w:tcPr>
            <w:tcW w:w="2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9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207,965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43,010</w:t>
            </w:r>
          </w:p>
        </w:tc>
      </w:tr>
      <w:tr>
        <w:trPr>
          <w:trHeight w:val="566"/>
        </w:trPr>
        <w:tc>
          <w:tcPr>
            <w:tcW w:w="234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120" w:type="dxa"/>
            <w:vAlign w:val="bottom"/>
          </w:tcPr>
          <w:p>
            <w:pPr>
              <w:spacing w:after="0"/>
              <w:rPr>
                <w:sz w:val="24"/>
                <w:szCs w:val="24"/>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5,700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w w:val="97"/>
              </w:rPr>
              <w:t>Restricted stock vesting acceleration</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82,302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12,227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12,227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12,227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12,227</w:t>
            </w: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100,229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12,227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12,227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12,227</w:t>
            </w:r>
          </w:p>
        </w:tc>
      </w:tr>
      <w:tr>
        <w:trPr>
          <w:trHeight w:val="702"/>
        </w:trPr>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27"/>
        </w:trPr>
        <w:tc>
          <w:tcPr>
            <w:tcW w:w="1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Termination</w:t>
            </w: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14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due to</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without cause</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for cause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change in</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or for good</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or for good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3320" w:type="dxa"/>
            <w:vAlign w:val="bottom"/>
          </w:tcPr>
          <w:p>
            <w:pPr>
              <w:ind w:left="1400"/>
              <w:spacing w:after="0"/>
              <w:rPr>
                <w:sz w:val="20"/>
                <w:szCs w:val="20"/>
                <w:color w:val="auto"/>
              </w:rPr>
            </w:pPr>
            <w:r>
              <w:rPr>
                <w:rFonts w:ascii="Arial" w:cs="Arial" w:eastAsia="Arial" w:hAnsi="Arial"/>
                <w:sz w:val="18"/>
                <w:szCs w:val="18"/>
                <w:color w:val="auto"/>
              </w:rPr>
              <w:t>Benefit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control</w:t>
            </w: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Death</w:t>
            </w:r>
          </w:p>
        </w:tc>
      </w:tr>
      <w:tr>
        <w:trPr>
          <w:trHeight w:val="27"/>
        </w:trPr>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20" w:type="dxa"/>
            <w:vAlign w:val="bottom"/>
            <w:shd w:val="clear" w:color="auto" w:fill="CCEEFF"/>
          </w:tcPr>
          <w:p>
            <w:pPr>
              <w:spacing w:after="0"/>
              <w:rPr>
                <w:sz w:val="22"/>
                <w:szCs w:val="22"/>
                <w:color w:val="auto"/>
              </w:rPr>
            </w:pPr>
          </w:p>
        </w:tc>
        <w:tc>
          <w:tcPr>
            <w:tcW w:w="33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1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83,551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26,213</w:t>
            </w:r>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26,213</w:t>
            </w:r>
          </w:p>
        </w:tc>
      </w:tr>
      <w:tr>
        <w:trPr>
          <w:trHeight w:val="566"/>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Matthew J. Kurtenbach</w:t>
            </w:r>
          </w:p>
        </w:tc>
        <w:tc>
          <w:tcPr>
            <w:tcW w:w="120" w:type="dxa"/>
            <w:vAlign w:val="bottom"/>
          </w:tcPr>
          <w:p>
            <w:pPr>
              <w:spacing w:after="0"/>
              <w:rPr>
                <w:sz w:val="24"/>
                <w:szCs w:val="24"/>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5,700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83,437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26,203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26,203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26,203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26,203</w:t>
            </w:r>
          </w:p>
        </w:tc>
      </w:tr>
      <w:tr>
        <w:trPr>
          <w:trHeight w:val="27"/>
        </w:trPr>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115,340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26,203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26,203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26,203</w:t>
            </w:r>
          </w:p>
        </w:tc>
      </w:tr>
      <w:tr>
        <w:trPr>
          <w:trHeight w:val="311"/>
        </w:trPr>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20" w:type="dxa"/>
            <w:vAlign w:val="bottom"/>
            <w:shd w:val="clear" w:color="auto" w:fill="CCEEFF"/>
          </w:tcPr>
          <w:p>
            <w:pPr>
              <w:spacing w:after="0"/>
              <w:rPr>
                <w:sz w:val="23"/>
                <w:szCs w:val="23"/>
                <w:color w:val="auto"/>
              </w:rPr>
            </w:pPr>
          </w:p>
        </w:tc>
        <w:tc>
          <w:tcPr>
            <w:tcW w:w="33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1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76,815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15,851</w:t>
            </w:r>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15,851</w:t>
            </w:r>
          </w:p>
        </w:tc>
      </w:tr>
      <w:tr>
        <w:trPr>
          <w:trHeight w:val="20"/>
        </w:trPr>
        <w:tc>
          <w:tcPr>
            <w:tcW w:w="1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jc w:val="both"/>
        <w:ind w:left="660" w:hanging="328"/>
        <w:spacing w:after="0" w:line="25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option awards, consists of the difference between the $9.46 per share closing price of the common stock as reported on The NASDAQ Global Select Market as of April 29, 2017, which was the last business day of fiscal 2017, and the exercise price of the option multiplied by the number of shares subject to the option.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Post-Employment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pension arrangements, post-retirement health coverage or non-qualified defined contribution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Analysis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Committee has established the non-equity incentive program to be based on the same Company-wide measure for each executive. As previously described, the Committee has selected operating margin as the Company-wide measure. Basing the program on the same Company-wide measure for all the executives minimizes the risks associated with individual formulas based on individual actions. The non-equity incentive program is the only formula-based incentive-compensation program in the Company.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08"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Audit Committee shall not be deemed to be incorporated by reference into any such filings and shall not otherwise be deemed filed under such acts.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is responsible for the oversight of our financial reporting process, our system of internal control over financial reporting, and the audit process. Management has the primary responsibility for the financial statements and the reporting process, including the systems of internal control over financial reporting, which it reviews with the Audit Committee. In this context, the Audit Committee has met and held discussions with management and our Independent Auditor with respect to the overall scope and plans for the reviews of our interim consolidated financial statements and the audits of our annual consolidated financial statements and internal control over financial reporting. The Audit Committee has the authority and responsibility to select, evaluate and, when it deems it to be appropriate, replace the Independent Auditor. The Audit Committee is also responsible for overseeing the Company’s Related Party Transaction Policy.</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Audit Committee has established procedures for the receipt, retention and treatment of complaints received by us regarding accounting controls or auditing matters and the confidential, anonymous submission by our employees of any accounting, internal accounting controls or auditing matters and the confidential, anonymous submission by our employees of any concerns regarding questionable accounting or auditing matters. The Audit Committee operates under a formal written charter that has been adopted by the Board of Directors and is available on the Company’s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 The charter was last amended effective February 19, 2016.</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is composed of four Directors who are independent as provided in Rule 5605(a)(2) of the NASDAQ Listing Rules and Rule 10A-3 under the Securities Exchange Act of 1934. The members of the Audit Committee are appointed annually by the Board of Directors. The Audit Committee members are not professional accountants or auditors, and their role is not intended to duplicate or certify the activities of our management or the Independent Auditor, nor can the Audit Committee certify that the Independent Auditor is “independent” under applicable rules. The Audit Committee serves a Board-level oversight role in which it provides advice, counsel and direction to management and the Independent Auditor on the basis of the information it receives, discussions with management and the Independent Auditor, and the experience of the Audit Committee’s members in business, financial accounting and audit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membership of the Audit Committee for fiscal 2017, together with appointment dates and attendance at meetings, is set forth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rPr>
              <w:t>Members</w:t>
            </w:r>
          </w:p>
        </w:tc>
        <w:tc>
          <w:tcPr>
            <w:tcW w:w="3420" w:type="dxa"/>
            <w:vAlign w:val="bottom"/>
          </w:tcPr>
          <w:p>
            <w:pPr>
              <w:ind w:left="840"/>
              <w:spacing w:after="0"/>
              <w:rPr>
                <w:sz w:val="20"/>
                <w:szCs w:val="20"/>
                <w:color w:val="auto"/>
              </w:rPr>
            </w:pPr>
            <w:r>
              <w:rPr>
                <w:rFonts w:ascii="Arial" w:cs="Arial" w:eastAsia="Arial" w:hAnsi="Arial"/>
                <w:sz w:val="18"/>
                <w:szCs w:val="18"/>
                <w:b w:val="1"/>
                <w:bCs w:val="1"/>
                <w:color w:val="auto"/>
              </w:rPr>
              <w:t>Committee Member since</w:t>
            </w:r>
          </w:p>
        </w:tc>
        <w:tc>
          <w:tcPr>
            <w:tcW w:w="3780" w:type="dxa"/>
            <w:vAlign w:val="bottom"/>
          </w:tcPr>
          <w:p>
            <w:pPr>
              <w:ind w:left="600"/>
              <w:spacing w:after="0"/>
              <w:rPr>
                <w:sz w:val="20"/>
                <w:szCs w:val="20"/>
                <w:color w:val="auto"/>
              </w:rPr>
            </w:pPr>
            <w:r>
              <w:rPr>
                <w:rFonts w:ascii="Arial" w:cs="Arial" w:eastAsia="Arial" w:hAnsi="Arial"/>
                <w:sz w:val="18"/>
                <w:szCs w:val="18"/>
                <w:b w:val="1"/>
                <w:bCs w:val="1"/>
                <w:color w:val="auto"/>
                <w:w w:val="92"/>
              </w:rPr>
              <w:t>Attendance at full meetings during 2017</w:t>
            </w:r>
          </w:p>
        </w:tc>
      </w:tr>
      <w:tr>
        <w:trPr>
          <w:trHeight w:val="27"/>
        </w:trPr>
        <w:tc>
          <w:tcPr>
            <w:tcW w:w="23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360" w:type="dxa"/>
            <w:vAlign w:val="bottom"/>
          </w:tcPr>
          <w:p>
            <w:pPr>
              <w:ind w:left="40"/>
              <w:spacing w:after="0"/>
              <w:rPr>
                <w:sz w:val="20"/>
                <w:szCs w:val="20"/>
                <w:color w:val="auto"/>
              </w:rPr>
            </w:pPr>
            <w:r>
              <w:rPr>
                <w:rFonts w:ascii="Arial" w:cs="Arial" w:eastAsia="Arial" w:hAnsi="Arial"/>
                <w:sz w:val="18"/>
                <w:szCs w:val="18"/>
                <w:color w:val="auto"/>
              </w:rPr>
              <w:t>John L. Mulligan</w:t>
            </w:r>
          </w:p>
        </w:tc>
        <w:tc>
          <w:tcPr>
            <w:tcW w:w="3420" w:type="dxa"/>
            <w:vAlign w:val="bottom"/>
          </w:tcPr>
          <w:p>
            <w:pPr>
              <w:ind w:left="840"/>
              <w:spacing w:after="0"/>
              <w:rPr>
                <w:sz w:val="20"/>
                <w:szCs w:val="20"/>
                <w:color w:val="auto"/>
              </w:rPr>
            </w:pPr>
            <w:r>
              <w:rPr>
                <w:rFonts w:ascii="Arial" w:cs="Arial" w:eastAsia="Arial" w:hAnsi="Arial"/>
                <w:sz w:val="18"/>
                <w:szCs w:val="18"/>
                <w:color w:val="auto"/>
              </w:rPr>
              <w:t>1993</w:t>
            </w:r>
          </w:p>
        </w:tc>
        <w:tc>
          <w:tcPr>
            <w:tcW w:w="3780" w:type="dxa"/>
            <w:vAlign w:val="bottom"/>
          </w:tcPr>
          <w:p>
            <w:pPr>
              <w:ind w:left="600"/>
              <w:spacing w:after="0"/>
              <w:rPr>
                <w:sz w:val="20"/>
                <w:szCs w:val="20"/>
                <w:color w:val="auto"/>
              </w:rPr>
            </w:pPr>
            <w:r>
              <w:rPr>
                <w:rFonts w:ascii="Arial" w:cs="Arial" w:eastAsia="Arial" w:hAnsi="Arial"/>
                <w:sz w:val="18"/>
                <w:szCs w:val="18"/>
                <w:color w:val="auto"/>
              </w:rPr>
              <w:t>8/8</w:t>
            </w:r>
          </w:p>
        </w:tc>
      </w:tr>
      <w:tr>
        <w:trPr>
          <w:trHeight w:val="270"/>
        </w:trPr>
        <w:tc>
          <w:tcPr>
            <w:tcW w:w="2360" w:type="dxa"/>
            <w:vAlign w:val="bottom"/>
          </w:tcPr>
          <w:p>
            <w:pPr>
              <w:ind w:left="40"/>
              <w:spacing w:after="0"/>
              <w:rPr>
                <w:sz w:val="20"/>
                <w:szCs w:val="20"/>
                <w:color w:val="auto"/>
              </w:rPr>
            </w:pPr>
            <w:r>
              <w:rPr>
                <w:rFonts w:ascii="Arial" w:cs="Arial" w:eastAsia="Arial" w:hAnsi="Arial"/>
                <w:sz w:val="18"/>
                <w:szCs w:val="18"/>
                <w:color w:val="auto"/>
              </w:rPr>
              <w:t>Kevin P. McDermott</w:t>
            </w:r>
          </w:p>
        </w:tc>
        <w:tc>
          <w:tcPr>
            <w:tcW w:w="3420" w:type="dxa"/>
            <w:vAlign w:val="bottom"/>
          </w:tcPr>
          <w:p>
            <w:pPr>
              <w:ind w:left="840"/>
              <w:spacing w:after="0"/>
              <w:rPr>
                <w:sz w:val="20"/>
                <w:szCs w:val="20"/>
                <w:color w:val="auto"/>
              </w:rPr>
            </w:pPr>
            <w:r>
              <w:rPr>
                <w:rFonts w:ascii="Arial" w:cs="Arial" w:eastAsia="Arial" w:hAnsi="Arial"/>
                <w:sz w:val="18"/>
                <w:szCs w:val="18"/>
                <w:color w:val="auto"/>
              </w:rPr>
              <w:t>2016</w:t>
            </w:r>
          </w:p>
        </w:tc>
        <w:tc>
          <w:tcPr>
            <w:tcW w:w="3780" w:type="dxa"/>
            <w:vAlign w:val="bottom"/>
          </w:tcPr>
          <w:p>
            <w:pPr>
              <w:ind w:left="600"/>
              <w:spacing w:after="0"/>
              <w:rPr>
                <w:sz w:val="20"/>
                <w:szCs w:val="20"/>
                <w:color w:val="auto"/>
              </w:rPr>
            </w:pPr>
            <w:r>
              <w:rPr>
                <w:rFonts w:ascii="Arial" w:cs="Arial" w:eastAsia="Arial" w:hAnsi="Arial"/>
                <w:sz w:val="18"/>
                <w:szCs w:val="18"/>
                <w:color w:val="auto"/>
              </w:rPr>
              <w:t>8/8</w:t>
            </w:r>
          </w:p>
        </w:tc>
      </w:tr>
      <w:tr>
        <w:trPr>
          <w:trHeight w:val="270"/>
        </w:trPr>
        <w:tc>
          <w:tcPr>
            <w:tcW w:w="2360" w:type="dxa"/>
            <w:vAlign w:val="bottom"/>
          </w:tcPr>
          <w:p>
            <w:pPr>
              <w:ind w:left="40"/>
              <w:spacing w:after="0"/>
              <w:rPr>
                <w:sz w:val="20"/>
                <w:szCs w:val="20"/>
                <w:color w:val="auto"/>
              </w:rPr>
            </w:pPr>
            <w:r>
              <w:rPr>
                <w:rFonts w:ascii="Arial" w:cs="Arial" w:eastAsia="Arial" w:hAnsi="Arial"/>
                <w:sz w:val="18"/>
                <w:szCs w:val="18"/>
                <w:color w:val="auto"/>
              </w:rPr>
              <w:t>John P. Friel</w:t>
            </w:r>
          </w:p>
        </w:tc>
        <w:tc>
          <w:tcPr>
            <w:tcW w:w="3420" w:type="dxa"/>
            <w:vAlign w:val="bottom"/>
          </w:tcPr>
          <w:p>
            <w:pPr>
              <w:ind w:left="840"/>
              <w:spacing w:after="0"/>
              <w:rPr>
                <w:sz w:val="20"/>
                <w:szCs w:val="20"/>
                <w:color w:val="auto"/>
              </w:rPr>
            </w:pPr>
            <w:r>
              <w:rPr>
                <w:rFonts w:ascii="Arial" w:cs="Arial" w:eastAsia="Arial" w:hAnsi="Arial"/>
                <w:sz w:val="18"/>
                <w:szCs w:val="18"/>
                <w:color w:val="auto"/>
              </w:rPr>
              <w:t>2016</w:t>
            </w:r>
          </w:p>
        </w:tc>
        <w:tc>
          <w:tcPr>
            <w:tcW w:w="3780" w:type="dxa"/>
            <w:vAlign w:val="bottom"/>
          </w:tcPr>
          <w:p>
            <w:pPr>
              <w:ind w:left="600"/>
              <w:spacing w:after="0"/>
              <w:rPr>
                <w:sz w:val="20"/>
                <w:szCs w:val="20"/>
                <w:color w:val="auto"/>
              </w:rPr>
            </w:pPr>
            <w:r>
              <w:rPr>
                <w:rFonts w:ascii="Arial" w:cs="Arial" w:eastAsia="Arial" w:hAnsi="Arial"/>
                <w:sz w:val="18"/>
                <w:szCs w:val="18"/>
                <w:color w:val="auto"/>
              </w:rPr>
              <w:t>8/8</w:t>
            </w:r>
          </w:p>
        </w:tc>
      </w:tr>
      <w:tr>
        <w:trPr>
          <w:trHeight w:val="299"/>
        </w:trPr>
        <w:tc>
          <w:tcPr>
            <w:tcW w:w="2360" w:type="dxa"/>
            <w:vAlign w:val="bottom"/>
          </w:tcPr>
          <w:p>
            <w:pPr>
              <w:ind w:left="40"/>
              <w:spacing w:after="0"/>
              <w:rPr>
                <w:sz w:val="20"/>
                <w:szCs w:val="20"/>
                <w:color w:val="auto"/>
              </w:rPr>
            </w:pPr>
            <w:r>
              <w:rPr>
                <w:rFonts w:ascii="Arial" w:cs="Arial" w:eastAsia="Arial" w:hAnsi="Arial"/>
                <w:sz w:val="18"/>
                <w:szCs w:val="18"/>
                <w:color w:val="auto"/>
              </w:rPr>
              <w:t>James B. Morgan</w:t>
            </w:r>
            <w:r>
              <w:rPr>
                <w:rFonts w:ascii="Arial" w:cs="Arial" w:eastAsia="Arial" w:hAnsi="Arial"/>
                <w:sz w:val="25"/>
                <w:szCs w:val="25"/>
                <w:color w:val="auto"/>
                <w:vertAlign w:val="superscript"/>
              </w:rPr>
              <w:t>(1)</w:t>
            </w:r>
          </w:p>
        </w:tc>
        <w:tc>
          <w:tcPr>
            <w:tcW w:w="3420" w:type="dxa"/>
            <w:vAlign w:val="bottom"/>
          </w:tcPr>
          <w:p>
            <w:pPr>
              <w:ind w:left="840"/>
              <w:spacing w:after="0"/>
              <w:rPr>
                <w:sz w:val="20"/>
                <w:szCs w:val="20"/>
                <w:color w:val="auto"/>
              </w:rPr>
            </w:pPr>
            <w:r>
              <w:rPr>
                <w:rFonts w:ascii="Arial" w:cs="Arial" w:eastAsia="Arial" w:hAnsi="Arial"/>
                <w:sz w:val="18"/>
                <w:szCs w:val="18"/>
                <w:color w:val="auto"/>
              </w:rPr>
              <w:t>2017</w:t>
            </w:r>
          </w:p>
        </w:tc>
        <w:tc>
          <w:tcPr>
            <w:tcW w:w="3780" w:type="dxa"/>
            <w:vAlign w:val="bottom"/>
          </w:tcPr>
          <w:p>
            <w:pPr>
              <w:ind w:left="600"/>
              <w:spacing w:after="0"/>
              <w:rPr>
                <w:sz w:val="20"/>
                <w:szCs w:val="20"/>
                <w:color w:val="auto"/>
              </w:rPr>
            </w:pPr>
            <w:r>
              <w:rPr>
                <w:rFonts w:ascii="Arial" w:cs="Arial" w:eastAsia="Arial" w:hAnsi="Arial"/>
                <w:sz w:val="18"/>
                <w:szCs w:val="18"/>
                <w:color w:val="auto"/>
              </w:rPr>
              <w:t>4/8</w:t>
            </w:r>
          </w:p>
        </w:tc>
      </w:tr>
    </w:tbl>
    <w:p>
      <w:pPr>
        <w:ind w:left="580" w:hanging="242"/>
        <w:spacing w:after="0" w:line="249" w:lineRule="auto"/>
        <w:rPr>
          <w:sz w:val="20"/>
          <w:szCs w:val="20"/>
          <w:color w:val="auto"/>
        </w:rPr>
      </w:pPr>
      <w:r>
        <w:rPr>
          <w:rFonts w:ascii="Arial" w:cs="Arial" w:eastAsia="Arial" w:hAnsi="Arial"/>
          <w:sz w:val="18"/>
          <w:szCs w:val="18"/>
          <w:color w:val="auto"/>
        </w:rPr>
        <w:t>(1) Appointed to the Audit Committee effective October 1, 2016. Mr. Morgan attended all Audit Committee meeting held while he was an Audit Committee member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Audit Committee has reviewed and discussed with management and the Independent Auditor our audited consolidated financial statements for the fiscal year ended April 29, 2017 and the results of management's assessment and the Independent Auditor's audit of the effectiveness of the Company's internal control over financial reporting; the significant accounting policies, including their quality and acceptability, applied by management in the preparation of our financial statements, as well as alternative treatments; and management's and the Independent Auditor's judgment with respect to risk assessment. We have discussed with our Independent Auditor the matters required by the standards of the Public Company Accounting Oversight Board ("PCAOB"), including PCAOB Auditing Standards No. 1301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xml:space="preserve">, the rules of the Securities and Exchange Commission, and other applicable regulations. We have also received from the Independent Auditor the written disclosures and the letter required by applicable requirements of PCAOB Rule 3526, </w:t>
      </w:r>
      <w:r>
        <w:rPr>
          <w:rFonts w:ascii="Arial" w:cs="Arial" w:eastAsia="Arial" w:hAnsi="Arial"/>
          <w:sz w:val="17"/>
          <w:szCs w:val="17"/>
          <w:i w:val="1"/>
          <w:iCs w:val="1"/>
          <w:color w:val="auto"/>
        </w:rPr>
        <w:t>Communications with Audit Committees Concerning Independence</w:t>
      </w:r>
      <w:r>
        <w:rPr>
          <w:rFonts w:ascii="Arial" w:cs="Arial" w:eastAsia="Arial" w:hAnsi="Arial"/>
          <w:sz w:val="17"/>
          <w:szCs w:val="17"/>
          <w:color w:val="auto"/>
        </w:rPr>
        <w:t>, regarding the Independent Auditor's independence; and reviewed and pre-approved fees charged by the Independent Auditor and considered whether the Independent Auditor's provision of non-audit services to us is compatible with its independence. The Audit Committee also met in executive session following each of the formal Audit Committee meetings with representatives of our Independent Auditor.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 Committee recognizes the importance of maintaining the independence of the Company's Independent Auditor, both in fact and appearance. Each year, the Committee evaluates the qualifications, performance and independence of the Company's Independent Auditor and determines whether to re-engage such firm. In doing so, the Audit Committee considers, among other things, the quality and efficiency of the services provided by the Independent Auditor, its capabilities and its technical expertise, its knowledge of the Company's operations and industry and relevant information concerning its independence. Based on this evaluation, the Audit Committee of the Board of Directors recommended the appointment of Ernst &amp; Young LLP as our Independent Auditor to perform reviews of our interim consolidated financial statements and to perform audits of our annual consolidated financial statements and of our internal control over financial reporting for fiscal 2018.</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review and discussions described above, the Audit Committee recommended to the Board of Directors that our audited consolidated financial statements for the fiscal year ended April 29, 2017 be included in our Annual Report on Form 10-K for filing with the Securities and Exchange Commission.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Kevin P. McDermott,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L. Mulligan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P. Friel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adopted a procedure called “householding,” which has been approved by the SEC. Under this procedure, we are delivering only one copy of our Annual Report, this Proxy Statement and our Notice of Internet Availability of Proxy Materials to multiple shareholders who have requested paper copies of the Annual Report and Proxy Statement and who share the same address, unless we have received contrary instructions from one or more of the shareholders. Shareholders who participate in householding will continue to be able to access and receive separate proxy cards or voting instruction cards. In addition, some banks, brokers and other intermediaries may be participating in this practice of householding our Annual Report, this Proxy Statement and our Notice of Internet Availability of Proxy Materials. This practice benefits us and our shareholders because it reduces the volume of duplicate information received at a shareholder’s address and helps reduce our expenses. Shareholders who share an address and receive multiple copies of our Annual Report, this Proxy Statement and our Notice of Internet Availability of Proxy Materials may request only one copy of these materials by contacting their bank, broker or other nominee record holder or by contacting the Company as described in the next paragraph.</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that have previously received a single set of our Annual Report, this Proxy Statement and our Notice of Internet Availability of Proxy Materials may request their own copies this fiscal year or in future years by contacting their bank, broker or other nominee record holder or by contacting the Company as described in the next sentence. We will also deliver promptly separate paper copies of our Annual Report, this Proxy Statement and our Notice of Internet Availability of Proxy Materials to any shareholder upon written request sent to Daktronics, Inc., 201 Daktronics Drive, Brookings, South Dakota 57006, Attention: Investor Relations, or upon verbal request by calling (605) 692-0200.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Annual Report to Shareholders for the fiscal year ended April 29, 2017, including financial statements, is being mailed with this Proxy Statement. The Annual Report to Shareholders is not incorporated in this Proxy Statement and is not deemed to be a part of this Proxy Statement.</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Annual Report to Shareholders for the fiscal year ended April 29, 2017 can also be accessed on our website at </w:t>
      </w:r>
      <w:r>
        <w:rPr>
          <w:rFonts w:ascii="Arial" w:cs="Arial" w:eastAsia="Arial" w:hAnsi="Arial"/>
          <w:sz w:val="16"/>
          <w:szCs w:val="16"/>
          <w:i w:val="1"/>
          <w:iCs w:val="1"/>
          <w:color w:val="auto"/>
        </w:rPr>
        <w:t>www.daktronics.com</w:t>
      </w:r>
      <w:r>
        <w:rPr>
          <w:rFonts w:ascii="Arial" w:cs="Arial" w:eastAsia="Arial" w:hAnsi="Arial"/>
          <w:sz w:val="16"/>
          <w:szCs w:val="16"/>
          <w:color w:val="auto"/>
        </w:rPr>
        <w:t xml:space="preserve"> by selecting “Investors” then “Annual Reports and Proxies" under the heading "Financial Information." Any person whose proxy is solicited by this Proxy Statement will be provided, upon request and without charge, with a copy of our Annual Report on Form 10-K for the fiscal year ended April 29, 2017. Please submit such requests to Daktronics, Inc., 201 Daktronics Drive, Brookings, South Dakota 57006, Attention: Investor Relations, or by calling (605) 692-0200.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Carla S. Gatzke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6174740" cy="7983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798385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219"/>
          </w:cols>
          <w:pgMar w:left="240" w:top="125" w:right="1440" w:bottom="1440" w:gutter="0" w:footer="0" w:header="0"/>
          <w:type w:val="continuous"/>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174740" cy="7983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740" cy="798385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32</w:t>
      </w:r>
    </w:p>
    <w:sectPr>
      <w:pgSz w:w="11900" w:h="16838" w:orient="portrait"/>
      <w:cols w:equalWidth="0" w:num="1">
        <w:col w:w="10219"/>
      </w:cols>
      <w:pgMar w:left="240" w:top="1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1]"/>
      <w:numFmt w:val="upperLetter"/>
      <w:start w:val="24"/>
    </w:lvl>
  </w:abstractNum>
  <w:abstractNum w:abstractNumId="2">
    <w:nsid w:val="519B500D"/>
    <w:multiLevelType w:val="hybridMultilevel"/>
    <w:lvl w:ilvl="0">
      <w:lvlJc w:val="left"/>
      <w:lvlText w:val="1"/>
      <w:numFmt w:val="bullet"/>
      <w:start w:val="1"/>
    </w:lvl>
  </w:abstractNum>
  <w:abstractNum w:abstractNumId="3">
    <w:nsid w:val="431BD7B7"/>
    <w:multiLevelType w:val="hybridMultilevel"/>
    <w:lvl w:ilvl="0">
      <w:lvlJc w:val="left"/>
      <w:lvlText w:val="2"/>
      <w:numFmt w:val="bullet"/>
      <w:start w:val="1"/>
    </w:lvl>
  </w:abstractNum>
  <w:abstractNum w:abstractNumId="4">
    <w:nsid w:val="3F2DBA31"/>
    <w:multiLevelType w:val="hybridMultilevel"/>
    <w:lvl w:ilvl="0">
      <w:lvlJc w:val="left"/>
      <w:lvlText w:val="3"/>
      <w:numFmt w:val="bullet"/>
      <w:start w:val="1"/>
    </w:lvl>
  </w:abstractNum>
  <w:abstractNum w:abstractNumId="5">
    <w:nsid w:val="7C83E458"/>
    <w:multiLevelType w:val="hybridMultilevel"/>
    <w:lvl w:ilvl="0">
      <w:lvlJc w:val="left"/>
      <w:lvlText w:val="4"/>
      <w:numFmt w:val="bullet"/>
      <w:start w:val="1"/>
    </w:lvl>
  </w:abstractNum>
  <w:abstractNum w:abstractNumId="6">
    <w:nsid w:val="257130A3"/>
    <w:multiLevelType w:val="hybridMultilevel"/>
    <w:lvl w:ilvl="0">
      <w:lvlJc w:val="left"/>
      <w:lvlText w:val="5"/>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bullet"/>
      <w:start w:val="1"/>
    </w:lvl>
  </w:abstractNum>
  <w:abstractNum w:abstractNumId="9">
    <w:nsid w:val="628C895D"/>
    <w:multiLevelType w:val="hybridMultilevel"/>
    <w:lvl w:ilvl="0">
      <w:lvlJc w:val="left"/>
      <w:lvlText w:val="2"/>
      <w:numFmt w:val="bullet"/>
      <w:start w:val="1"/>
    </w:lvl>
  </w:abstractNum>
  <w:abstractNum w:abstractNumId="10">
    <w:nsid w:val="333AB105"/>
    <w:multiLevelType w:val="hybridMultilevel"/>
    <w:lvl w:ilvl="0">
      <w:lvlJc w:val="left"/>
      <w:lvlText w:val="3"/>
      <w:numFmt w:val="bullet"/>
      <w:start w:val="1"/>
    </w:lvl>
  </w:abstractNum>
  <w:abstractNum w:abstractNumId="11">
    <w:nsid w:val="721DA317"/>
    <w:multiLevelType w:val="hybridMultilevel"/>
    <w:lvl w:ilvl="0">
      <w:lvlJc w:val="left"/>
      <w:lvlText w:val="4"/>
      <w:numFmt w:val="bullet"/>
      <w:start w:val="1"/>
    </w:lvl>
  </w:abstractNum>
  <w:abstractNum w:abstractNumId="12">
    <w:nsid w:val="2443A858"/>
    <w:multiLevelType w:val="hybridMultilevel"/>
    <w:lvl w:ilvl="0">
      <w:lvlJc w:val="left"/>
      <w:lvlText w:val="%1."/>
      <w:numFmt w:val="decimal"/>
      <w:start w:val="2"/>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lvl w:ilvl="1">
      <w:lvlJc w:val="left"/>
      <w:lvlText w:val="(%2)"/>
      <w:numFmt w:val="decimal"/>
      <w:start w:val="1"/>
    </w:lvl>
  </w:abstractNum>
  <w:abstractNum w:abstractNumId="16">
    <w:nsid w:val="8EDBDAB"/>
    <w:multiLevelType w:val="hybridMultilevel"/>
    <w:lvl w:ilvl="0">
      <w:lvlJc w:val="left"/>
      <w:lvlText w:val="(%1)"/>
      <w:numFmt w:val="decimal"/>
      <w:start w:val="4"/>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2"/>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2019-12-05T23:25:27Z</dcterms:created>
  <dcterms:modified xsi:type="dcterms:W3CDTF">2019-12-05T23:25:27Z</dcterms:modified>
</cp:coreProperties>
</file>