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614.xml.htm"/>
      <w:bookmarkStart w:id="1" w:name="kswkform4_17900226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Feigin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16,950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annual equity compensation in the form of a grant of restricted stock made under the Daktronics, Inc. 2025 Stock Incentive Plan. The award vests on August 23, 2027 and is subject to certain forfeiture provisions.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Feigin, by Leah Kassalen, attorney-in-fact, pursuant to a POA filed herewith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-peterfeigin.htm"/>
      <w:bookmarkStart w:id="3" w:name="kssection16poapeterfeigin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1521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605</Words>
  <Characters>3288</Characters>
  <CharactersWithSpaces>3830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section16poa-peterfeigin</dc:title>
</cp:coreProperties>
</file>