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346075</wp:posOffset>
            </wp:positionH>
            <wp:positionV relativeFrom="page">
              <wp:posOffset>492125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AND EXCHANGE COMMISSION</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258445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July 28, 2012</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jc w:val="center"/>
        <w:ind w:left="4740" w:right="2480" w:hanging="2250"/>
        <w:spacing w:after="0" w:line="258" w:lineRule="auto"/>
        <w:tabs>
          <w:tab w:leader="none" w:pos="2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tabs>
          <w:tab w:leader="none" w:pos="100" w:val="left"/>
        </w:tabs>
        <w:rPr>
          <w:sz w:val="20"/>
          <w:szCs w:val="20"/>
          <w:color w:val="auto"/>
        </w:rPr>
      </w:pPr>
      <w:r>
        <w:rPr>
          <w:rFonts w:ascii="Arial" w:cs="Arial" w:eastAsia="Arial" w:hAnsi="Arial"/>
          <w:sz w:val="16"/>
          <w:szCs w:val="16"/>
          <w:b w:val="1"/>
          <w:bCs w:val="1"/>
          <w:i w:val="1"/>
          <w:iCs w:val="1"/>
          <w:color w:val="auto"/>
        </w:rPr>
        <w:t>For the Transition Period From</w:t>
      </w:r>
      <w:r>
        <w:rPr>
          <w:sz w:val="20"/>
          <w:szCs w:val="20"/>
          <w:color w:val="auto"/>
        </w:rPr>
        <w:tab/>
      </w:r>
      <w:r>
        <w:rPr>
          <w:rFonts w:ascii="Arial" w:cs="Arial" w:eastAsia="Arial" w:hAnsi="Arial"/>
          <w:sz w:val="15"/>
          <w:szCs w:val="15"/>
          <w:b w:val="1"/>
          <w:bCs w:val="1"/>
          <w:i w:val="1"/>
          <w:iCs w:val="1"/>
          <w:color w:val="auto"/>
        </w:rPr>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86360</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-15875</wp:posOffset>
            </wp:positionV>
            <wp:extent cx="26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132080</wp:posOffset>
            </wp:positionV>
            <wp:extent cx="127762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762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2340" w:type="dxa"/>
        <w:tblCellMar>
          <w:top w:w="0" w:type="dxa"/>
          <w:left w:w="0" w:type="dxa"/>
          <w:bottom w:w="0" w:type="dxa"/>
          <w:right w:w="0" w:type="dxa"/>
        </w:tblCellMar>
      </w:tblPr>
      <w:tr>
        <w:trPr>
          <w:trHeight w:val="207"/>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South Dakota</w:t>
            </w:r>
          </w:p>
        </w:tc>
        <w:tc>
          <w:tcPr>
            <w:tcW w:w="2680" w:type="dxa"/>
            <w:vAlign w:val="bottom"/>
            <w:vMerge w:val="restart"/>
          </w:tcPr>
          <w:p>
            <w:pPr>
              <w:jc w:val="right"/>
              <w:ind w:right="85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(State or other jurisdiction of incorporation or</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jc w:val="center"/>
              <w:ind w:right="859"/>
              <w:spacing w:after="0"/>
              <w:rPr>
                <w:sz w:val="20"/>
                <w:szCs w:val="20"/>
                <w:color w:val="auto"/>
              </w:rPr>
            </w:pPr>
            <w:r>
              <w:rPr>
                <w:rFonts w:ascii="Arial" w:cs="Arial" w:eastAsia="Arial" w:hAnsi="Arial"/>
                <w:sz w:val="16"/>
                <w:szCs w:val="16"/>
                <w:color w:val="auto"/>
                <w:w w:val="92"/>
              </w:rPr>
              <w:t>organization)</w:t>
            </w:r>
          </w:p>
        </w:tc>
        <w:tc>
          <w:tcPr>
            <w:tcW w:w="26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Number)</w:t>
            </w:r>
          </w:p>
        </w:tc>
        <w:tc>
          <w:tcPr>
            <w:tcW w:w="0" w:type="dxa"/>
            <w:vAlign w:val="bottom"/>
          </w:tcPr>
          <w:p>
            <w:pPr>
              <w:spacing w:after="0"/>
              <w:rPr>
                <w:sz w:val="1"/>
                <w:szCs w:val="1"/>
                <w:color w:val="auto"/>
              </w:rPr>
            </w:pPr>
          </w:p>
        </w:tc>
      </w:tr>
      <w:tr>
        <w:trPr>
          <w:trHeight w:val="492"/>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201 Daktronics Drive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0"/>
              </w:rPr>
              <w:t>Brookings SD</w:t>
            </w:r>
          </w:p>
        </w:tc>
        <w:tc>
          <w:tcPr>
            <w:tcW w:w="2680" w:type="dxa"/>
            <w:vAlign w:val="bottom"/>
          </w:tcPr>
          <w:p>
            <w:pPr>
              <w:jc w:val="right"/>
              <w:ind w:right="103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(Address of principal executive offices)</w:t>
            </w:r>
          </w:p>
        </w:tc>
        <w:tc>
          <w:tcPr>
            <w:tcW w:w="2680" w:type="dxa"/>
            <w:vAlign w:val="bottom"/>
          </w:tcPr>
          <w:p>
            <w:pPr>
              <w:jc w:val="center"/>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226"/>
        </w:trPr>
        <w:tc>
          <w:tcPr>
            <w:tcW w:w="3920" w:type="dxa"/>
            <w:vAlign w:val="bottom"/>
          </w:tcPr>
          <w:p>
            <w:pPr>
              <w:jc w:val="right"/>
              <w:spacing w:after="0"/>
              <w:rPr>
                <w:sz w:val="20"/>
                <w:szCs w:val="20"/>
                <w:color w:val="auto"/>
              </w:rPr>
            </w:pPr>
            <w:r>
              <w:rPr>
                <w:rFonts w:ascii="Arial" w:cs="Arial" w:eastAsia="Arial" w:hAnsi="Arial"/>
                <w:sz w:val="16"/>
                <w:szCs w:val="16"/>
                <w:b w:val="1"/>
                <w:bCs w:val="1"/>
                <w:color w:val="auto"/>
              </w:rPr>
              <w:t>(605) 692-0200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ind w:right="140"/>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660"/>
        <w:spacing w:after="0"/>
        <w:rPr>
          <w:sz w:val="20"/>
          <w:szCs w:val="20"/>
          <w:color w:val="auto"/>
        </w:rPr>
      </w:pPr>
      <w:r>
        <w:rPr>
          <w:rFonts w:ascii="Arial" w:cs="Arial" w:eastAsia="Arial" w:hAnsi="Arial"/>
          <w:sz w:val="15"/>
          <w:szCs w:val="15"/>
          <w:color w:val="auto"/>
        </w:rPr>
        <w:t>Yes x No o</w:t>
      </w:r>
    </w:p>
    <w:p>
      <w:pPr>
        <w:spacing w:after="0" w:line="19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1060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90"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720" w:space="720"/>
            <w:col w:w="3840" w:space="720"/>
            <w:col w:w="1680" w:space="720"/>
            <w:col w:w="2020"/>
          </w:cols>
          <w:pgMar w:left="240" w:top="99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4">
            <w:col w:w="1720" w:space="720"/>
            <w:col w:w="3840" w:space="720"/>
            <w:col w:w="1780" w:space="620"/>
            <w:col w:w="2020"/>
          </w:cols>
          <w:pgMar w:left="240" w:top="990" w:right="239" w:bottom="1440" w:gutter="0" w:footer="0" w:header="0"/>
          <w:type w:val="continuous"/>
        </w:sectPr>
      </w:pP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ind w:left="105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August 27, 2012 was 42,027,506.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1" w:name="page2"/>
    <w:bookmarkEnd w:id="1"/>
    <w:p>
      <w:pPr>
        <w:jc w:val="center"/>
        <w:ind w:right="-11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 xml:space="preserve">For the Quarter Ended </w:t>
      </w:r>
      <w:r>
        <w:rPr>
          <w:rFonts w:ascii="Arial" w:cs="Arial" w:eastAsia="Arial" w:hAnsi="Arial"/>
          <w:sz w:val="16"/>
          <w:szCs w:val="16"/>
          <w:color w:val="auto"/>
        </w:rPr>
        <w:t>July 28, 2012</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gridSpan w:val="4"/>
          </w:tcPr>
          <w:p>
            <w:pPr>
              <w:ind w:left="74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Pr>
          <w:p>
            <w:pPr>
              <w:spacing w:after="0"/>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8260" w:type="dxa"/>
            <w:vAlign w:val="bottom"/>
            <w:gridSpan w:val="18"/>
          </w:tcPr>
          <w:p>
            <w:pPr>
              <w:ind w:left="6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940" w:type="dxa"/>
            <w:vAlign w:val="bottom"/>
            <w:gridSpan w:val="3"/>
          </w:tcPr>
          <w:p>
            <w:pPr>
              <w:ind w:left="760"/>
              <w:spacing w:after="0"/>
              <w:rPr>
                <w:rFonts w:ascii="Arial" w:cs="Arial" w:eastAsia="Arial" w:hAnsi="Arial"/>
                <w:sz w:val="18"/>
                <w:szCs w:val="18"/>
                <w:color w:val="0000FF"/>
              </w:rPr>
            </w:pPr>
            <w:hyperlink w:anchor="page2">
              <w:r>
                <w:rPr>
                  <w:rFonts w:ascii="Arial" w:cs="Arial" w:eastAsia="Arial" w:hAnsi="Arial"/>
                  <w:sz w:val="18"/>
                  <w:szCs w:val="18"/>
                  <w:color w:val="0000FF"/>
                </w:rPr>
                <w:t>1</w:t>
              </w:r>
            </w:hyperlink>
          </w:p>
        </w:tc>
        <w:tc>
          <w:tcPr>
            <w:tcW w:w="160" w:type="dxa"/>
            <w:vAlign w:val="bottom"/>
          </w:tcPr>
          <w:p>
            <w:pPr>
              <w:spacing w:after="0"/>
              <w:rPr>
                <w:sz w:val="19"/>
                <w:szCs w:val="19"/>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260" w:type="dxa"/>
            <w:vAlign w:val="bottom"/>
            <w:gridSpan w:val="18"/>
          </w:tcPr>
          <w:p>
            <w:pPr>
              <w:ind w:left="60"/>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940" w:type="dxa"/>
            <w:vAlign w:val="bottom"/>
            <w:gridSpan w:val="3"/>
          </w:tcPr>
          <w:p>
            <w:pPr>
              <w:ind w:left="76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Consolidated Balance Sheets </w:t>
              </w:r>
            </w:hyperlink>
            <w:r>
              <w:rPr>
                <w:rFonts w:ascii="Arial" w:cs="Arial" w:eastAsia="Arial" w:hAnsi="Arial"/>
                <w:sz w:val="18"/>
                <w:szCs w:val="18"/>
                <w:color w:val="0000FF"/>
              </w:rPr>
              <w:t>as of July 28, 2012 and April 28, 2012</w:t>
            </w:r>
          </w:p>
        </w:tc>
        <w:tc>
          <w:tcPr>
            <w:tcW w:w="940" w:type="dxa"/>
            <w:vAlign w:val="bottom"/>
            <w:gridSpan w:val="3"/>
          </w:tcPr>
          <w:p>
            <w:pPr>
              <w:ind w:left="76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Consolidated Statements of Operations </w:t>
              </w:r>
            </w:hyperlink>
            <w:r>
              <w:rPr>
                <w:rFonts w:ascii="Arial" w:cs="Arial" w:eastAsia="Arial" w:hAnsi="Arial"/>
                <w:sz w:val="18"/>
                <w:szCs w:val="18"/>
                <w:color w:val="0000FF"/>
                <w:w w:val="89"/>
              </w:rPr>
              <w:t>for the Three Months Ended July 28, 2012 and July 30,</w:t>
            </w:r>
          </w:p>
        </w:tc>
        <w:tc>
          <w:tcPr>
            <w:tcW w:w="800" w:type="dxa"/>
            <w:vAlign w:val="bottom"/>
            <w:gridSpan w:val="2"/>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3"/>
          </w:tcPr>
          <w:p>
            <w:pPr>
              <w:spacing w:after="0"/>
              <w:rPr>
                <w:sz w:val="17"/>
                <w:szCs w:val="17"/>
                <w:color w:val="auto"/>
              </w:rPr>
            </w:pPr>
          </w:p>
        </w:tc>
        <w:tc>
          <w:tcPr>
            <w:tcW w:w="3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4"/>
              </w:rPr>
              <w:t>2011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0" w:type="dxa"/>
            <w:vAlign w:val="bottom"/>
            <w:gridSpan w:val="16"/>
          </w:tcPr>
          <w:p>
            <w:pPr>
              <w:spacing w:after="0"/>
              <w:rPr>
                <w:sz w:val="20"/>
                <w:szCs w:val="20"/>
                <w:color w:val="auto"/>
              </w:rPr>
            </w:pPr>
            <w:r>
              <w:rPr>
                <w:rFonts w:ascii="Arial" w:cs="Arial" w:eastAsia="Arial" w:hAnsi="Arial"/>
                <w:sz w:val="18"/>
                <w:szCs w:val="18"/>
                <w:color w:val="0000FF"/>
              </w:rPr>
              <w:t>Consolidated Statements of Comprehensive Income for the Three Months Ended July 28, 2012</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280" w:type="dxa"/>
            <w:vAlign w:val="bottom"/>
            <w:tcBorders>
              <w:top w:val="single" w:sz="8" w:color="0000FF"/>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88"/>
              </w:rPr>
              <w:t>and July 30, 2011</w:t>
            </w:r>
          </w:p>
        </w:tc>
        <w:tc>
          <w:tcPr>
            <w:tcW w:w="5240" w:type="dxa"/>
            <w:vAlign w:val="bottom"/>
            <w:tcBorders>
              <w:top w:val="single" w:sz="8" w:color="0000FF"/>
            </w:tcBorders>
            <w:gridSpan w:val="6"/>
          </w:tcPr>
          <w:p>
            <w:pPr>
              <w:spacing w:after="0"/>
              <w:rPr>
                <w:sz w:val="17"/>
                <w:szCs w:val="17"/>
                <w:color w:val="auto"/>
              </w:rPr>
            </w:pPr>
          </w:p>
        </w:tc>
        <w:tc>
          <w:tcPr>
            <w:tcW w:w="8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 xml:space="preserve">Consolidated Statements of Cash Flows </w:t>
              </w:r>
            </w:hyperlink>
            <w:r>
              <w:rPr>
                <w:rFonts w:ascii="Arial" w:cs="Arial" w:eastAsia="Arial" w:hAnsi="Arial"/>
                <w:sz w:val="18"/>
                <w:szCs w:val="18"/>
                <w:color w:val="0000FF"/>
                <w:w w:val="89"/>
              </w:rPr>
              <w:t>for the Three Months Ended July 28, 2012 and July 30,</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3"/>
          </w:tcPr>
          <w:p>
            <w:pPr>
              <w:spacing w:after="0"/>
              <w:rPr>
                <w:sz w:val="17"/>
                <w:szCs w:val="17"/>
                <w:color w:val="auto"/>
              </w:rPr>
            </w:pPr>
          </w:p>
        </w:tc>
        <w:tc>
          <w:tcPr>
            <w:tcW w:w="3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4"/>
              </w:rPr>
              <w:t>2011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38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the Consolidated Financial Statements</w:t>
              </w:r>
            </w:hyperlink>
          </w:p>
        </w:tc>
        <w:tc>
          <w:tcPr>
            <w:tcW w:w="4220" w:type="dxa"/>
            <w:vAlign w:val="bottom"/>
            <w:gridSpan w:val="6"/>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Item 2.</w:t>
              </w:r>
            </w:hyperlink>
          </w:p>
        </w:tc>
        <w:tc>
          <w:tcPr>
            <w:tcW w:w="8260" w:type="dxa"/>
            <w:vAlign w:val="bottom"/>
            <w:gridSpan w:val="18"/>
          </w:tcPr>
          <w:p>
            <w:pPr>
              <w:ind w:left="60"/>
              <w:spacing w:after="0"/>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1100" w:type="dxa"/>
            <w:vAlign w:val="bottom"/>
            <w:gridSpan w:val="4"/>
          </w:tcPr>
          <w:p>
            <w:pPr>
              <w:ind w:left="760"/>
              <w:spacing w:after="0"/>
              <w:rPr>
                <w:rFonts w:ascii="Arial" w:cs="Arial" w:eastAsia="Arial" w:hAnsi="Arial"/>
                <w:sz w:val="18"/>
                <w:szCs w:val="18"/>
                <w:color w:val="0000FF"/>
              </w:rPr>
            </w:pPr>
            <w:hyperlink w:anchor="page16">
              <w:r>
                <w:rPr>
                  <w:rFonts w:ascii="Arial" w:cs="Arial" w:eastAsia="Arial" w:hAnsi="Arial"/>
                  <w:sz w:val="18"/>
                  <w:szCs w:val="18"/>
                  <w:color w:val="0000FF"/>
                </w:rPr>
                <w:t>15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3.</w:t>
              </w:r>
            </w:hyperlink>
          </w:p>
        </w:tc>
        <w:tc>
          <w:tcPr>
            <w:tcW w:w="8260" w:type="dxa"/>
            <w:vAlign w:val="bottom"/>
            <w:gridSpan w:val="18"/>
          </w:tcPr>
          <w:p>
            <w:pPr>
              <w:ind w:left="60"/>
              <w:spacing w:after="0"/>
              <w:rPr>
                <w:rFonts w:ascii="Arial" w:cs="Arial" w:eastAsia="Arial" w:hAnsi="Arial"/>
                <w:sz w:val="18"/>
                <w:szCs w:val="18"/>
                <w:color w:val="0000FF"/>
              </w:rPr>
            </w:pPr>
            <w:hyperlink w:anchor="page25">
              <w:r>
                <w:rPr>
                  <w:rFonts w:ascii="Arial" w:cs="Arial" w:eastAsia="Arial" w:hAnsi="Arial"/>
                  <w:sz w:val="18"/>
                  <w:szCs w:val="18"/>
                  <w:color w:val="0000FF"/>
                </w:rPr>
                <w:t>Quantitative and Qualitative Disclosures About Market Risk</w:t>
              </w:r>
            </w:hyperlink>
          </w:p>
        </w:tc>
        <w:tc>
          <w:tcPr>
            <w:tcW w:w="1100" w:type="dxa"/>
            <w:vAlign w:val="bottom"/>
            <w:gridSpan w:val="4"/>
          </w:tcPr>
          <w:p>
            <w:pPr>
              <w:ind w:left="760"/>
              <w:spacing w:after="0"/>
              <w:rPr>
                <w:rFonts w:ascii="Arial" w:cs="Arial" w:eastAsia="Arial" w:hAnsi="Arial"/>
                <w:sz w:val="18"/>
                <w:szCs w:val="18"/>
                <w:color w:val="0000FF"/>
              </w:rPr>
            </w:pPr>
            <w:hyperlink w:anchor="page25">
              <w:r>
                <w:rPr>
                  <w:rFonts w:ascii="Arial" w:cs="Arial" w:eastAsia="Arial" w:hAnsi="Arial"/>
                  <w:sz w:val="18"/>
                  <w:szCs w:val="18"/>
                  <w:color w:val="0000FF"/>
                </w:rPr>
                <w:t>23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860" w:type="dxa"/>
            <w:vAlign w:val="bottom"/>
            <w:tcBorders>
              <w:left w:val="single" w:sz="8" w:color="0000FF"/>
            </w:tcBorders>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4.</w:t>
              </w:r>
            </w:hyperlink>
          </w:p>
        </w:tc>
        <w:tc>
          <w:tcPr>
            <w:tcW w:w="8260" w:type="dxa"/>
            <w:vAlign w:val="bottom"/>
            <w:gridSpan w:val="18"/>
          </w:tcPr>
          <w:p>
            <w:pPr>
              <w:ind w:left="60"/>
              <w:spacing w:after="0"/>
              <w:rPr>
                <w:rFonts w:ascii="Arial" w:cs="Arial" w:eastAsia="Arial" w:hAnsi="Arial"/>
                <w:sz w:val="18"/>
                <w:szCs w:val="18"/>
                <w:color w:val="0000FF"/>
              </w:rPr>
            </w:pPr>
            <w:hyperlink w:anchor="page26">
              <w:r>
                <w:rPr>
                  <w:rFonts w:ascii="Arial" w:cs="Arial" w:eastAsia="Arial" w:hAnsi="Arial"/>
                  <w:sz w:val="18"/>
                  <w:szCs w:val="18"/>
                  <w:color w:val="0000FF"/>
                </w:rPr>
                <w:t>Controls and Procedures</w:t>
              </w:r>
            </w:hyperlink>
          </w:p>
        </w:tc>
        <w:tc>
          <w:tcPr>
            <w:tcW w:w="1100" w:type="dxa"/>
            <w:vAlign w:val="bottom"/>
            <w:gridSpan w:val="4"/>
          </w:tcPr>
          <w:p>
            <w:pPr>
              <w:ind w:left="760"/>
              <w:spacing w:after="0"/>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Part II.</w:t>
              </w:r>
            </w:hyperlink>
          </w:p>
        </w:tc>
        <w:tc>
          <w:tcPr>
            <w:tcW w:w="8260" w:type="dxa"/>
            <w:vAlign w:val="bottom"/>
            <w:gridSpan w:val="18"/>
          </w:tcPr>
          <w:p>
            <w:pPr>
              <w:ind w:left="60"/>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Other Information</w:t>
              </w:r>
            </w:hyperlink>
          </w:p>
        </w:tc>
        <w:tc>
          <w:tcPr>
            <w:tcW w:w="1100" w:type="dxa"/>
            <w:vAlign w:val="bottom"/>
            <w:gridSpan w:val="4"/>
          </w:tcPr>
          <w:p>
            <w:pPr>
              <w:ind w:left="760"/>
              <w:spacing w:after="0"/>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27">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8260" w:type="dxa"/>
            <w:vAlign w:val="bottom"/>
            <w:gridSpan w:val="18"/>
          </w:tcPr>
          <w:p>
            <w:pPr>
              <w:ind w:left="60"/>
              <w:spacing w:after="0"/>
              <w:rPr>
                <w:rFonts w:ascii="Arial" w:cs="Arial" w:eastAsia="Arial" w:hAnsi="Arial"/>
                <w:sz w:val="18"/>
                <w:szCs w:val="18"/>
                <w:color w:val="0000FF"/>
              </w:rPr>
            </w:pPr>
            <w:hyperlink w:anchor="page27">
              <w:r>
                <w:rPr>
                  <w:rFonts w:ascii="Arial" w:cs="Arial" w:eastAsia="Arial" w:hAnsi="Arial"/>
                  <w:sz w:val="18"/>
                  <w:szCs w:val="18"/>
                  <w:color w:val="0000FF"/>
                </w:rPr>
                <w:t>Legal Proceedings</w:t>
              </w:r>
            </w:hyperlink>
          </w:p>
        </w:tc>
        <w:tc>
          <w:tcPr>
            <w:tcW w:w="1100" w:type="dxa"/>
            <w:vAlign w:val="bottom"/>
            <w:gridSpan w:val="4"/>
          </w:tcPr>
          <w:p>
            <w:pPr>
              <w:ind w:left="76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8260" w:type="dxa"/>
            <w:vAlign w:val="bottom"/>
            <w:gridSpan w:val="18"/>
          </w:tcPr>
          <w:p>
            <w:pPr>
              <w:ind w:left="60"/>
              <w:spacing w:after="0"/>
              <w:rPr>
                <w:rFonts w:ascii="Arial" w:cs="Arial" w:eastAsia="Arial" w:hAnsi="Arial"/>
                <w:sz w:val="18"/>
                <w:szCs w:val="18"/>
                <w:color w:val="0000FF"/>
              </w:rPr>
            </w:pPr>
            <w:hyperlink w:anchor="page27">
              <w:r>
                <w:rPr>
                  <w:rFonts w:ascii="Arial" w:cs="Arial" w:eastAsia="Arial" w:hAnsi="Arial"/>
                  <w:sz w:val="18"/>
                  <w:szCs w:val="18"/>
                  <w:color w:val="0000FF"/>
                </w:rPr>
                <w:t>Risk Factors</w:t>
              </w:r>
            </w:hyperlink>
          </w:p>
        </w:tc>
        <w:tc>
          <w:tcPr>
            <w:tcW w:w="1100" w:type="dxa"/>
            <w:vAlign w:val="bottom"/>
            <w:gridSpan w:val="4"/>
          </w:tcPr>
          <w:p>
            <w:pPr>
              <w:ind w:left="76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w:t>
              </w:r>
            </w:hyperlink>
          </w:p>
        </w:tc>
        <w:tc>
          <w:tcPr>
            <w:tcW w:w="180" w:type="dxa"/>
            <w:vAlign w:val="bottom"/>
          </w:tcPr>
          <w:p>
            <w:pPr>
              <w:spacing w:after="0"/>
              <w:rPr>
                <w:sz w:val="21"/>
                <w:szCs w:val="21"/>
                <w:color w:val="auto"/>
              </w:rPr>
            </w:pPr>
          </w:p>
        </w:tc>
        <w:tc>
          <w:tcPr>
            <w:tcW w:w="8260" w:type="dxa"/>
            <w:vAlign w:val="bottom"/>
            <w:gridSpan w:val="18"/>
          </w:tcPr>
          <w:p>
            <w:pPr>
              <w:ind w:left="60"/>
              <w:spacing w:after="0"/>
              <w:rPr>
                <w:rFonts w:ascii="Arial" w:cs="Arial" w:eastAsia="Arial" w:hAnsi="Arial"/>
                <w:sz w:val="18"/>
                <w:szCs w:val="18"/>
                <w:color w:val="0000FF"/>
              </w:rPr>
            </w:pPr>
            <w:hyperlink w:anchor="page27">
              <w:r>
                <w:rPr>
                  <w:rFonts w:ascii="Arial" w:cs="Arial" w:eastAsia="Arial" w:hAnsi="Arial"/>
                  <w:sz w:val="18"/>
                  <w:szCs w:val="18"/>
                  <w:color w:val="0000FF"/>
                </w:rPr>
                <w:t>Unregistered Sales of Equity Securities and Use of Proceeds</w:t>
              </w:r>
            </w:hyperlink>
          </w:p>
        </w:tc>
        <w:tc>
          <w:tcPr>
            <w:tcW w:w="1100" w:type="dxa"/>
            <w:vAlign w:val="bottom"/>
            <w:gridSpan w:val="4"/>
          </w:tcPr>
          <w:p>
            <w:pPr>
              <w:ind w:left="76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3.</w:t>
              </w:r>
            </w:hyperlink>
          </w:p>
        </w:tc>
        <w:tc>
          <w:tcPr>
            <w:tcW w:w="8260" w:type="dxa"/>
            <w:vAlign w:val="bottom"/>
            <w:gridSpan w:val="18"/>
          </w:tcPr>
          <w:p>
            <w:pPr>
              <w:ind w:left="60"/>
              <w:spacing w:after="0"/>
              <w:rPr>
                <w:rFonts w:ascii="Arial" w:cs="Arial" w:eastAsia="Arial" w:hAnsi="Arial"/>
                <w:sz w:val="18"/>
                <w:szCs w:val="18"/>
                <w:color w:val="0000FF"/>
              </w:rPr>
            </w:pPr>
            <w:hyperlink w:anchor="page27">
              <w:r>
                <w:rPr>
                  <w:rFonts w:ascii="Arial" w:cs="Arial" w:eastAsia="Arial" w:hAnsi="Arial"/>
                  <w:sz w:val="18"/>
                  <w:szCs w:val="18"/>
                  <w:color w:val="0000FF"/>
                </w:rPr>
                <w:t>Defaults Upon Senior Securities</w:t>
              </w:r>
            </w:hyperlink>
          </w:p>
        </w:tc>
        <w:tc>
          <w:tcPr>
            <w:tcW w:w="1100" w:type="dxa"/>
            <w:vAlign w:val="bottom"/>
            <w:gridSpan w:val="4"/>
          </w:tcPr>
          <w:p>
            <w:pPr>
              <w:ind w:left="76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4.</w:t>
              </w:r>
            </w:hyperlink>
          </w:p>
        </w:tc>
        <w:tc>
          <w:tcPr>
            <w:tcW w:w="8260" w:type="dxa"/>
            <w:vAlign w:val="bottom"/>
            <w:gridSpan w:val="18"/>
          </w:tcPr>
          <w:p>
            <w:pPr>
              <w:ind w:left="60"/>
              <w:spacing w:after="0"/>
              <w:rPr>
                <w:rFonts w:ascii="Arial" w:cs="Arial" w:eastAsia="Arial" w:hAnsi="Arial"/>
                <w:sz w:val="18"/>
                <w:szCs w:val="18"/>
                <w:color w:val="0000FF"/>
              </w:rPr>
            </w:pPr>
            <w:hyperlink w:anchor="page27">
              <w:r>
                <w:rPr>
                  <w:rFonts w:ascii="Arial" w:cs="Arial" w:eastAsia="Arial" w:hAnsi="Arial"/>
                  <w:sz w:val="18"/>
                  <w:szCs w:val="18"/>
                  <w:color w:val="0000FF"/>
                </w:rPr>
                <w:t>Mine Safety Disclosures</w:t>
              </w:r>
            </w:hyperlink>
          </w:p>
        </w:tc>
        <w:tc>
          <w:tcPr>
            <w:tcW w:w="1100" w:type="dxa"/>
            <w:vAlign w:val="bottom"/>
            <w:gridSpan w:val="4"/>
          </w:tcPr>
          <w:p>
            <w:pPr>
              <w:ind w:left="76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5.</w:t>
              </w:r>
            </w:hyperlink>
          </w:p>
        </w:tc>
        <w:tc>
          <w:tcPr>
            <w:tcW w:w="8260" w:type="dxa"/>
            <w:vAlign w:val="bottom"/>
            <w:gridSpan w:val="18"/>
          </w:tcPr>
          <w:p>
            <w:pPr>
              <w:ind w:left="60"/>
              <w:spacing w:after="0"/>
              <w:rPr>
                <w:rFonts w:ascii="Arial" w:cs="Arial" w:eastAsia="Arial" w:hAnsi="Arial"/>
                <w:sz w:val="18"/>
                <w:szCs w:val="18"/>
                <w:color w:val="0000FF"/>
              </w:rPr>
            </w:pPr>
            <w:hyperlink w:anchor="page27">
              <w:r>
                <w:rPr>
                  <w:rFonts w:ascii="Arial" w:cs="Arial" w:eastAsia="Arial" w:hAnsi="Arial"/>
                  <w:sz w:val="18"/>
                  <w:szCs w:val="18"/>
                  <w:color w:val="0000FF"/>
                </w:rPr>
                <w:t>Other Information</w:t>
              </w:r>
            </w:hyperlink>
          </w:p>
        </w:tc>
        <w:tc>
          <w:tcPr>
            <w:tcW w:w="1100" w:type="dxa"/>
            <w:vAlign w:val="bottom"/>
            <w:gridSpan w:val="4"/>
          </w:tcPr>
          <w:p>
            <w:pPr>
              <w:ind w:left="76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6900" w:type="dxa"/>
            <w:vAlign w:val="bottom"/>
            <w:gridSpan w:val="1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6.</w:t>
              </w:r>
            </w:hyperlink>
          </w:p>
        </w:tc>
        <w:tc>
          <w:tcPr>
            <w:tcW w:w="8260" w:type="dxa"/>
            <w:vAlign w:val="bottom"/>
            <w:gridSpan w:val="18"/>
          </w:tcPr>
          <w:p>
            <w:pPr>
              <w:ind w:left="60"/>
              <w:spacing w:after="0"/>
              <w:rPr>
                <w:rFonts w:ascii="Arial" w:cs="Arial" w:eastAsia="Arial" w:hAnsi="Arial"/>
                <w:sz w:val="18"/>
                <w:szCs w:val="18"/>
                <w:color w:val="0000FF"/>
              </w:rPr>
            </w:pPr>
            <w:hyperlink w:anchor="page27">
              <w:r>
                <w:rPr>
                  <w:rFonts w:ascii="Arial" w:cs="Arial" w:eastAsia="Arial" w:hAnsi="Arial"/>
                  <w:sz w:val="18"/>
                  <w:szCs w:val="18"/>
                  <w:color w:val="0000FF"/>
                </w:rPr>
                <w:t>Exhibits</w:t>
              </w:r>
            </w:hyperlink>
          </w:p>
        </w:tc>
        <w:tc>
          <w:tcPr>
            <w:tcW w:w="1100" w:type="dxa"/>
            <w:vAlign w:val="bottom"/>
            <w:gridSpan w:val="4"/>
          </w:tcPr>
          <w:p>
            <w:pPr>
              <w:ind w:left="76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5"/>
              </w:rPr>
            </w:pPr>
            <w:hyperlink w:anchor="page28">
              <w:r>
                <w:rPr>
                  <w:rFonts w:ascii="Arial" w:cs="Arial" w:eastAsia="Arial" w:hAnsi="Arial"/>
                  <w:sz w:val="18"/>
                  <w:szCs w:val="18"/>
                  <w:b w:val="1"/>
                  <w:bCs w:val="1"/>
                  <w:color w:val="0000FF"/>
                  <w:w w:val="85"/>
                </w:rPr>
                <w:t>Signatures</w:t>
              </w:r>
            </w:hyperlink>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180"/>
          </w:cols>
          <w:pgMar w:left="280" w:top="364" w:right="14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28,</w:t>
            </w:r>
          </w:p>
        </w:tc>
        <w:tc>
          <w:tcPr>
            <w:tcW w:w="1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r>
      <w:tr>
        <w:trPr>
          <w:trHeight w:val="27"/>
        </w:trPr>
        <w:tc>
          <w:tcPr>
            <w:tcW w:w="8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1,169</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66,923</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54,924</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27,589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23,020</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5,528</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Income tax receivables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5,990</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248,688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229,006</w:t>
            </w:r>
          </w:p>
        </w:tc>
      </w:tr>
      <w:tr>
        <w:trPr>
          <w:trHeight w:val="277"/>
        </w:trPr>
        <w:tc>
          <w:tcPr>
            <w:tcW w:w="8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12,622</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3,347</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Advertising rights, net and other assets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1,157</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37"/>
        </w:trPr>
        <w:tc>
          <w:tcPr>
            <w:tcW w:w="8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18,565</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1,497</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Buildings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56,431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61,949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61,654</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Office furniture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Computer software and hardware</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42,709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42,172</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Equipment held for rental</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Demonstration equipment</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9,806</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 equipment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4,116</w:t>
            </w:r>
          </w:p>
        </w:tc>
      </w:tr>
      <w:tr>
        <w:trPr>
          <w:trHeight w:val="237"/>
        </w:trPr>
        <w:tc>
          <w:tcPr>
            <w:tcW w:w="8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192,598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192,327</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123,931</w:t>
            </w:r>
          </w:p>
        </w:tc>
      </w:tr>
      <w:tr>
        <w:trPr>
          <w:trHeight w:val="237"/>
        </w:trPr>
        <w:tc>
          <w:tcPr>
            <w:tcW w:w="8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68,396</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333,552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315,967</w:t>
            </w:r>
          </w:p>
        </w:tc>
      </w:tr>
      <w:tr>
        <w:trPr>
          <w:trHeight w:val="20"/>
        </w:trPr>
        <w:tc>
          <w:tcPr>
            <w:tcW w:w="8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8694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94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20"/>
          </w:cols>
          <w:pgMar w:left="240" w:top="121" w:right="8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July 28,</w:t>
            </w:r>
          </w:p>
        </w:tc>
        <w:tc>
          <w:tcPr>
            <w:tcW w:w="1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r>
      <w:tr>
        <w:trPr>
          <w:trHeight w:val="27"/>
        </w:trPr>
        <w:tc>
          <w:tcPr>
            <w:tcW w:w="8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Notes payable, bank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33,906</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13,049</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12,826</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 (billed or collected)</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payable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122,546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109,173</w:t>
            </w:r>
          </w:p>
        </w:tc>
      </w:tr>
      <w:tr>
        <w:trPr>
          <w:trHeight w:val="277"/>
        </w:trPr>
        <w:tc>
          <w:tcPr>
            <w:tcW w:w="8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4,361</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1,453</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15,989</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139,601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125,162</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no par value, authorized 120,000,000 shares; 42,046,796 and 41,930,116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shares issued at July 28, 2012 and April 28, 2012,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34,631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25,084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24,320</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131,830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Treasury stock, at cost, 19,680 shares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193,951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190,805</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333,552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315,967</w:t>
            </w:r>
          </w:p>
        </w:tc>
      </w:tr>
      <w:tr>
        <w:trPr>
          <w:trHeight w:val="20"/>
        </w:trPr>
        <w:tc>
          <w:tcPr>
            <w:tcW w:w="8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8694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820"/>
          </w:cols>
          <w:pgMar w:left="240" w:top="122"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20"/>
          </w:cols>
          <w:pgMar w:left="240" w:top="122" w:right="8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4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28,</w:t>
            </w:r>
          </w:p>
        </w:tc>
        <w:tc>
          <w:tcPr>
            <w:tcW w:w="2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30,</w:t>
            </w:r>
          </w:p>
        </w:tc>
      </w:tr>
      <w:tr>
        <w:trPr>
          <w:trHeight w:val="234"/>
        </w:trPr>
        <w:tc>
          <w:tcPr>
            <w:tcW w:w="45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7"/>
        </w:trPr>
        <w:tc>
          <w:tcPr>
            <w:tcW w:w="45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118,698</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96,529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89,191</w:t>
            </w:r>
          </w:p>
        </w:tc>
      </w:tr>
      <w:tr>
        <w:trPr>
          <w:trHeight w:val="27"/>
        </w:trPr>
        <w:tc>
          <w:tcPr>
            <w:tcW w:w="45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3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36,390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29,507</w:t>
            </w:r>
          </w:p>
        </w:tc>
      </w:tr>
      <w:tr>
        <w:trPr>
          <w:trHeight w:val="284"/>
        </w:trPr>
        <w:tc>
          <w:tcPr>
            <w:tcW w:w="45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13,080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12,209</w:t>
            </w:r>
          </w:p>
        </w:tc>
      </w:tr>
      <w:tr>
        <w:trPr>
          <w:trHeight w:val="27"/>
        </w:trPr>
        <w:tc>
          <w:tcPr>
            <w:tcW w:w="4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6,464</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5,718</w:t>
            </w:r>
          </w:p>
        </w:tc>
      </w:tr>
      <w:tr>
        <w:trPr>
          <w:trHeight w:val="27"/>
        </w:trPr>
        <w:tc>
          <w:tcPr>
            <w:tcW w:w="45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24,391</w:t>
            </w:r>
          </w:p>
        </w:tc>
      </w:tr>
      <w:tr>
        <w:trPr>
          <w:trHeight w:val="237"/>
        </w:trPr>
        <w:tc>
          <w:tcPr>
            <w:tcW w:w="452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3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10,708</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5,116</w:t>
            </w:r>
          </w:p>
        </w:tc>
      </w:tr>
      <w:tr>
        <w:trPr>
          <w:trHeight w:val="27"/>
        </w:trPr>
        <w:tc>
          <w:tcPr>
            <w:tcW w:w="45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452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4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3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77"/>
        </w:trPr>
        <w:tc>
          <w:tcPr>
            <w:tcW w:w="45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3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5,329</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1,961</w:t>
            </w:r>
          </w:p>
        </w:tc>
      </w:tr>
      <w:tr>
        <w:trPr>
          <w:trHeight w:val="27"/>
        </w:trPr>
        <w:tc>
          <w:tcPr>
            <w:tcW w:w="45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5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3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6,678</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5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Basic</w:t>
            </w:r>
          </w:p>
        </w:tc>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42,068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41,725</w:t>
            </w:r>
          </w:p>
        </w:tc>
      </w:tr>
      <w:tr>
        <w:trPr>
          <w:trHeight w:val="27"/>
        </w:trPr>
        <w:tc>
          <w:tcPr>
            <w:tcW w:w="4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42,141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41,941</w:t>
            </w:r>
          </w:p>
        </w:tc>
      </w:tr>
      <w:tr>
        <w:trPr>
          <w:trHeight w:val="284"/>
        </w:trPr>
        <w:tc>
          <w:tcPr>
            <w:tcW w:w="45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Basic</w:t>
            </w:r>
          </w:p>
        </w:tc>
        <w:tc>
          <w:tcPr>
            <w:tcW w:w="3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7"/>
        </w:trPr>
        <w:tc>
          <w:tcPr>
            <w:tcW w:w="45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r>
        <w:trPr>
          <w:trHeight w:val="277"/>
        </w:trPr>
        <w:tc>
          <w:tcPr>
            <w:tcW w:w="45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 declared per share</w:t>
            </w:r>
          </w:p>
        </w:tc>
        <w:tc>
          <w:tcPr>
            <w:tcW w:w="3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r>
      <w:tr>
        <w:trPr>
          <w:trHeight w:val="284"/>
        </w:trPr>
        <w:tc>
          <w:tcPr>
            <w:tcW w:w="45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3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675"/>
        </w:trPr>
        <w:tc>
          <w:tcPr>
            <w:tcW w:w="4520" w:type="dxa"/>
            <w:vAlign w:val="bottom"/>
          </w:tcPr>
          <w:p>
            <w:pPr>
              <w:spacing w:after="0"/>
              <w:rPr>
                <w:sz w:val="24"/>
                <w:szCs w:val="24"/>
                <w:color w:val="auto"/>
              </w:rPr>
            </w:pPr>
          </w:p>
        </w:tc>
        <w:tc>
          <w:tcPr>
            <w:tcW w:w="3460" w:type="dxa"/>
            <w:vAlign w:val="bottom"/>
          </w:tcPr>
          <w:p>
            <w:pPr>
              <w:jc w:val="right"/>
              <w:ind w:right="213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820"/>
          </w:cols>
          <w:pgMar w:left="240" w:top="122" w:right="8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28,</w:t>
            </w:r>
          </w:p>
        </w:tc>
        <w:tc>
          <w:tcPr>
            <w:tcW w:w="2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30,</w:t>
            </w:r>
          </w:p>
        </w:tc>
      </w:tr>
      <w:tr>
        <w:trPr>
          <w:trHeight w:val="234"/>
        </w:trPr>
        <w:tc>
          <w:tcPr>
            <w:tcW w:w="7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7"/>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3,368</w:t>
            </w:r>
          </w:p>
        </w:tc>
      </w:tr>
      <w:tr>
        <w:trPr>
          <w:trHeight w:val="284"/>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gains (loss) on available-for-sale securities,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other comprehensive (loss) income, net of tax</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6,425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3,459</w:t>
            </w: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8694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694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240" w:top="121" w:right="8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28,</w:t>
            </w:r>
          </w:p>
        </w:tc>
        <w:tc>
          <w:tcPr>
            <w:tcW w:w="2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30,</w:t>
            </w: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premium/discount on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Loss on sale of property and equipment</w:t>
            </w: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37"/>
        </w:trPr>
        <w:tc>
          <w:tcPr>
            <w:tcW w:w="798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16,508</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11,640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3,999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Borrowings on notes payable</w:t>
            </w:r>
          </w:p>
        </w:tc>
        <w:tc>
          <w:tcPr>
            <w:tcW w:w="24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Dividend paid</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9,417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54,308</w:t>
            </w:r>
          </w:p>
        </w:tc>
        <w:tc>
          <w:tcPr>
            <w:tcW w:w="0" w:type="dxa"/>
            <w:vAlign w:val="bottom"/>
          </w:tcPr>
          <w:p>
            <w:pPr>
              <w:spacing w:after="0"/>
              <w:rPr>
                <w:sz w:val="1"/>
                <w:szCs w:val="1"/>
                <w:color w:val="auto"/>
              </w:rPr>
            </w:pPr>
          </w:p>
        </w:tc>
      </w:tr>
      <w:tr>
        <w:trPr>
          <w:trHeight w:val="297"/>
        </w:trPr>
        <w:tc>
          <w:tcPr>
            <w:tcW w:w="79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38,840</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56,313</w:t>
            </w:r>
          </w:p>
        </w:tc>
        <w:tc>
          <w:tcPr>
            <w:tcW w:w="0" w:type="dxa"/>
            <w:vAlign w:val="bottom"/>
          </w:tcPr>
          <w:p>
            <w:pPr>
              <w:spacing w:after="0"/>
              <w:rPr>
                <w:sz w:val="1"/>
                <w:szCs w:val="1"/>
                <w:color w:val="auto"/>
              </w:rPr>
            </w:pPr>
          </w:p>
        </w:tc>
      </w:tr>
      <w:tr>
        <w:trPr>
          <w:trHeight w:val="176"/>
        </w:trPr>
        <w:tc>
          <w:tcPr>
            <w:tcW w:w="7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payments (receipts) for:</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720"/>
              <w:spacing w:after="0"/>
              <w:rPr>
                <w:sz w:val="20"/>
                <w:szCs w:val="20"/>
                <w:color w:val="auto"/>
              </w:rPr>
            </w:pPr>
            <w:r>
              <w:rPr>
                <w:rFonts w:ascii="Arial" w:cs="Arial" w:eastAsia="Arial" w:hAnsi="Arial"/>
                <w:sz w:val="18"/>
                <w:szCs w:val="18"/>
                <w:color w:val="auto"/>
              </w:rPr>
              <w:t>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net of payments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189"/>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 included in accounts payable</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8694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694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820"/>
          </w:cols>
          <w:pgMar w:left="240" w:top="121" w:right="839" w:bottom="813" w:gutter="0" w:footer="0" w:header="0"/>
        </w:sectPr>
      </w:pPr>
    </w:p>
    <w:p>
      <w:pPr>
        <w:spacing w:after="0" w:line="200" w:lineRule="exact"/>
        <w:rPr>
          <w:sz w:val="20"/>
          <w:szCs w:val="20"/>
          <w:color w:val="auto"/>
        </w:rPr>
      </w:pPr>
    </w:p>
    <w:p>
      <w:pPr>
        <w:spacing w:after="0" w:line="29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820"/>
          </w:cols>
          <w:pgMar w:left="240" w:top="121" w:right="839" w:bottom="813"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28, 2012 has been derived from the audited financial statements at that date, but it does not include all of the information and footnotes required by generally accepted accounting principles for complete financial statements. These financial statements should be read in conjunction with our financial statements and notes thereto for the year ended April 28, 2012,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2011, the Financial Accounting Standards Board ("FASB") issued Accounting Standards Update ("ASU") 2011-05, </w:t>
      </w:r>
      <w:r>
        <w:rPr>
          <w:rFonts w:ascii="Arial" w:cs="Arial" w:eastAsia="Arial" w:hAnsi="Arial"/>
          <w:sz w:val="17"/>
          <w:szCs w:val="17"/>
          <w:i w:val="1"/>
          <w:iCs w:val="1"/>
          <w:color w:val="auto"/>
        </w:rPr>
        <w:t>Comprehensive Income (Topic</w:t>
      </w:r>
      <w:r>
        <w:rPr>
          <w:rFonts w:ascii="Arial" w:cs="Arial" w:eastAsia="Arial" w:hAnsi="Arial"/>
          <w:sz w:val="17"/>
          <w:szCs w:val="17"/>
          <w:color w:val="auto"/>
        </w:rPr>
        <w:t xml:space="preserve"> </w:t>
      </w:r>
      <w:r>
        <w:rPr>
          <w:rFonts w:ascii="Arial" w:cs="Arial" w:eastAsia="Arial" w:hAnsi="Arial"/>
          <w:sz w:val="17"/>
          <w:szCs w:val="17"/>
          <w:i w:val="1"/>
          <w:iCs w:val="1"/>
          <w:color w:val="auto"/>
        </w:rPr>
        <w:t>220): Presentation of Comprehensive Income</w:t>
      </w:r>
      <w:r>
        <w:rPr>
          <w:rFonts w:ascii="Arial" w:cs="Arial" w:eastAsia="Arial" w:hAnsi="Arial"/>
          <w:sz w:val="17"/>
          <w:szCs w:val="17"/>
          <w:color w:val="auto"/>
        </w:rPr>
        <w:t>. The ASU amends guidance for the presentation of comprehensive income. The amended guidance requires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 to present components of net income and other comprehensive income in one continuous statement, referred to as the statement of comprehensive income, or in two separate, but consecutive statements. The previous option to report other comprehensive income and its components in the statement of shareholders’ equity has been eliminated. Although the new guidance changes the presentation of comprehensive income, there are no changes to the components that are recognized in net income or other comprehensive income under existing guidance. In the first quarter of fiscal 2013, we revised our presentation of comprehensive income to conform to the guidance in this ASU.</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September 2011, the FASB issued ASU No. 2011-08, </w:t>
      </w:r>
      <w:r>
        <w:rPr>
          <w:rFonts w:ascii="Arial" w:cs="Arial" w:eastAsia="Arial" w:hAnsi="Arial"/>
          <w:sz w:val="18"/>
          <w:szCs w:val="18"/>
          <w:i w:val="1"/>
          <w:iCs w:val="1"/>
          <w:color w:val="auto"/>
        </w:rPr>
        <w:t>Intangibles – Goodwill and Other (Topic 350): Testing Goodwill for Impairment</w:t>
      </w:r>
      <w:r>
        <w:rPr>
          <w:rFonts w:ascii="Arial" w:cs="Arial" w:eastAsia="Arial" w:hAnsi="Arial"/>
          <w:sz w:val="18"/>
          <w:szCs w:val="18"/>
          <w:color w:val="auto"/>
        </w:rPr>
        <w:t>. Under this new standard, entities testing goodwill for impairment now have an option of performing a qualitative assessment before having to calculate the fair value of a reporting unit. If an entity determines, on the basis of qualitative factors, that it is more-likely-than-not that the fair value of the reporting unit is less than the carrying amount, the existing quantitative impairment test is required. Otherwise, no further impairment testing is required. This ASU will be effective for impairment tests after April 29, 2012. The adoption of this standard is not expected to have a material impact on our consolidated results of operations or financial condition, as this ASU impacts the analysis to be performed.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2012, the FASB issued ASU 2012-02, </w:t>
      </w:r>
      <w:r>
        <w:rPr>
          <w:rFonts w:ascii="Arial" w:cs="Arial" w:eastAsia="Arial" w:hAnsi="Arial"/>
          <w:sz w:val="18"/>
          <w:szCs w:val="18"/>
          <w:i w:val="1"/>
          <w:iCs w:val="1"/>
          <w:color w:val="auto"/>
        </w:rPr>
        <w:t>Intangibles - Goodwill and Other (Topic 350): Testing Indefinite-Lived Intangible Assets for Impairment.</w:t>
      </w:r>
      <w:r>
        <w:rPr>
          <w:rFonts w:ascii="Arial" w:cs="Arial" w:eastAsia="Arial" w:hAnsi="Arial"/>
          <w:sz w:val="18"/>
          <w:szCs w:val="18"/>
          <w:color w:val="auto"/>
        </w:rPr>
        <w:t xml:space="preserve"> The amended guidance gives entities the option to perform a qualitative impairment assessment to determine whether it is more likely than not that an indefinite lived intangible asset is impaired. An entity must identify and evaluate changes in economic, industry and entity-specific events and circumstances that could affect the significant inputs used to determine the fair value of an indefinite-lived intangible asset and whether it is more-likely-than-not that the fair value exceeds its carrying amount. ASU 2012-02 is effective for annual and interim impairment tests performed for fiscal years beginning after September 15, 2012 with early adoption permitted. The adoption of this amended guidance is not expected to have a material impact on our consolidated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(loss) attributable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 in our earnings.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income and common share amounts used in the calculation of basic and diluted EPS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July 28, 2012 and July 30,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July 28, 2012:</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6,678</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42,068</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6,678</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42,141</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July 30, 2011:</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3,368</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41,725</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3,368</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41,941</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3,133 shares of common stock with a weighted average exercise price of $14.11 for the three months ended July 28, 2012 and 1,658 shares of common stock with a weighted average exercise price of $19.07 for the three months ended July 30, 2011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three months ended July 28, 2012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rPr>
              <w:t>Live Events</w:t>
            </w:r>
          </w:p>
        </w:tc>
        <w:tc>
          <w:tcPr>
            <w:tcW w:w="26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Commercial</w:t>
            </w:r>
          </w:p>
        </w:tc>
        <w:tc>
          <w:tcPr>
            <w:tcW w:w="20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Transportation</w:t>
            </w:r>
          </w:p>
        </w:tc>
        <w:tc>
          <w:tcPr>
            <w:tcW w:w="40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3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28,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3,347</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3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July 28, 2012: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2,421</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3,316</w:t>
            </w:r>
          </w:p>
        </w:tc>
      </w:tr>
      <w:tr>
        <w:trPr>
          <w:trHeight w:val="20"/>
        </w:trPr>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perform an analysis of goodwill on an annual basis as of the first business day of our third quarter of each year and more frequently if circumstances warrant. We last performed this analysis as of October 30, 2011. The result of that analysis indicated that no goodwill impairment existed as of that date.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a number of risks to our business which can adversely impact cash flows in each of our business units and cause a significant decline in the fair values of each business unit. This decline could lead to an impairment of goodwill in some or all of our business units. Certain events, such as a worsening trend of orders and sales without a corresponding way to preserve future cash flows or a significant decline on our stock price, could cause a further impairment in goodwill.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4. Inventories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0"/>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28,</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28,</w:t>
            </w:r>
          </w:p>
        </w:tc>
      </w:tr>
      <w:tr>
        <w:trPr>
          <w:trHeight w:val="234"/>
        </w:trPr>
        <w:tc>
          <w:tcPr>
            <w:tcW w:w="7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24,402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24,880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9,710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10,581</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21,822</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19,463</w:t>
            </w:r>
          </w:p>
        </w:tc>
      </w:tr>
      <w:tr>
        <w:trPr>
          <w:trHeight w:val="237"/>
        </w:trPr>
        <w:tc>
          <w:tcPr>
            <w:tcW w:w="7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55,934</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54,924</w:t>
            </w:r>
          </w:p>
        </w:tc>
      </w:tr>
      <w:tr>
        <w:trPr>
          <w:trHeight w:val="27"/>
        </w:trPr>
        <w:tc>
          <w:tcPr>
            <w:tcW w:w="7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business units which meet the definition of reportable segments under Accounting Standards Codification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the Commercial segment, the Live Events segment, the Schools and Theatres segment, the Transportation segment, and the International segment. These segments are based on the type of customer and geography.</w:t>
      </w:r>
    </w:p>
    <w:p>
      <w:pPr>
        <w:spacing w:after="0" w:line="18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Commercial segment primarily consists of sales of our video, Galaxy</w:t>
      </w:r>
      <w:r>
        <w:rPr>
          <w:rFonts w:ascii="Arial" w:cs="Arial" w:eastAsia="Arial" w:hAnsi="Arial"/>
          <w:sz w:val="25"/>
          <w:szCs w:val="25"/>
          <w:color w:val="auto"/>
          <w:vertAlign w:val="superscript"/>
        </w:rPr>
        <w:t>®</w:t>
      </w:r>
      <w:r>
        <w:rPr>
          <w:rFonts w:ascii="Arial" w:cs="Arial" w:eastAsia="Arial" w:hAnsi="Arial"/>
          <w:sz w:val="18"/>
          <w:szCs w:val="18"/>
          <w:color w:val="auto"/>
        </w:rPr>
        <w:t>, Fuelight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Valo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resellers (primarily sign companies), outdoor advertisers, national retailers, quick-serve restaurants, casinos and petroleum retailers. Our Live Events segment primarily consists of sales of integrated scoring and video display systems to college and professional sports facilities and convention centers and sales of our mobile display technology to video rental organizations and other live events type venues. Our Schools and Theatres segment primarily consists of sales of scoring systems,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and video display systems to primary and secondary</w:t>
      </w:r>
    </w:p>
    <w:p>
      <w:pPr>
        <w:sectPr>
          <w:pgSz w:w="11900" w:h="16838" w:orient="portrait"/>
          <w:cols w:equalWidth="0" w:num="1">
            <w:col w:w="11420"/>
          </w:cols>
          <w:pgMar w:left="240" w:top="121"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education facilities and sales of our Vortek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rigging systems for theatre applications. Our Transportation segment primarily consists of sales of our Vanguard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governmental transportation departments, airlines and other transportation related customers. Our International segment consists of sales of all product lines outside the United States and Canada.</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that portion related to non-allocated costs, are allocated to each segment based on various financial measures. In general, segments follow the same accounting policies as those described in Note 1 of our Annual Report on Form 10-K. Unabsorbed costs of domestic field sales and services infrastructure, including most field administrative staff, are allocated to the Commercial, Live Events, and Schools and Theatres segments based on cost of sales. Shared manufacturing, building and utilities and procurement costs are allocated based on payroll dollars, square footage and various other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28,</w:t>
            </w:r>
          </w:p>
        </w:tc>
        <w:tc>
          <w:tcPr>
            <w:tcW w:w="26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30,</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7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38,356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32,703</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44,509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38,517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18,174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18,483</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16,596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15,284</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17,495</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132,919</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118,698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7,076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5,979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23,310</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17,298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6,581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design and development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6,021</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10,708</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10,872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4,194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6,678</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1,280</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Schools &amp; Theatres</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corporate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3,876</w:t>
            </w:r>
          </w:p>
        </w:tc>
        <w:tc>
          <w:tcPr>
            <w:tcW w:w="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98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989"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net of accumulated depreciation other than the United States. The following table presents information about net sales and long-lived assets in the United States and elsewhere: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28,</w:t>
            </w:r>
          </w:p>
        </w:tc>
        <w:tc>
          <w:tcPr>
            <w:tcW w:w="26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30,</w:t>
            </w:r>
          </w:p>
        </w:tc>
        <w:tc>
          <w:tcPr>
            <w:tcW w:w="0" w:type="dxa"/>
            <w:vAlign w:val="bottom"/>
          </w:tcPr>
          <w:p>
            <w:pPr>
              <w:spacing w:after="0"/>
              <w:rPr>
                <w:sz w:val="1"/>
                <w:szCs w:val="1"/>
                <w:color w:val="auto"/>
              </w:rPr>
            </w:pPr>
          </w:p>
        </w:tc>
      </w:tr>
      <w:tr>
        <w:trPr>
          <w:trHeight w:val="234"/>
        </w:trPr>
        <w:tc>
          <w:tcPr>
            <w:tcW w:w="7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7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98,100</w:t>
            </w:r>
          </w:p>
        </w:tc>
        <w:tc>
          <w:tcPr>
            <w:tcW w:w="0" w:type="dxa"/>
            <w:vAlign w:val="bottom"/>
          </w:tcPr>
          <w:p>
            <w:pPr>
              <w:spacing w:after="0"/>
              <w:rPr>
                <w:sz w:val="1"/>
                <w:szCs w:val="1"/>
                <w:color w:val="auto"/>
              </w:rPr>
            </w:pPr>
          </w:p>
        </w:tc>
      </w:tr>
      <w:tr>
        <w:trPr>
          <w:trHeight w:val="243"/>
        </w:trPr>
        <w:tc>
          <w:tcPr>
            <w:tcW w:w="788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20,598</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118,698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92"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July 28,</w:t>
      </w:r>
    </w:p>
    <w:p>
      <w:pPr>
        <w:spacing w:after="0" w:line="50"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22860</wp:posOffset>
            </wp:positionV>
            <wp:extent cx="9004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28,</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22860</wp:posOffset>
            </wp:positionV>
            <wp:extent cx="9004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9040" w:space="720"/>
            <w:col w:w="166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Long-lived assets:</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7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66,350</w:t>
            </w:r>
          </w:p>
        </w:tc>
      </w:tr>
      <w:tr>
        <w:trPr>
          <w:trHeight w:val="243"/>
        </w:trPr>
        <w:tc>
          <w:tcPr>
            <w:tcW w:w="788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2,046</w:t>
            </w:r>
          </w:p>
        </w:tc>
      </w:tr>
      <w:tr>
        <w:trPr>
          <w:trHeight w:val="27"/>
        </w:trPr>
        <w:tc>
          <w:tcPr>
            <w:tcW w:w="78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8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65,656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68,396</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not economically dependent on a limited number of customers for the sale of our products and services because we have numerous customers world-wide. We are not economically dependent on a limited number of suppliers for our inventory items because we have numerous suppliers world-wide.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We are involved in various claims and legal actions arising in the ordinary course of business. In the opinion of management, based upon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consultation with legal counsel, the ultimate disposition of these matters, taken as a whole, will not have a material adverse effect on our consolidated financial statements.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various customers, we have entered into contractual arrangements whereby we agreed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equipment at the end of the lease term at a fixed price. Our total obligations under these fixed price arrangements were $1,285 as of July 28, 2012 and April 28, 2012. We have recognized a guarantee liability in accrued expenses for the amount of $185 in accordance with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in connection with these arrangements.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offer a standard parts coverage warranty for periods varying from one to five years for all of our products. We also offer additional types of</w:t>
      </w:r>
      <w:r>
        <w:rPr>
          <w:rFonts w:ascii="Arial" w:cs="Arial" w:eastAsia="Arial" w:hAnsi="Arial"/>
          <w:sz w:val="17"/>
          <w:szCs w:val="17"/>
          <w:i w:val="1"/>
          <w:iCs w:val="1"/>
          <w:color w:val="auto"/>
        </w:rPr>
        <w:t xml:space="preserve"> </w:t>
      </w:r>
      <w:r>
        <w:rPr>
          <w:rFonts w:ascii="Arial" w:cs="Arial" w:eastAsia="Arial" w:hAnsi="Arial"/>
          <w:sz w:val="17"/>
          <w:szCs w:val="17"/>
          <w:color w:val="auto"/>
        </w:rPr>
        <w:t>warranties that include on-site labor, routine maintenance and event support. In addition, the terms of warranties on some installations can vary from one to ten years. The specific terms and conditions of these warranties vary primarily depending on the type of the product sold. We estimate the costs that may be incurred under the warranty obligations and record a liability in the amount of such estimated costs at the time the revenue is recognized. Factors that affect our estimate of the cost of our warranty obligations include historical experience and expectations of future conditions. We periodically assess the adequacy of our recorded warranty reserves and, to the extent that we experience any changes in warranty claim activity or costs associated with servicing those claims, our warranty obligation is adjusted accordingly.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liability for the three months ended July 28, 2012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27"/>
        </w:trPr>
        <w:tc>
          <w:tcPr>
            <w:tcW w:w="6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22,215</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Warranties issued during the period</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2,771</w:t>
            </w: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made during the period</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r>
      <w:tr>
        <w:trPr>
          <w:trHeight w:val="229"/>
        </w:trPr>
        <w:tc>
          <w:tcPr>
            <w:tcW w:w="6700" w:type="dxa"/>
            <w:vAlign w:val="bottom"/>
          </w:tcPr>
          <w:p>
            <w:pPr>
              <w:ind w:left="400"/>
              <w:spacing w:after="0"/>
              <w:rPr>
                <w:sz w:val="20"/>
                <w:szCs w:val="20"/>
                <w:color w:val="auto"/>
              </w:rPr>
            </w:pPr>
            <w:r>
              <w:rPr>
                <w:rFonts w:ascii="Arial" w:cs="Arial" w:eastAsia="Arial" w:hAnsi="Arial"/>
                <w:sz w:val="18"/>
                <w:szCs w:val="18"/>
                <w:color w:val="auto"/>
              </w:rPr>
              <w:t>Changes in accrued warranty costs for pre-existing</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700" w:type="dxa"/>
            <w:vAlign w:val="bottom"/>
          </w:tcPr>
          <w:p>
            <w:pPr>
              <w:ind w:left="720"/>
              <w:spacing w:after="0"/>
              <w:rPr>
                <w:sz w:val="20"/>
                <w:szCs w:val="20"/>
                <w:color w:val="auto"/>
              </w:rPr>
            </w:pPr>
            <w:r>
              <w:rPr>
                <w:rFonts w:ascii="Arial" w:cs="Arial" w:eastAsia="Arial" w:hAnsi="Arial"/>
                <w:sz w:val="18"/>
                <w:szCs w:val="18"/>
                <w:color w:val="auto"/>
              </w:rPr>
              <w:t>warranties during the period, including expirations</w:t>
            </w:r>
          </w:p>
        </w:tc>
        <w:tc>
          <w:tcPr>
            <w:tcW w:w="2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840</w:t>
            </w:r>
          </w:p>
        </w:tc>
      </w:tr>
      <w:tr>
        <w:trPr>
          <w:trHeight w:val="27"/>
        </w:trPr>
        <w:tc>
          <w:tcPr>
            <w:tcW w:w="6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costs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22,607</w:t>
            </w: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Performance guarantees: </w:t>
      </w:r>
      <w:r>
        <w:rPr>
          <w:rFonts w:ascii="Arial" w:cs="Arial" w:eastAsia="Arial" w:hAnsi="Arial"/>
          <w:sz w:val="18"/>
          <w:szCs w:val="18"/>
          <w:color w:val="auto"/>
        </w:rPr>
        <w:t>We have entered into standby letter of credit agreements, bank guarantees and surety bonds with financial institutions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guarantee of future performance on contracts, primarily construction type contracts. As of July 28, 2012, we had outstanding letters of credit agreements, bank guarantees and surety bonds in the amount of $4,193 and $25,916, respectively. Performance guarantees are issued to certain customers to guarantee the operation and installation of the equipment and our ability to complete a contract. These performance guarantees have various terms, which are generally less than one year.</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We lease vehicles and office space for various sales and service locations throughout the world, including manufacturing space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China and various equipment. Some of these leases, including the lease for manufacturing facilities in Sioux Falls, South Dakota, include provisions for extensions or purchase. The lease for the facilities in Sioux Falls, South Dakota can be extended for an additional three years past its current term, which ends December 31, 2016, and it contains an option to purchase the property subject to the lease from January 1, 2015 to December 31, 2016 for $8,400, which approximates fair value. If the lease is extended, the purchase option increases to $8,600 for the year ending December 31, 2017 and $8,800 for the year ending December 31, 2018. Rental expense for operating leases was $718 and $856 for the three months ended July 28, 2012 and July 30, 2011,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July 28,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1,605</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and various other products and services over periods that extend</w:t>
      </w:r>
      <w:r>
        <w:rPr>
          <w:rFonts w:ascii="Arial" w:cs="Arial" w:eastAsia="Arial" w:hAnsi="Arial"/>
          <w:sz w:val="18"/>
          <w:szCs w:val="18"/>
          <w:i w:val="1"/>
          <w:iCs w:val="1"/>
          <w:color w:val="auto"/>
        </w:rPr>
        <w:t xml:space="preserve"> </w:t>
      </w:r>
      <w:r>
        <w:rPr>
          <w:rFonts w:ascii="Arial" w:cs="Arial" w:eastAsia="Arial" w:hAnsi="Arial"/>
          <w:sz w:val="18"/>
          <w:szCs w:val="18"/>
          <w:color w:val="auto"/>
        </w:rPr>
        <w:t>beyond a year. As of July 28, 2012, we were obligated under the following conditional and unconditional purchase commitments, which included $1,000 in conditional purchase commitments.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1,202</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During the first quarter of fiscal 2013, we became aware of circumstances that could cause an increase in our allowance for</w:t>
      </w:r>
      <w:r>
        <w:rPr>
          <w:rFonts w:ascii="Arial" w:cs="Arial" w:eastAsia="Arial" w:hAnsi="Arial"/>
          <w:sz w:val="18"/>
          <w:szCs w:val="18"/>
          <w:i w:val="1"/>
          <w:iCs w:val="1"/>
          <w:color w:val="auto"/>
        </w:rPr>
        <w:t xml:space="preserve"> </w:t>
      </w:r>
      <w:r>
        <w:rPr>
          <w:rFonts w:ascii="Arial" w:cs="Arial" w:eastAsia="Arial" w:hAnsi="Arial"/>
          <w:sz w:val="18"/>
          <w:szCs w:val="18"/>
          <w:color w:val="auto"/>
        </w:rPr>
        <w:t>doubtful accounts in an amount between $0 and $2,500. These circumstances arise out of a contract for which payment by our customer is dependent on funding from a local government entity that is not under any legal obligation to pay our customer.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the income taxes of multiple state jurisdictions. As a result of the completion of examinations by the Internal Revenue Service on prior years and the expiration of statutes of limitations, fiscal years 2009, 2010, 2011 and 2012 are the only years remaining open under statutes of limitations. Certain subsidiaries are also subject to income tax in several foreign jurisdictions which have open tax years varying by jurisdiction beginning in fiscal 2004.</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28, 2012, we had $452 of unrecognized tax benefits that would affect our effective tax rate if recognized. We recognize interest and penalties related to income tax matters in income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to sell an asset or paid to transfer the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that may be utilized when measuring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liability, either directly or indirectly (for example, quoted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assets and liabilities in active markets or quoted market prices for identical assets or liabilities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in markets not considered to be active, inputs other than quoted prices that are observable for the asset or liability, or market-corroborated input.)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values for fixed-rate contracts receivable are estimated using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The carrying amounts reported for variable rate long-term marketing obligations approximate fair value. Fair values for fixed-rate long-term marketing obligations are estimated using a discounted cash flow calculation that applies interest rates currently being offered for debt with similar terms and underlying collateral. The total carrying value of long-term marketing obligations reported on our consolidated balance sheets approximates fair value and have been categorized as a Level 2 fair value measurement.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July 28, 2012 and April 28, 2012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July 28, 2012:</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38,840</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7,164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5,203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45,428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18,258</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63,686</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28, 2012: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29,423</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29,423</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7,657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4,505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38,148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17,607</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55,755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that are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 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 of Fannie Mae and Federal Home Loan Bank investment grade debt securities that trade with sufficient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 of investment grade municipal bonds that trade with sufficient frequency</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contractual maturities of these investments vary from two to three years. based on valuations observed in less active markets than Level 1 investments.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color w:val="auto"/>
        </w:rPr>
        <w:t>and volume to enable us to obtain pricing The fair value of these bonds was measured</w:t>
      </w:r>
    </w:p>
    <w:p>
      <w:pPr>
        <w:spacing w:after="0" w:line="339" w:lineRule="exact"/>
        <w:rPr>
          <w:sz w:val="20"/>
          <w:szCs w:val="20"/>
          <w:color w:val="auto"/>
        </w:rPr>
      </w:pPr>
    </w:p>
    <w:p>
      <w:pPr>
        <w:sectPr>
          <w:pgSz w:w="11900" w:h="16838" w:orient="portrait"/>
          <w:cols w:equalWidth="0" w:num="2">
            <w:col w:w="8080" w:space="40"/>
            <w:col w:w="3300"/>
          </w:cols>
          <w:pgMar w:left="240" w:top="122" w:right="239" w:bottom="1440" w:gutter="0" w:footer="0" w:header="0"/>
          <w:type w:val="continuous"/>
        </w:sect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that trade with sufficient frequency and volume to enable us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information on an ongoing basis. The fair value of these securities was measured based on valuation from a third party bank. See Note 11 for more information regarding our derivatives.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measurement standard also applies to certain non-financial assets and liabilities that are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did not make any material business combinations or recognize significant impairment losses during the first three months of fiscal 2013 or in all of fiscal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Marketable Securities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 cash management program which provides for the investment of cash balances not used in current operations. We classify our investments in marketable securities as available-for-sale in accordance with the provisions of ASU 320, </w:t>
      </w:r>
      <w:r>
        <w:rPr>
          <w:rFonts w:ascii="Arial" w:cs="Arial" w:eastAsia="Arial" w:hAnsi="Arial"/>
          <w:sz w:val="16"/>
          <w:szCs w:val="16"/>
          <w:i w:val="1"/>
          <w:iCs w:val="1"/>
          <w:color w:val="auto"/>
        </w:rPr>
        <w:t>Investments – Debt and Equity Securities.</w:t>
      </w:r>
      <w:r>
        <w:rPr>
          <w:rFonts w:ascii="Arial" w:cs="Arial" w:eastAsia="Arial" w:hAnsi="Arial"/>
          <w:sz w:val="16"/>
          <w:szCs w:val="16"/>
          <w:color w:val="auto"/>
        </w:rPr>
        <w:t xml:space="preserve"> Marketable securities classified as available-for-sale are reported at fair value with unrealized gains or losses, net of tax, reported in other comprehensive income (loss). Unrealized losses considered to be “other-than-temporary” are recognized currently in earnings. The cost of securities sold is based on the specific identification method. Where quoted market prices are not available, we use the market price of similar types of securities that are traded in the market to estimate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July 28, 2012 and April 28, 2012,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Amortized Cost</w:t>
            </w:r>
          </w:p>
        </w:tc>
        <w:tc>
          <w:tcPr>
            <w:tcW w:w="164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Gains</w:t>
            </w:r>
          </w:p>
        </w:tc>
        <w:tc>
          <w:tcPr>
            <w:tcW w:w="20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July 28, 2012:</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7,162</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6,500</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5,202</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6,124</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24,988</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28, 2012:</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7,657</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7,507</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4,503</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5,517</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25,184</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Realized gains or losses on investments are recorded in our consolidated statements of operations within other expense, net. Upon the sale of a security classified as available-for-sale, the security’s specific unrealized gain (loss) is reclassified out of "accumulated other comprehensive (loss) income” into earnings based on the specific identification method. In the three months ended July 28, 2012 and July 30, 2011, the reclassifications from accumulated other comprehensive (loss) income to net assets were immaterial. Realized gains and losses on sales and maturities of investments were immaterial in the three months ended July 28, 2012 and July 30, 2011.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July 28, 2012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1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Greater than 12</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14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months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3,510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3,029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6,539</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agencies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5,203</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1,587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4,557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6,144</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14,766</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products throughout the United States and in certain foreign countries on credit terms that we establish for each customer. On the sale of certain products, we have the ability to file a contractor’s lien against the product installed as collateral and to file claims against surety bonds to protect our interest in receivables. Foreign sales are at times secured by irrevocable letters of credit or bank guarantees.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are reported net of an allowance for doubtful accounts of $2,117 and $2,398 at July 28, 2012 and April 28, 2012, respectively.</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 Charge offs of receivables and our allowance for doubtful accounts related to financing receivables are not material to our financial results.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certain sales transactions, we have entered into sales contracts with installment payments exceeding six months and sales type leases. The present value of these contracts and leases is recorded as a receivable as the revenue is recognized in accordance with generally accepted accounting principles, and profit is recognized to the extent that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$19,365 and $18,452 as of July 28, 2012 and April 28, 2012, respectively. Contract and lease receivables bearing annual interest rates of 5.8 to 10.0 percent are due in varying annual installments through May 2023. The face amount of long-term receivables was $19,585 as of July 28, 2012 and $21,494 as of April 28, 2012. Included in accounts receivable as of July 28, 2012 and April 28, 2012 was $341 and $783, respectively, of retainage on construction-type contracts, all of which is expected to be collected in one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utilize derivative financial instruments to manage the economic impact of fluctuations in currency exchange rates on those transactions that are denominated in currencies other than our functional currency, which is the U.S. dollar. We enter into currency forward contracts to manage these economic risks. We account for all derivatives on the balance sheet as an asset or liability measured at fair value, and changes in fair values are recognized in earnings unless specific hedge accounting criteria are met for cash flow or net investment hedges. If such hedge accounting criteria are met, the change is deferred in shareholders’ equity as a component of accumulated other comprehensive income. The deferred items are recognized in the statement of operations in the period the derivative contract is settled. As of July 28, 2012 and April 28, 2012, we had not designated any of our derivative instruments as accounting hedges, and thus recorded the changes in fair value in the other expense, net.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United States Dollars at July 28, 2012 and April 28, 2012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900"/>
              <w:spacing w:after="0"/>
              <w:rPr>
                <w:sz w:val="20"/>
                <w:szCs w:val="20"/>
                <w:color w:val="auto"/>
              </w:rPr>
            </w:pPr>
            <w:r>
              <w:rPr>
                <w:rFonts w:ascii="Arial" w:cs="Arial" w:eastAsia="Arial" w:hAnsi="Arial"/>
                <w:sz w:val="18"/>
                <w:szCs w:val="18"/>
                <w:b w:val="1"/>
                <w:bCs w:val="1"/>
                <w:color w:val="auto"/>
              </w:rPr>
              <w:t>July 28, 2012</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28, 2012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Dollars/Singapore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Dollars/Brazilian Reais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Dollars/Euros</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July 28, 2012 and April 28, 2012, there was a net liability of $253 and $95, respectively, representing the fair value of foreign currency exchange forward contracts, which was determined using Level 2 inputs from a third party bank.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(iv) the declaration and payment of dividends; (v) the timing and magnitude of future contracts; (vi) parts shortages and longer lead times; (vii) fluctuations in margins; and (viii) the introduction of new products and technology.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in our Annual Report on Form 10-K for the fiscal year ended April 28, 2012 in the section entitled “Item 1A. Risk Factors.”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primary five segments consist of four domestic segments and one International segment. The four domestic segments consist of Live Events, Commercial, Schools and Theatres, and Transportation.</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sports facilities and colleges and universities, as well as the seasonality of the sports market. Net sales and gross profit percentages also have fluctuated due to other seasonality factors, including the impact of holidays, which primarily affects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will be subject to similar fluctuations.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and included in backlog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of the Notes to the Consolidated Financial Statements, which are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especially the large video display business in all of our business units, is very competitive, and generally our margins on these large contracts are similar across the business units over the long-term. There are, however, differences that arise in the short term among the business units, which are discussed more fully in the following analysis.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our business growth is driven by the market demand for large format electronic displays and the depth and quality of our products, including related control systems, the depth of our service offerings and our technology that serve these market demands. This growth, however, is partially offset by declines in product prices caused by increasing competition as well as declines in the costs of the raw materials and improved product designs and manufacturing methods, which decrease the per unit selling prices of displays. Within each business unit, there are also key growth drivers that apply uniquely to that business unit.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that the following factors are important growth drivers to our Commercial business unit:</w:t>
      </w:r>
    </w:p>
    <w:p>
      <w:pPr>
        <w:spacing w:after="0" w:line="237" w:lineRule="exact"/>
        <w:rPr>
          <w:sz w:val="20"/>
          <w:szCs w:val="20"/>
          <w:color w:val="auto"/>
        </w:rPr>
      </w:pPr>
    </w:p>
    <w:p>
      <w:pPr>
        <w:jc w:val="both"/>
        <w:ind w:left="660" w:hanging="328"/>
        <w:spacing w:after="0" w:line="26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continued deployment of digital billboards, which we believe can expand as billboard companies continue developing new sites for digital billboards and start to replace digital billboards which are reaching end of life, which we expect could start happening in fiscal 2014. This growth is dependent on there being no adverse changes in the digital billboard regulatory environment, which could restrict future deployments of billboards, as well as maintaining our current market share of the business that is concentrated in a few large billboard companies.</w:t>
      </w:r>
    </w:p>
    <w:p>
      <w:pPr>
        <w:spacing w:after="0" w:line="2"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growing interest in our standard display products that are used in many different retail-type establishments, among other types of applications. The demand in this area is driven by retailers and other types of commercial establishments attracting the attention of motorists and others into their establishments. It is also driven by the need to communicate messages to the general public. Furthermore, we believe that in the future there will be increased demand from national accounts, including retailers, quick serve restaurants and other types of nationwide organizations, which could lead to increasing sales.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Increasing interest in spectaculars, which include very large, intricate displays seen at casinos, amusement parks and Times Square type locations.</w:t>
      </w:r>
    </w:p>
    <w:p>
      <w:pPr>
        <w:spacing w:after="0" w:line="32"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that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product costs, which are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and services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Schools and Theatres Business Unit: </w:t>
      </w:r>
      <w:r>
        <w:rPr>
          <w:rFonts w:ascii="Arial" w:cs="Arial" w:eastAsia="Arial" w:hAnsi="Arial"/>
          <w:sz w:val="18"/>
          <w:szCs w:val="18"/>
          <w:color w:val="auto"/>
        </w:rPr>
        <w:t>Over the long-term, we believe that growth in the Schools and Theatres business unit will result from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demand for different types of displays, such as message centers at schools to communicate to students, parents and the broader community.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more sophisticated displays in more athletic venues, such as aquatics in schools.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Over the long-term, we believe that growth in the Transportation business unit will result from increasing applications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displays in locations to manage commuters, including roadway, airport, parking, transit and other applications. This growth is highly dependent on government spending, primarily federal government spending.</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that growth in the International business unit will result from achieving greater penetration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geographies, building products more suited to individual markets, and the reasons listed in each of the other business units to the extent they apply outside the United States.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can be severely impacted. Our Commercial and International business units are highly dependent 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economic conditions in general. Beginning in fiscal 2009, we began to see the impacts of the economy negatively impact our Commercial business unit and, to a lesser degree, our International business unit. As we entered into fiscal 2010, we began to see the adverse economic conditions impact our sports business, at all levels. Beginning in the second half of fiscal 2011, we saw our Commercial business unit start to rebound, led by improvements in orders for digital billboards, followed by other business units. We are uncertain as to how much the current economic conditions are still impacting our business, but we believe that there are still adverse implications of the current economic conditions in all of our business units.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and selling prices of our products have decreased over time and are expected to continue to decrease in the future. As a result, each year we must sell more products to generate the same or a greater level of net sales as in previous fiscal years. This price decline has been significant as a result of increased competition across all business units and, to a lesser extent, declines in the costs of raw materials and improved product designs and manufacturing methods.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5"/>
          </w:tcPr>
          <w:p>
            <w:pPr>
              <w:ind w:left="120"/>
              <w:spacing w:after="0"/>
              <w:rPr>
                <w:sz w:val="20"/>
                <w:szCs w:val="20"/>
                <w:color w:val="auto"/>
              </w:rPr>
            </w:pPr>
            <w:r>
              <w:rPr>
                <w:rFonts w:ascii="Arial" w:cs="Arial" w:eastAsia="Arial" w:hAnsi="Arial"/>
                <w:sz w:val="18"/>
                <w:szCs w:val="18"/>
                <w:b w:val="1"/>
                <w:bCs w:val="1"/>
                <w:color w:val="auto"/>
                <w:w w:val="93"/>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July 30,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8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0"/>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38,356</w:t>
            </w: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32,703</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44,509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38,517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18,483</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16,596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11,500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17,495</w:t>
            </w:r>
          </w:p>
        </w:tc>
        <w:tc>
          <w:tcPr>
            <w:tcW w:w="2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132,919</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118,698</w:t>
            </w: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2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44,599</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47,242</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Live Events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50,699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39,335</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Schools &amp; Theatres</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23,458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18,173</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Transportation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15,674</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22,750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19,766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173,542</w:t>
            </w: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140,190</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net sales in our Commercial business unit for the three months ended July 28, 2012 compared to the same period one year ago is</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result of:</w:t>
      </w:r>
    </w:p>
    <w:p>
      <w:pPr>
        <w:spacing w:after="0" w:line="170" w:lineRule="exact"/>
        <w:rPr>
          <w:sz w:val="20"/>
          <w:szCs w:val="20"/>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sales of on-premise advertising displays of approximately 14 percent, which is primarily due to an increase in orders for a replacement program for a national account customer upgrading its displays, that was partially offset by lower sales of off-premise advertising displays in the rest of the Commercial business unit.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sales of large video contracts of approximately 71 percent.</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net sales to outdoor advertising companies of approximately 7 percent as a result of the higher volume of orders both in the current quarter and the fourth quarter of fiscal 2012 compared to the same period one year ago.</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Orders in our Commercial business unit decreased for the three months ended July 28, 2012 compared to the same period one year ago is the net result of:</w:t>
      </w:r>
    </w:p>
    <w:p>
      <w:pPr>
        <w:spacing w:after="0" w:line="248" w:lineRule="exact"/>
        <w:rPr>
          <w:sz w:val="20"/>
          <w:szCs w:val="20"/>
          <w:color w:val="auto"/>
        </w:rPr>
      </w:pPr>
    </w:p>
    <w:p>
      <w:pPr>
        <w:jc w:val="both"/>
        <w:ind w:left="66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approximately 22 percent in orders for outdoor advertising customers. Orders in this niche can vary significantly from quarter to quarter, and the first quarter of fiscal 2013 had a unusually large number of orders that does not necessarily indicate a different trend in volume from the first quarter of fiscal 2012.</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approximately 14 percent in orders for on-premise advertising displays for the reasons cited above.</w:t>
      </w:r>
    </w:p>
    <w:p>
      <w:pPr>
        <w:spacing w:after="0" w:line="9"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approximately 55 percent in orders for large video display systems. The volume of orders in the first quarter of fiscal 2012 was unusually high due to the number of orders for installations in shopping malls and retail outlets. Similar to the volatility in orders in the billboard niche as described above, orders can vary significantly from quarter to quarter. This decline does not indicate a change in the trend, as the first quarter of fiscal 2012 was unusually high.</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all of fiscal 2013, we expect that orders in the Commercial business unit will be similar to fiscal 2012, although actual results could vary significantly. The ultimate level of orders will be heavily dependent on orders in the outdoor advertising niche, which is dependent on two primary customers and our ability to capitalize on opportunities in the large video contract portion of this business unit.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in our Live Events business unit for the three months ended July 28, 2012 compared to the same period one year ago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the higher than expected order volume in the first quarter of fiscal 2013 as explained below, which partially converted to net sales during the first quarter of fiscal 2013.</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Orders in our Live Events business unit increased for the three months ended July 28, 2012 compared to the same period one year ago primarily as the result of the receipt of orders which we had expected to book in the fourth quarter of fiscal 2012 which were delayed into the first quarter of fiscal 2013 as well as a higher level of orders that arose and booked during the first quarter of fiscal 2013, compared to one year ago. In fiscal 2012, orders were unusually high in the second quarter as compared to the first quarter of fiscal 2012, which suggested that orders one year ago had been delayed as well.</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number of factors, such as the discretionary nature of customers committing to upgrade systems versus the non-discretionary purchases associated with new construction, the current aggressive competitive environment and various other factors, make forecasting fiscal 2013 orders and net sales difficult. In addition, as we get into the late fall selling season for professional baseball facilities, the estimate for orders could change significantly based on how we view the existing opportunities. However, for the reasons cited previously, we believe that over the long term, we expect to see the Live Events business unit grow, assuming that the economy continues to improve and we are successful at counteracting competitive pressures.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decrease in net sales in our Schools and Theatres business unit for the three months ended July 28, 2012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one year ago is primarily the result of the timing of deliveries for the orders booked during the first quarter of fiscal 2013 and in the backlog at the beginning of the quarter. The summer months are typically the busiest period of the year for this business unit. This period spans the first and second quarter of our fiscal year. With rising orders as noted below, the decrease is the result of the timing of customer deliveries, with more orders shifting into the second quarter of fiscal 2013 as compared to one year ago.</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for the Schools and Theatres business unit for the three months ended July 28, 2012 compared to the same period one year ago appears to be resulting from an overall improvement in the market, which we believe is related to less impact of public school spending pressures and the growing interest in video systems in high schools.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a result of the order volume in the first quarter of fiscal 2013, we are more optimistic that this business unit can increase orders and net sales in fiscal 2013 as compared to fiscal 2012 as we continue to see less adverse impact of public school spending pressures and as a result of the reasons noted previously.</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Transportation: </w:t>
      </w:r>
      <w:r>
        <w:rPr>
          <w:rFonts w:ascii="Arial" w:cs="Arial" w:eastAsia="Arial" w:hAnsi="Arial"/>
          <w:sz w:val="17"/>
          <w:szCs w:val="17"/>
          <w:color w:val="auto"/>
        </w:rPr>
        <w:t>The increase in net sales in our Transportation business unit for the three months ended July 28, 2012 compared to the same period one year</w:t>
      </w:r>
      <w:r>
        <w:rPr>
          <w:rFonts w:ascii="Arial" w:cs="Arial" w:eastAsia="Arial" w:hAnsi="Arial"/>
          <w:sz w:val="17"/>
          <w:szCs w:val="17"/>
          <w:i w:val="1"/>
          <w:iCs w:val="1"/>
          <w:color w:val="auto"/>
        </w:rPr>
        <w:t xml:space="preserve"> </w:t>
      </w:r>
      <w:r>
        <w:rPr>
          <w:rFonts w:ascii="Arial" w:cs="Arial" w:eastAsia="Arial" w:hAnsi="Arial"/>
          <w:sz w:val="17"/>
          <w:szCs w:val="17"/>
          <w:color w:val="auto"/>
        </w:rPr>
        <w:t>ago is the result of normal volatility in the business resulting from the fluctuations of construction type contracts and an increase of $1.8 million related to orders under a large procurement contract, which resulted from a change in estimated costs to complete based on current information. The revision resulted from lower estimated costs to address a component issues in our display products in connection with a product design change.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orders in our Transportation business unit for the three months ended July 28, 2012 compared to the same period one year ago is the result of a large order in excess of $20 million for a network of displays at a major airport, which is expected to be installed in the second and third quarters of fiscal 2013. This large order was partially offset by a lower level of orders in the rest of the business unit due to delays in order bookings in the first quarter of fiscal 2013.</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For fiscal 2013, we believe that net sales in the Transportation business unit will increase significantly due to the large airport order mentioned previously.</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The decline in net sales in our International business unit for the three months ended July 28, 2012 compared to the same period one year ago</w:t>
      </w:r>
      <w:r>
        <w:rPr>
          <w:rFonts w:ascii="Arial" w:cs="Arial" w:eastAsia="Arial" w:hAnsi="Arial"/>
          <w:sz w:val="16"/>
          <w:szCs w:val="16"/>
          <w:i w:val="1"/>
          <w:iCs w:val="1"/>
          <w:color w:val="auto"/>
        </w:rPr>
        <w:t xml:space="preserve"> </w:t>
      </w:r>
      <w:r>
        <w:rPr>
          <w:rFonts w:ascii="Arial" w:cs="Arial" w:eastAsia="Arial" w:hAnsi="Arial"/>
          <w:sz w:val="16"/>
          <w:szCs w:val="16"/>
          <w:color w:val="auto"/>
        </w:rPr>
        <w:t>is the result of a lower backlog at the beginning of the first quarter of fiscal 2013 compared to the same period one year ago. This lower backlog resulted from a lower level of orders in the fourth quarter of fiscal 2012 compared to the fourth quarter of fiscal 2011 as well as a large contract for an arena in Mexico in excess of $10 million that was included in backlog at the beginning of fiscal 2012. There were a number of orders that were delayed in booking in the fourth quarter of fiscal 2012 that ultimately got booked in the first quarter of fiscal 2013, which led to a much higher level of orders in the first quarter of fiscal 2013 as compared to the same period one year ago. Based on our current pipeline of opportunities in this business unit and the volume of orders booked in the first quarter of fiscal 2013, we believe that net sales will rise in fiscal 2013 versus fiscal 2012 for this business unit.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 order backlog as of July 28, 2012 was $164 million as compared to $154 million as of July 30, 2011 and $123 million at the end of fiscal 2012. Historically, our backlog varies due to the timing of large orders and customer delivery schedules for these orders. The backlog increased from one year ago in our Live Events, Transportation, and Schools and Theatres business units and decreased in our Commercial and International business units. Our backlog is not necessarily indicative of future sales or net income.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Backlog is not a measure defined by U.S. generally accepted accounting principles, and our methodology for determining backlog may vary from the methodologies used by other companies in determining their backlog amounts. Our backlog is equal to the amount of net sales expected to be recognized in future periods on standard product and contract sales that are evidenced by an arrangement, with prices that are fixed and determinable and with collectability reasonably assured. Backlog may not be indicative of future operating results, and arrangements in our backlog may be canceled, modified or otherwise altered; therefore, it is not necessarily indicative of future sales or net income.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ind w:left="660"/>
              <w:spacing w:after="0"/>
              <w:rPr>
                <w:sz w:val="20"/>
                <w:szCs w:val="20"/>
                <w:color w:val="auto"/>
              </w:rPr>
            </w:pPr>
            <w:r>
              <w:rPr>
                <w:rFonts w:ascii="Arial" w:cs="Arial" w:eastAsia="Arial" w:hAnsi="Arial"/>
                <w:sz w:val="18"/>
                <w:szCs w:val="18"/>
                <w:b w:val="1"/>
                <w:bCs w:val="1"/>
                <w:color w:val="auto"/>
              </w:rPr>
              <w:t>July 28, 2012</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3"/>
          </w:tcPr>
          <w:p>
            <w:pPr>
              <w:ind w:left="720"/>
              <w:spacing w:after="0"/>
              <w:rPr>
                <w:sz w:val="20"/>
                <w:szCs w:val="20"/>
                <w:color w:val="auto"/>
              </w:rPr>
            </w:pPr>
            <w:r>
              <w:rPr>
                <w:rFonts w:ascii="Arial" w:cs="Arial" w:eastAsia="Arial" w:hAnsi="Arial"/>
                <w:sz w:val="18"/>
                <w:szCs w:val="18"/>
                <w:b w:val="1"/>
                <w:bCs w:val="1"/>
                <w:color w:val="auto"/>
              </w:rPr>
              <w:t>July 30, 2011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220" w:type="dxa"/>
            <w:vAlign w:val="bottom"/>
          </w:tcPr>
          <w:p>
            <w:pPr>
              <w:spacing w:after="0"/>
              <w:rPr>
                <w:sz w:val="16"/>
                <w:szCs w:val="16"/>
                <w:color w:val="auto"/>
              </w:rPr>
            </w:pPr>
          </w:p>
        </w:tc>
        <w:tc>
          <w:tcPr>
            <w:tcW w:w="16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9,849</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25.7%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7,980</w:t>
            </w:r>
          </w:p>
        </w:tc>
        <w:tc>
          <w:tcPr>
            <w:tcW w:w="15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w w:val="93"/>
              </w:rPr>
              <w:t>24.4%</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10,237</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23.0</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6,490</w:t>
            </w:r>
          </w:p>
        </w:tc>
        <w:tc>
          <w:tcPr>
            <w:tcW w:w="1560" w:type="dxa"/>
            <w:vAlign w:val="bottom"/>
            <w:gridSpan w:val="2"/>
          </w:tcPr>
          <w:p>
            <w:pPr>
              <w:ind w:left="1060"/>
              <w:spacing w:after="0"/>
              <w:rPr>
                <w:sz w:val="20"/>
                <w:szCs w:val="20"/>
                <w:color w:val="auto"/>
              </w:rPr>
            </w:pPr>
            <w:r>
              <w:rPr>
                <w:rFonts w:ascii="Arial" w:cs="Arial" w:eastAsia="Arial" w:hAnsi="Arial"/>
                <w:sz w:val="18"/>
                <w:szCs w:val="18"/>
                <w:color w:val="auto"/>
              </w:rPr>
              <w:t>16.8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5,188</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28.5</w:t>
            </w:r>
          </w:p>
        </w:tc>
        <w:tc>
          <w:tcPr>
            <w:tcW w:w="1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5,877</w:t>
            </w:r>
          </w:p>
        </w:tc>
        <w:tc>
          <w:tcPr>
            <w:tcW w:w="15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31.8</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6,732</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40.6</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4,112</w:t>
            </w:r>
          </w:p>
        </w:tc>
        <w:tc>
          <w:tcPr>
            <w:tcW w:w="1560" w:type="dxa"/>
            <w:vAlign w:val="bottom"/>
            <w:gridSpan w:val="2"/>
          </w:tcPr>
          <w:p>
            <w:pPr>
              <w:ind w:left="1060"/>
              <w:spacing w:after="0"/>
              <w:rPr>
                <w:sz w:val="20"/>
                <w:szCs w:val="20"/>
                <w:color w:val="auto"/>
              </w:rPr>
            </w:pPr>
            <w:r>
              <w:rPr>
                <w:rFonts w:ascii="Arial" w:cs="Arial" w:eastAsia="Arial" w:hAnsi="Arial"/>
                <w:sz w:val="18"/>
                <w:szCs w:val="18"/>
                <w:color w:val="auto"/>
              </w:rPr>
              <w:t>35.8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4,384</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28.7</w:t>
            </w:r>
          </w:p>
        </w:tc>
        <w:tc>
          <w:tcPr>
            <w:tcW w:w="1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5,048</w:t>
            </w:r>
          </w:p>
        </w:tc>
        <w:tc>
          <w:tcPr>
            <w:tcW w:w="15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28.9</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36,390</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27.4%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23.3 %</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29,507</w:t>
            </w:r>
          </w:p>
        </w:tc>
        <w:tc>
          <w:tcPr>
            <w:tcW w:w="1560" w:type="dxa"/>
            <w:vAlign w:val="bottom"/>
            <w:gridSpan w:val="2"/>
          </w:tcPr>
          <w:p>
            <w:pPr>
              <w:ind w:left="1060"/>
              <w:spacing w:after="0"/>
              <w:rPr>
                <w:sz w:val="20"/>
                <w:szCs w:val="20"/>
                <w:color w:val="auto"/>
              </w:rPr>
            </w:pPr>
            <w:r>
              <w:rPr>
                <w:rFonts w:ascii="Arial" w:cs="Arial" w:eastAsia="Arial" w:hAnsi="Arial"/>
                <w:sz w:val="18"/>
                <w:szCs w:val="18"/>
                <w:color w:val="auto"/>
                <w:w w:val="93"/>
              </w:rPr>
              <w:t>24.9%</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our gross profit percentage for the three months ended July 28, 2012 compared to the same period one year ago is the net result of:</w:t>
      </w:r>
    </w:p>
    <w:p>
      <w:pPr>
        <w:spacing w:after="0" w:line="237" w:lineRule="exact"/>
        <w:rPr>
          <w:sz w:val="20"/>
          <w:szCs w:val="20"/>
          <w:color w:val="auto"/>
        </w:rPr>
      </w:pPr>
    </w:p>
    <w:p>
      <w:pPr>
        <w:ind w:left="660" w:right="2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approximately 3 percentage points due to higher margins on large contracts in our Live Events business unit and International business unit as described below.</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increase of approximately 1 percentage point due to a lower percentage of manufacturing conversion costs as a percentage of net sales.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approximately 2 percentage points due to higher warranty costs as a percentage of net sales.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gross profit percent increase in the Commercial business unit for the three months ended July 28, 2012 compared to the same period one</w:t>
      </w:r>
      <w:r>
        <w:rPr>
          <w:rFonts w:ascii="Arial" w:cs="Arial" w:eastAsia="Arial" w:hAnsi="Arial"/>
          <w:sz w:val="17"/>
          <w:szCs w:val="17"/>
          <w:i w:val="1"/>
          <w:iCs w:val="1"/>
          <w:color w:val="auto"/>
        </w:rPr>
        <w:t xml:space="preserve"> </w:t>
      </w:r>
      <w:r>
        <w:rPr>
          <w:rFonts w:ascii="Arial" w:cs="Arial" w:eastAsia="Arial" w:hAnsi="Arial"/>
          <w:sz w:val="17"/>
          <w:szCs w:val="17"/>
          <w:color w:val="auto"/>
        </w:rPr>
        <w:t>year ago principally is a result of an improvement on the large contract and services portions of the business, which was partially offset by lower margins on the higher level of net sales in the national accounts area as explained above, which carry a lower overall gross profit percentage.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in the Live Events business unit for the three months ended July 28, 2012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is the result of an improvement on large contracts. This improvement resulted in part from better than expected performance on a limited number of large contracts and the higher gross profit percentage for the contracts in backlog at the beginning of the first quarter of fiscal 2013 as compared to the same time one year ago.</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gross profit percent decrease in the Schools and Theatres business unit for the three months ended July 28, 2012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one year ago is a result of lower gross profit percentages on product sales, which resulted in part from differences in component prices and various other factors.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Transportation: </w:t>
      </w:r>
      <w:r>
        <w:rPr>
          <w:rFonts w:ascii="Arial" w:cs="Arial" w:eastAsia="Arial" w:hAnsi="Arial"/>
          <w:sz w:val="17"/>
          <w:szCs w:val="17"/>
          <w:color w:val="auto"/>
        </w:rPr>
        <w:t>The gross profit percent increase in the Transportation business unit for the three months ended July 28, 2012 compared to the same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one year ago is the result of normal volatility in the business resulting from the fluctuations of construction type contracts and an increase of $1.8 million related to orders under a large procurement contract, which resulted from a change in estimated costs to complete based on current information. The revision resulted from lower estimated costs to address component issues in our display products in connection with a product design change.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decreased in the International business unit for the three months ended July 28, 2012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is a result of a decrease in the gross profit percent on large contracts.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July 28, 2012</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July 30, 2011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3,162</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7.1</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3,082</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8.0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2,610</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14.4</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2,477</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13.4</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753</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4.5</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6.7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2,909</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19.0</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14.0</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13,080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12,209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selling expenses in the first three months of fiscal 2013 compared to the same period one year ago is the net result of the following:</w:t>
      </w:r>
    </w:p>
    <w:p>
      <w:pPr>
        <w:spacing w:after="0" w:line="237"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$0.4 million increase in personnel costs, including taxes, primarily in our International and Commercial business units to support growth in sales and orders.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$0.4 million increase in the costs of employee benefits within all business units related to health care costs.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Commercial selling expenses increased approximately 6 percent in the first quarter of fiscal 2013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The increase was the result of a $0.2 million increase in personnel costs, including taxes and benefits. These increases are a result of the increases to support the higher level of orders, as explained previously.</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Live Events: </w:t>
      </w:r>
      <w:r>
        <w:rPr>
          <w:rFonts w:ascii="Arial" w:cs="Arial" w:eastAsia="Arial" w:hAnsi="Arial"/>
          <w:sz w:val="16"/>
          <w:szCs w:val="16"/>
          <w:color w:val="auto"/>
        </w:rPr>
        <w:t>Selling expenses increased by approximately 3 percent in the first quarter of fiscal 2013 compared to the same period in fiscal 2012.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the result of a $0.1 million increase in personnel costs, including taxes and benefits, which was offset by net decreases in various other expenses.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Selling expenses increased by $0.2 million compared to the same period in fiscal 2012. The increase for the quarter was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personnel costs, including taxes and benefits.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Selling expenses declined approximately 2 percent for the first quarter of fiscal 2013 compared to the same period one year ago. The decline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first quarter was due to a $0.1 million decrease in bad debt and depreciation expenses, partially offset by net increases in various other expenses.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Selling expenses increased by $0.5 million compared to the same period in fiscal 2012. Increases were the net result of a $0.2 million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payroll costs, net of taxes and benefits, and increases in bad debt expense of $0.3 million, which were offset by decreases in various other expenses.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July 28, 2012</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July 30, 2011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6,021</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5,718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related costs for administrative departments, training costs, amortization of intangibles and the costs of supplies. General and administrative expense in the first quarter of fiscal 2013 as compared to the same period one year ago remained relatively flat as increases in payroll costs, including taxes and benefits, were offset by net decreases in various other expenses.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Product design and development expenses </w:t>
      </w:r>
      <w:r>
        <w:rPr>
          <w:rFonts w:ascii="Arial" w:cs="Arial" w:eastAsia="Arial" w:hAnsi="Arial"/>
          <w:sz w:val="18"/>
          <w:szCs w:val="18"/>
          <w:color w:val="auto"/>
        </w:rPr>
        <w:t>consist primarily of salaries, other employee-related costs, facilities and equipment-related costs and supplies.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development investments in the near term are focused on video technology with tighter pixel pitches for outdoor applications using LED surface mount technology, which offer improved performance at a lower cost point over our current offering. In addition, we continue to focus on a new full-color family of Vanguard displays for the transportation market and various other products to standardize display components and control systems for both single site displays and networked displays. Our costs for product development represent an allocated amount of costs based on time charges, materials costs and overhead of our engineering</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departments. Generally, a significant portion of our engineering time is spent on product development, while the rest is allocated to large contract work and included in cost of goods sold. The increase in product development expense in the first quarter of fiscal 2013 as compared to the same period one year ago is due to the net impact on product development of the following:</w:t>
      </w:r>
    </w:p>
    <w:p>
      <w:pPr>
        <w:spacing w:after="0" w:line="181" w:lineRule="exact"/>
        <w:rPr>
          <w:sz w:val="20"/>
          <w:szCs w:val="20"/>
          <w:color w:val="auto"/>
        </w:rPr>
      </w:pPr>
    </w:p>
    <w:p>
      <w:pPr>
        <w:ind w:left="660" w:right="2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personnel costs, including taxes and benefits, within our engineering group of $0.6 million, as we increased our staff to support the continued rollout of our display and control system platforms.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$0.5 million in materials cost to prototype and test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$0.4 million in various other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660"/>
              <w:spacing w:after="0"/>
              <w:rPr>
                <w:sz w:val="20"/>
                <w:szCs w:val="20"/>
                <w:color w:val="auto"/>
              </w:rPr>
            </w:pPr>
            <w:r>
              <w:rPr>
                <w:rFonts w:ascii="Arial" w:cs="Arial" w:eastAsia="Arial" w:hAnsi="Arial"/>
                <w:sz w:val="18"/>
                <w:szCs w:val="18"/>
                <w:b w:val="1"/>
                <w:bCs w:val="1"/>
                <w:color w:val="auto"/>
              </w:rPr>
              <w:t>July 28, 2012</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July 30, 2011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Interest income, net: </w:t>
      </w:r>
      <w:r>
        <w:rPr>
          <w:rFonts w:ascii="Arial" w:cs="Arial" w:eastAsia="Arial" w:hAnsi="Arial"/>
          <w:sz w:val="17"/>
          <w:szCs w:val="17"/>
          <w:color w:val="auto"/>
        </w:rPr>
        <w:t>We generate interest income through short-term cash investments, marketable securities, product sales on an installment basis, under</w:t>
      </w:r>
      <w:r>
        <w:rPr>
          <w:rFonts w:ascii="Arial" w:cs="Arial" w:eastAsia="Arial" w:hAnsi="Arial"/>
          <w:sz w:val="17"/>
          <w:szCs w:val="17"/>
          <w:i w:val="1"/>
          <w:iCs w:val="1"/>
          <w:color w:val="auto"/>
        </w:rPr>
        <w:t xml:space="preserve"> </w:t>
      </w:r>
      <w:r>
        <w:rPr>
          <w:rFonts w:ascii="Arial" w:cs="Arial" w:eastAsia="Arial" w:hAnsi="Arial"/>
          <w:sz w:val="17"/>
          <w:szCs w:val="17"/>
          <w:color w:val="auto"/>
        </w:rPr>
        <w:t>lease arrangements, or in exchange for the rights to sell and retain advertising revenues from displays, which result in long-term receivables. Interest expense is comprised primarily of interest costs on long-term marketing obligations and the unused portion of our line of credit.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income was relatively flat compared to the same period one year ago. Interest expense increased slightly in the first quarter of fiscal 2013 as compared to the same period in fiscal 2012 due to one-time other interest charges during the period. We expect that the amount of interest income will increase through the rest of fiscal 2013 due to higher levels of interest income we anticipate receiving as we invest excess cash into higher yielding investments, although due to the volatility of working capital needs and changes in investing and financing activities, there is some uncertainty in our ability to realize this.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expenses increased slightly in the first quarter of fiscal 2013 as compared to the same period one year ago due to a decrease of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foreign currency for changes in the fair value of currency hedges, which are generally offset by net gains in the hedged transactions and offset by various other non-operating gains.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effective tax rate was 38.6 percent for the first quarter of fiscal 2013 as compared to 36.8 percent for the first quarter of fiscal 2012. Our effective tax rate can vary significantly due to the mix of pre-tax income in different countries and the estimate of the annual effective rate in each country.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comparing the first quarter of fiscal 2013 to the same period in fiscal 2012, the change in the effective tax rate is due to the net impact of the following items:</w:t>
      </w:r>
    </w:p>
    <w:p>
      <w:pPr>
        <w:spacing w:after="0" w:line="170"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effective tax rate of approximately 3 percentage points as a result of a favorable adjustment in the first quarter of fiscal 2012 to the estimated benefit of the research and development tax credit.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the effective tax rate of approximately 0.4 percentage points due to the lower impact of state income taxes as a result of the increased amount of foreign income not subject to state income taxes.</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decrease in the effective rate of approximately 0.5 percentage points due to the New Hire Retention credit put into law during fiscal year 2012.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5"/>
          </w:tcPr>
          <w:p>
            <w:pPr>
              <w:ind w:left="120"/>
              <w:spacing w:after="0"/>
              <w:rPr>
                <w:sz w:val="20"/>
                <w:szCs w:val="20"/>
                <w:color w:val="auto"/>
              </w:rPr>
            </w:pPr>
            <w:r>
              <w:rPr>
                <w:rFonts w:ascii="Arial" w:cs="Arial" w:eastAsia="Arial" w:hAnsi="Arial"/>
                <w:sz w:val="18"/>
                <w:szCs w:val="18"/>
                <w:b w:val="1"/>
                <w:bCs w:val="1"/>
                <w:color w:val="auto"/>
                <w:w w:val="93"/>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28,</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July 30,</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8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0"/>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provided by (used in):</w:t>
            </w: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16,508</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11,640</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(5,656)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2,005</w:t>
            </w: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The increase in cash from operating activities for the first three months of fiscal 2013 as compared to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fiscal 2012 was the net result of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net income of $3.3 million plus $2.5 million in changes in net operating assets and liabilities, adjusted by depreciation, and amortization of $0.8 million.</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most significant drivers of the change in net operating assets and liabilities from April 28, 2012 to July 28, 2012 was the net result of the following:</w:t>
      </w:r>
    </w:p>
    <w:p>
      <w:pPr>
        <w:spacing w:after="0" w:line="18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increase in accounts receivables, which decreased cash from operations by $9.5 million. Days sales outstanding increased from 54 days as of April 28, 2012 to 56 days as of July 28, 2012. This change results from the natural volatility that can occur with large projects and the timing of customer payments.</w:t>
      </w:r>
    </w:p>
    <w:p>
      <w:pPr>
        <w:jc w:val="both"/>
        <w:ind w:left="1300" w:hanging="320"/>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increase in both costs and earnings in excess of billings and billings in excess of costs and estimated earnings, which increased cash from operations by $1.3 million. This increase is due to the timing of construction type contracts, which can fluctuate significantly based on the particular contracts and their related billings.</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increase in customer deposits of $6.6 million. During the first quarter of fiscal 2013, we had several large projects that were executed, which impacted the customer deposits balance significantly.</w:t>
      </w: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increase in various other operating assets and liabilities, net, which increased cash from operations by $7.0 million.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as described above, which can cause significant fluctuations in the short term in inventory, accounts receivables, accounts payable, customer deposits, costs and earnings in excess of billings and various other operating assets and liabilities.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The decrease in cash used in investing activities for the first three months of fiscal 2013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2012 was the result of the net effect of the following:</w:t>
      </w:r>
    </w:p>
    <w:p>
      <w:pPr>
        <w:spacing w:after="0" w:line="170" w:lineRule="exact"/>
        <w:rPr>
          <w:sz w:val="20"/>
          <w:szCs w:val="20"/>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the net cash invested in marketable securities, net of maturities. Since the first quarter of fiscal 2012, we have maintained a consistent level of marketable securities and, therefore, the change is the result of the lack of additions to excess cash invested in marketable securities since that time.</w:t>
      </w:r>
    </w:p>
    <w:p>
      <w:pPr>
        <w:spacing w:after="0" w:line="181"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purchases of property and equipment of $1.5 million. During the first three months of fiscal 2013, we invested $0.8 in manufacturing equipment, $0.4 million in product demonstration equipment, $0.3 million in information systems infrastructure, including software, and $0.1 million in other assets. Capital expenditures are expected to be $14 million for the fiscal year as a whole.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The increase in cash used by financing activities for the first three months of fiscal 2013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fiscal 2012 was the result of an increase in dividends paid to shareholders as explained elsewhere in this Report and net repayments of our short-term debt obligations.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 Discussion: </w:t>
      </w:r>
      <w:r>
        <w:rPr>
          <w:rFonts w:ascii="Arial" w:cs="Arial" w:eastAsia="Arial" w:hAnsi="Arial"/>
          <w:sz w:val="18"/>
          <w:szCs w:val="18"/>
          <w:color w:val="auto"/>
        </w:rPr>
        <w:t>Included in receivables and costs in excess of billings as of July 28, 2012 was approximately $4.0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retainage on long-term contracts, all of which is expected to be collected within one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Working capital was $126.1 million at July 28, 2012 and $119.8 million at April 28, 2012. We have historically financed working capital needs through a combination of cash flow from operations and borrowings under bank credit agreements.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used and expect to continue to use cash reserves and, to a lesser extent and primarily in China,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product development activities during the first quarter of fiscal 2013 included the enhancement of existing display and control systems products and the development of new products from existing technologies, including new architectural lighting applications. Product design and development expenses were $6.0 million for the first quarter of fiscal 2013 as compared to $5.7 million for the first quarter of fiscal 2012. We expect to incur expenditures at a higher rate than our long-term targeted level of four percent of net sales throughout the rest of fiscal 2013 to develop new display products and solutions that will offer higher resolution and more cost-effective and energy-efficient displays, as well as control systems that are provided with the displays. We intend to continue developing software applications related to our display systems to enable these products to continue to meet the needs and expectations of the marketplace.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credit agreement with a U.S. bank that provides for a $35.0 million line of credit and includes up to $15.0 million for standby letters of credit. The line of credit is due on November 15, 2012. The interest rate ranges from LIBOR plus 125 basis points to LIBOR plus 175 basis points depending on the ratio of our interest-bearing debt to EBITDA. EBITDA is defined as net income before income taxes, interest expense, depreciation and amortization. The effective interest rate was 1.5 percent at July 28, 2012. We are assessed a loan fee equal to 0.125 percent per annum of any non-used portion of the loan. As of July 28, 2012, there were no advances under the line of credit.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a capital expenditure reserve of $6 million, and income tax expense, over (b) all principal and interest payments with respect to debt, excluding debt outstanding on the line of credit;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an additional credit agreement with another U.S. bank that expires on November 15, 2012 that is intended to support our credit needs outside of the U.S., primarily in China. The facility provides for a $20.0 million line of credit and includes facilities to issue up to $20.0 million for letters of credit and bank guarantees and to secure foreign loans. This U.S. credit facility secured the credit facilities that we entered into in China and the United Kingdom with affiliates of the U.S. bank. The U.S. credit agreement is unsecured and is cross collateralized with the $35.0 million line of credit described above. It contains the same covenants as the credit agreement for that line of credit. As of July 28, 2012, there was $0.5 million of advances outstanding under the China credit facility.</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were in compliance with all applicable covenants as July 28, 2012 and April 28, 2012. The minimum fixed charge coverage ratio as of July 28, 2012 was 54-to-1, and the ratio of interest-bearing debt to EBITDA as of July 28, 2012 was 0.04-to-1.</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24, 2012, our Board of Directors declared a semi-annual dividend of $0.115 per share on our common stock for the fiscal year ended April 28, 2012, which was paid on June 25, 2012. Although we expect to continue to pay dividends for the foreseeable future, any and all subsequent dividends will be reviewed regularly and declared by the Board at its discretion.</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that provides for an aggregate of $100.0 million in bonded work outstanding. At July 28, 2012, we had $25.9 million of bonded work outstanding against this line.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if our growth extends beyond current expectations, or if we make any strategic investments, we may need to increase our credit facilities or seek other means of financing. We anticipate that we will be able to obtain any needed funds under commercially reasonable terms from our current lenders or other sources. We believe that our working capital available from all sources will be adequate to meet the cash requirements of our operations in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July 28, 2012, most of our net sales were denominated in United States dollars, and our exposure to foreign currency exchange rate changes on net sales has not been significant. For the first quarter of fiscal 2013, net sales originating outside the United States were 12.9 percent of total net sales, of which a portion was denominated in Canadian dollars, Euros, Chinese renminbi, British pounds, Australian dollars, Brazilian reais or other currencies. If we believed that currency risk in any foreign location was significant, we would utilize foreign exchange hedging contracts to manage our exposure to the currency fluctuations. Over the long-term, net sales to international markets are expected to increase as a percentage of net sales and, consequently, a greater portion of this business could be denominated in foreign currencies. In addition, we fund our foreign subsidiaries’ operating cash needs in the form of loans denominated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U.S. dollars. As a result, operating results may become subject to fluctuations based upon changes in the exchange rates of certain currencies in relation to the United States dollar. To the extent that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exposure to market rate risk for changes in interest rates relates primarily to our debt, marketing obligations and long-term accounts receivable. We maintain a blend of both fixed and floating rate debt instruments. As of July 28, 2012, our outstanding debt was $0.5 million, substantially all of which was in variable rate obligations. Each 100 basis point increase or decrease in interest rates would have an insignificant annual effect on variable rate debt based on the balances of such debt as of July 28, 2012. As of July 28, 2012, our outstanding marketing obligations were $0.9 million, substantially all of which were in fixed rate obligations. For fixed rate debt, interest rate changes affect our fair market value but do not impact earnings or cash flows.</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July 28, 2012, our outstanding long-term receivables were $19.4 million. Each 25 basis point increase in interest rates would have an associated annual opportunity cost of $0.1 million.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maturities and weighted average interest rates on our financial instruments that are sensitive to changes in interest rates, including debt obligations.</w:t>
      </w:r>
    </w:p>
    <w:p>
      <w:pPr>
        <w:spacing w:after="0" w:line="11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34290</wp:posOffset>
            </wp:positionV>
            <wp:extent cx="37649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$31.6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July 28, 2012, which is the end of the period covered by this Report. Based upon that evaluation, the Chief Executive Officer and Chief Financial Officer concluded that as of July 28, 2012,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July 28, 2012, there was no change in our internal control over financial reporting that has materially affected, or is reasonably likely to materially affect, our internal control over financial reporting.</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involved in a variety of other legal actions relating to various matters that arise in the normal course of business. Although we are unable to predict the ultimate outcome of these legal actions, it is the opinion of management that the disposition of these matters, taken as a whole, will not have a material adverse effect on our financial condition or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28, 2012.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8694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6943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  Third Amendment to Loan Agreement dated July 2, 2012 by and between the Company and Bank of America, N.A. (1)</w:t>
      </w:r>
    </w:p>
    <w:p>
      <w:pPr>
        <w:spacing w:after="0" w:line="63" w:lineRule="exact"/>
        <w:rPr>
          <w:sz w:val="20"/>
          <w:szCs w:val="20"/>
          <w:color w:val="auto"/>
        </w:rPr>
      </w:pPr>
    </w:p>
    <w:p>
      <w:pPr>
        <w:ind w:left="480" w:right="620" w:hanging="445"/>
        <w:spacing w:after="0" w:line="277" w:lineRule="auto"/>
        <w:rPr>
          <w:sz w:val="20"/>
          <w:szCs w:val="20"/>
          <w:color w:val="auto"/>
        </w:rPr>
      </w:pPr>
      <w:r>
        <w:rPr>
          <w:rFonts w:ascii="Arial" w:cs="Arial" w:eastAsia="Arial" w:hAnsi="Arial"/>
          <w:sz w:val="18"/>
          <w:szCs w:val="18"/>
          <w:color w:val="auto"/>
        </w:rPr>
        <w:t>10.2 Reaffirmation and First Amendment to Unlimited Guaranty Agreement dated July 2, 2012 by and between the Company and Bank of America, N.A.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86943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69430" cy="308610"/>
                    </a:xfrm>
                    <a:prstGeom prst="rect">
                      <a:avLst/>
                    </a:prstGeom>
                    <a:noFill/>
                  </pic:spPr>
                </pic:pic>
              </a:graphicData>
            </a:graphic>
          </wp:anchor>
        </w:drawing>
      </w:r>
    </w:p>
    <w:p>
      <w:pPr>
        <w:ind w:left="480" w:right="640" w:hanging="445"/>
        <w:spacing w:after="0" w:line="277" w:lineRule="auto"/>
        <w:rPr>
          <w:sz w:val="20"/>
          <w:szCs w:val="20"/>
          <w:color w:val="auto"/>
        </w:rPr>
      </w:pPr>
      <w:r>
        <w:rPr>
          <w:rFonts w:ascii="Arial" w:cs="Arial" w:eastAsia="Arial" w:hAnsi="Arial"/>
          <w:sz w:val="18"/>
          <w:szCs w:val="18"/>
          <w:color w:val="auto"/>
        </w:rPr>
        <w:t>31.1 Certification of the Chief Executive Officer required by Rule 13a-14(a) or Rule 15d-14(a) under the Securities Exchange Act of 1934, as adopted pursuant to Section 302 of the Sarbanes-Oxley Act of 2002. *</w:t>
      </w:r>
    </w:p>
    <w:p>
      <w:pPr>
        <w:spacing w:after="0" w:line="8" w:lineRule="exact"/>
        <w:rPr>
          <w:sz w:val="20"/>
          <w:szCs w:val="20"/>
          <w:color w:val="auto"/>
        </w:rPr>
      </w:pPr>
    </w:p>
    <w:p>
      <w:pPr>
        <w:ind w:left="480" w:right="620" w:hanging="445"/>
        <w:spacing w:after="0" w:line="277" w:lineRule="auto"/>
        <w:rPr>
          <w:sz w:val="20"/>
          <w:szCs w:val="20"/>
          <w:color w:val="auto"/>
        </w:rPr>
      </w:pPr>
      <w:r>
        <w:rPr>
          <w:rFonts w:ascii="Arial" w:cs="Arial" w:eastAsia="Arial" w:hAnsi="Arial"/>
          <w:sz w:val="18"/>
          <w:szCs w:val="18"/>
          <w:color w:val="auto"/>
        </w:rPr>
        <w:t>31.2 Certification of the Chief Financial Officer required by Rule 13a-14(a) or Rule 15d-14(a) under the Securities Exchange Act of 1934, as adopted pursuant to Section 302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8694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6943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32.1  Certification of the Chief Executive Officer pursuant to Section 906 of the Sarbanes-Oxley Act of 2002 (18 U.S.C. Section 1350).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  Certification of the Chief Financial Officer pursuant to Section 906 of the Sarbanes-Oxley Act of 2002 (18 U.S.C. Section 1350).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86943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69430" cy="445770"/>
                    </a:xfrm>
                    <a:prstGeom prst="rect">
                      <a:avLst/>
                    </a:prstGeom>
                    <a:noFill/>
                  </pic:spPr>
                </pic:pic>
              </a:graphicData>
            </a:graphic>
          </wp:anchor>
        </w:drawing>
      </w:r>
    </w:p>
    <w:p>
      <w:pPr>
        <w:spacing w:after="0" w:line="43" w:lineRule="exact"/>
        <w:rPr>
          <w:sz w:val="20"/>
          <w:szCs w:val="20"/>
          <w:color w:val="auto"/>
        </w:rPr>
      </w:pPr>
    </w:p>
    <w:p>
      <w:pPr>
        <w:jc w:val="both"/>
        <w:ind w:left="480" w:right="620" w:hanging="472"/>
        <w:spacing w:after="0" w:line="311" w:lineRule="auto"/>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period ended July 28, 2012, formatted in Extensible Business Reporting Language (XBRL): (i) Consolidated Balance Sheets, (ii) Consolidated Statements of Operations, (iii) Consolidated Statements of Comprehensive Income, (iv) Consolidated Statements of Cash Flows, and (v) Notes to Consolidated Financial Statements.* (3)</w:t>
      </w:r>
    </w:p>
    <w:p>
      <w:pPr>
        <w:ind w:left="920" w:hanging="439"/>
        <w:spacing w:after="0"/>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our Current Report on Form 8-K filed on July 3, 2012.</w:t>
      </w:r>
    </w:p>
    <w:p>
      <w:pPr>
        <w:spacing w:after="0" w:line="63" w:lineRule="exact"/>
        <w:rPr>
          <w:rFonts w:ascii="Arial" w:cs="Arial" w:eastAsia="Arial" w:hAnsi="Arial"/>
          <w:sz w:val="18"/>
          <w:szCs w:val="18"/>
          <w:color w:val="auto"/>
        </w:rPr>
      </w:pPr>
    </w:p>
    <w:p>
      <w:pPr>
        <w:ind w:left="920" w:hanging="439"/>
        <w:spacing w:after="0"/>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10.2 filed with our Current Report on Form 8-K filed on July 3, 2012.</w:t>
      </w:r>
    </w:p>
    <w:p>
      <w:pPr>
        <w:spacing w:after="0" w:line="63" w:lineRule="exact"/>
        <w:rPr>
          <w:rFonts w:ascii="Arial" w:cs="Arial" w:eastAsia="Arial" w:hAnsi="Arial"/>
          <w:sz w:val="18"/>
          <w:szCs w:val="18"/>
          <w:color w:val="auto"/>
        </w:rPr>
      </w:pPr>
    </w:p>
    <w:p>
      <w:pPr>
        <w:jc w:val="both"/>
        <w:ind w:left="920" w:right="620" w:hanging="439"/>
        <w:spacing w:after="0" w:line="279" w:lineRule="auto"/>
        <w:tabs>
          <w:tab w:leader="none" w:pos="9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Pursuant to Rule 406T of Regulation S-T, the XBRL related information in Exhibit 101 to this Quarterly Report on Form 10-Q shall not be deemed to be “filed” for purposes of Section 18 of the Securities Exchange Act of 1934 (the “Exchange Act”), or otherwise subject to the liability of that section, and shall not be deemed part of a registration statement, prospectus or other document filed under the Securities Act of 1933 or the Exchange Act, except as shall be expressly set forth by specific reference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-756285</wp:posOffset>
            </wp:positionV>
            <wp:extent cx="68694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694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68694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694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-935990</wp:posOffset>
            </wp:positionV>
            <wp:extent cx="68694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ind w:left="920" w:hanging="439"/>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William R. Retterath</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William R. Retterath</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31, 2012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0057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0570" cy="171450"/>
                    </a:xfrm>
                    <a:prstGeom prst="rect">
                      <a:avLst/>
                    </a:prstGeom>
                    <a:noFill/>
                  </pic:spPr>
                </pic:pic>
              </a:graphicData>
            </a:graphic>
          </wp:anchor>
        </w:drawing>
      </w:r>
    </w:p>
    <w:p>
      <w:pPr>
        <w:spacing w:after="0" w:line="313"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Third Amendment to Loan Agreement dated July 2, 2012 by and between the Company and Bank of America, N.A. (1)</w:t>
      </w:r>
    </w:p>
    <w:p>
      <w:pPr>
        <w:spacing w:after="0" w:line="63" w:lineRule="exact"/>
        <w:rPr>
          <w:sz w:val="20"/>
          <w:szCs w:val="20"/>
          <w:color w:val="auto"/>
        </w:rPr>
      </w:pPr>
    </w:p>
    <w:p>
      <w:pPr>
        <w:ind w:left="500" w:right="260" w:hanging="458"/>
        <w:spacing w:after="0" w:line="277" w:lineRule="auto"/>
        <w:tabs>
          <w:tab w:leader="none" w:pos="480" w:val="left"/>
        </w:tabs>
        <w:rPr>
          <w:sz w:val="20"/>
          <w:szCs w:val="20"/>
          <w:color w:val="auto"/>
        </w:rPr>
      </w:pPr>
      <w:r>
        <w:rPr>
          <w:rFonts w:ascii="Arial" w:cs="Arial" w:eastAsia="Arial" w:hAnsi="Arial"/>
          <w:sz w:val="18"/>
          <w:szCs w:val="18"/>
          <w:color w:val="auto"/>
        </w:rPr>
        <w:t>10.2</w:t>
        <w:tab/>
        <w:t>Reaffirmation and First Amendment to Unlimited Guaranty Agreement dated July 2, 2012 by and between the Company and Bank of America, N.A.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057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0570" cy="308610"/>
                    </a:xfrm>
                    <a:prstGeom prst="rect">
                      <a:avLst/>
                    </a:prstGeom>
                    <a:noFill/>
                  </pic:spPr>
                </pic:pic>
              </a:graphicData>
            </a:graphic>
          </wp:anchor>
        </w:drawing>
      </w:r>
    </w:p>
    <w:p>
      <w:pPr>
        <w:ind w:left="500" w:right="260" w:hanging="458"/>
        <w:spacing w:after="0" w:line="277" w:lineRule="auto"/>
        <w:tabs>
          <w:tab w:leader="none" w:pos="48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w:t>
      </w:r>
    </w:p>
    <w:p>
      <w:pPr>
        <w:spacing w:after="0" w:line="8" w:lineRule="exact"/>
        <w:rPr>
          <w:sz w:val="20"/>
          <w:szCs w:val="20"/>
          <w:color w:val="auto"/>
        </w:rPr>
      </w:pPr>
    </w:p>
    <w:p>
      <w:pPr>
        <w:ind w:left="500" w:right="260" w:hanging="458"/>
        <w:spacing w:after="0" w:line="277" w:lineRule="auto"/>
        <w:tabs>
          <w:tab w:leader="none" w:pos="48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057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0570" cy="171450"/>
                    </a:xfrm>
                    <a:prstGeom prst="rect">
                      <a:avLst/>
                    </a:prstGeom>
                    <a:noFill/>
                  </pic:spPr>
                </pic:pic>
              </a:graphicData>
            </a:graphic>
          </wp:anchor>
        </w:drawing>
      </w:r>
    </w:p>
    <w:p>
      <w:pPr>
        <w:ind w:left="40"/>
        <w:spacing w:after="0"/>
        <w:tabs>
          <w:tab w:leader="none" w:pos="4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w:t>
      </w:r>
    </w:p>
    <w:p>
      <w:pPr>
        <w:spacing w:after="0" w:line="63"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0570"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0570" cy="445770"/>
                    </a:xfrm>
                    <a:prstGeom prst="rect">
                      <a:avLst/>
                    </a:prstGeom>
                    <a:noFill/>
                  </pic:spPr>
                </pic:pic>
              </a:graphicData>
            </a:graphic>
          </wp:anchor>
        </w:drawing>
      </w:r>
    </w:p>
    <w:p>
      <w:pPr>
        <w:spacing w:after="0" w:line="43" w:lineRule="exact"/>
        <w:rPr>
          <w:sz w:val="20"/>
          <w:szCs w:val="20"/>
          <w:color w:val="auto"/>
        </w:rPr>
      </w:pPr>
    </w:p>
    <w:p>
      <w:pPr>
        <w:jc w:val="both"/>
        <w:ind w:left="500" w:right="260" w:hanging="492"/>
        <w:spacing w:after="0" w:line="286"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financial information from our Quarterly Report on Form 10-Q for the period ended July 28, 2012, formatted in Extensible Business Reporting Language (XBRL): (i) Consolidated Balance Sheets, (ii) Consolidated Statements of Operations, (iii) Consolidated Statements of Comprehensive Income, (iv) Consolidated Statements of Cash Flows, and (v) Notes to Consolidated Financial Statements.* (3)</w:t>
      </w:r>
    </w:p>
    <w:p>
      <w:pPr>
        <w:spacing w:after="0" w:line="16" w:lineRule="exact"/>
        <w:rPr>
          <w:rFonts w:ascii="Arial" w:cs="Arial" w:eastAsia="Arial" w:hAnsi="Arial"/>
          <w:sz w:val="17"/>
          <w:szCs w:val="17"/>
          <w:color w:val="auto"/>
        </w:rPr>
      </w:pPr>
    </w:p>
    <w:p>
      <w:pPr>
        <w:ind w:left="940" w:hanging="446"/>
        <w:spacing w:after="0"/>
        <w:tabs>
          <w:tab w:leader="none" w:pos="9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our Current Report on Form 8-K filed on July 3, 2012.</w:t>
      </w:r>
    </w:p>
    <w:p>
      <w:pPr>
        <w:spacing w:after="0" w:line="63" w:lineRule="exact"/>
        <w:rPr>
          <w:rFonts w:ascii="Arial" w:cs="Arial" w:eastAsia="Arial" w:hAnsi="Arial"/>
          <w:sz w:val="18"/>
          <w:szCs w:val="18"/>
          <w:color w:val="auto"/>
        </w:rPr>
      </w:pPr>
    </w:p>
    <w:p>
      <w:pPr>
        <w:ind w:left="940" w:hanging="446"/>
        <w:spacing w:after="0"/>
        <w:tabs>
          <w:tab w:leader="none" w:pos="9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Incorporated by reference to Exhibit 10.2 filed with our Current Report on Form 8-K filed on July 3, 2012.</w:t>
      </w:r>
    </w:p>
    <w:p>
      <w:pPr>
        <w:spacing w:after="0" w:line="63" w:lineRule="exact"/>
        <w:rPr>
          <w:rFonts w:ascii="Arial" w:cs="Arial" w:eastAsia="Arial" w:hAnsi="Arial"/>
          <w:sz w:val="18"/>
          <w:szCs w:val="18"/>
          <w:color w:val="auto"/>
        </w:rPr>
      </w:pPr>
    </w:p>
    <w:p>
      <w:pPr>
        <w:jc w:val="both"/>
        <w:ind w:left="940" w:right="260" w:hanging="446"/>
        <w:spacing w:after="0" w:line="279" w:lineRule="auto"/>
        <w:tabs>
          <w:tab w:leader="none" w:pos="9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Pursuant to Rule 406T of Regulation S-T, the XBRL related information in Exhibit 101 to this Quarterly Report on Form 10-Q shall not be deemed to be “filed” for purposes of Section 18 of the Securities Exchange Act of 1934 (the “Exchange Act”), or otherwise subject to the liability of that section, and shall not be deemed part of a registration statement, prospectus or other document filed under the Securities Act of 1933 or the Exchange Act, except as shall be expressly set forth by specific reference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-756285</wp:posOffset>
            </wp:positionV>
            <wp:extent cx="71005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0057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-935990</wp:posOffset>
            </wp:positionV>
            <wp:extent cx="71005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ind w:left="940" w:hanging="44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EXECUTIVE OFFICER REQUIRED BY RULE 13a-14(e)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 RULE 15d-14(a) OF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28, 2012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300" w:hanging="244"/>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00" w:right="200" w:hanging="244"/>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480"/>
        <w:spacing w:after="0"/>
        <w:rPr>
          <w:sz w:val="20"/>
          <w:szCs w:val="20"/>
          <w:color w:val="auto"/>
        </w:rPr>
      </w:pPr>
      <w:r>
        <w:rPr>
          <w:rFonts w:ascii="Arial" w:cs="Arial" w:eastAsia="Arial" w:hAnsi="Arial"/>
          <w:sz w:val="18"/>
          <w:szCs w:val="18"/>
          <w:u w:val="single" w:color="auto"/>
          <w:color w:val="auto"/>
        </w:rPr>
        <w:t>/s/ James B. Morgan</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James B. Morgan</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Date: August 31, 2012</w:t>
      </w:r>
    </w:p>
    <w:p>
      <w:pPr>
        <w:sectPr>
          <w:pgSz w:w="11900" w:h="16838" w:orient="portrait"/>
          <w:cols w:equalWidth="0" w:num="1">
            <w:col w:w="11420"/>
          </w:cols>
          <w:pgMar w:left="240" w:top="58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FINANCIAL OFFICER REQUIRED BY RULE 13a-14(e)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 RULE 15d-14(a) OF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28, 2012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274"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28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William R. Retterath</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R. Retterath</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August 31, 2012</w:t>
      </w:r>
    </w:p>
    <w:p>
      <w:pPr>
        <w:sectPr>
          <w:pgSz w:w="11900" w:h="16838" w:orient="portrait"/>
          <w:cols w:equalWidth="0" w:num="1">
            <w:col w:w="11420"/>
          </w:cols>
          <w:pgMar w:left="240" w:top="58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color w:val="auto"/>
        </w:rPr>
        <w:t>EXHIBIT 32.1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EXECUTIVE OFFICER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July 28, 2012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440"/>
        <w:spacing w:after="0"/>
        <w:rPr>
          <w:sz w:val="20"/>
          <w:szCs w:val="20"/>
          <w:color w:val="auto"/>
        </w:rPr>
      </w:pPr>
      <w:r>
        <w:rPr>
          <w:rFonts w:ascii="Arial" w:cs="Arial" w:eastAsia="Arial" w:hAnsi="Arial"/>
          <w:sz w:val="18"/>
          <w:szCs w:val="18"/>
          <w:u w:val="single" w:color="auto"/>
          <w:color w:val="auto"/>
        </w:rPr>
        <w:t>/s/ James B. Morgan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James B. Morgan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Date: August 31, 2012</w:t>
      </w:r>
    </w:p>
    <w:p>
      <w:pPr>
        <w:sectPr>
          <w:pgSz w:w="11900" w:h="16838" w:orient="portrait"/>
          <w:cols w:equalWidth="0" w:num="1">
            <w:col w:w="11420"/>
          </w:cols>
          <w:pgMar w:left="240" w:top="58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color w:val="auto"/>
        </w:rPr>
        <w:t>EXHIBIT 32.2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EXECUTIVE OFFICER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6"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July 28, 2012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William R. Retterath</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R. Retterath</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August 31, 2012</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01"/>
    </w:lvl>
    <w:lvl w:ilvl="1">
      <w:lvlJc w:val="left"/>
      <w:lvlText w:val="(%2)"/>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01"/>
    </w:lvl>
    <w:lvl w:ilvl="1">
      <w:lvlJc w:val="left"/>
      <w:lvlText w:val="(%2)"/>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2019-12-09T11:44:03Z</dcterms:created>
  <dcterms:modified xsi:type="dcterms:W3CDTF">2019-12-09T11:44:03Z</dcterms:modified>
</cp:coreProperties>
</file>