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240" w:after="283"/>
        <w:jc w:val="center"/>
        <w:rPr/>
      </w:pPr>
      <w:r>
        <w:rPr>
          <w:rFonts w:ascii="Times New Roman;serif" w:hAnsi="Times New Roman;serif"/>
          <w:b/>
          <w:color w:val="000000"/>
          <w:sz w:val="20"/>
        </w:rPr>
        <w:t>Date of Report (Date of earliest event reported):</w:t>
      </w:r>
      <w:r>
        <w:rPr>
          <w:color w:val="000000"/>
        </w:rPr>
        <w:t xml:space="preserve"> </w:t>
      </w:r>
      <w:r>
        <w:rPr>
          <w:rFonts w:ascii="Times New Roman;serif" w:hAnsi="Times New Roman;serif"/>
          <w:b w:val="false"/>
          <w:color w:val="000000"/>
          <w:sz w:val="20"/>
        </w:rPr>
        <w:t>January 29,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drawing>
          <wp:inline distT="0" distB="0" distL="0" distR="0">
            <wp:extent cx="1219200"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 cy="752475"/>
                    </a:xfrm>
                    <a:prstGeom prst="rect">
                      <a:avLst/>
                    </a:prstGeom>
                  </pic:spPr>
                </pic:pic>
              </a:graphicData>
            </a:graphic>
          </wp:inline>
        </w:drawing>
      </w:r>
      <w:bookmarkStart w:id="0" w:name="i-1"/>
      <w:bookmarkEnd w:id="0"/>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Daktronics,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339" w:type="dxa"/>
        <w:jc w:val="left"/>
        <w:tblInd w:w="0" w:type="dxa"/>
        <w:tblLayout w:type="fixed"/>
        <w:tblCellMar>
          <w:top w:w="28" w:type="dxa"/>
          <w:left w:w="28" w:type="dxa"/>
          <w:bottom w:w="28" w:type="dxa"/>
          <w:right w:w="28" w:type="dxa"/>
        </w:tblCellMar>
      </w:tblPr>
      <w:tblGrid>
        <w:gridCol w:w="905"/>
        <w:gridCol w:w="795"/>
        <w:gridCol w:w="804"/>
        <w:gridCol w:w="394"/>
        <w:gridCol w:w="394"/>
        <w:gridCol w:w="398"/>
        <w:gridCol w:w="481"/>
        <w:gridCol w:w="481"/>
        <w:gridCol w:w="687"/>
      </w:tblGrid>
      <w:tr>
        <w:trPr/>
        <w:tc>
          <w:tcPr>
            <w:tcW w:w="90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001-38747</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46-0306862</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201 Daktronics Drive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Brookings, SD 57006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(605) 692-0200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93" w:type="dxa"/>
        <w:jc w:val="left"/>
        <w:tblInd w:w="0" w:type="dxa"/>
        <w:tblLayout w:type="fixed"/>
        <w:tblCellMar>
          <w:top w:w="28" w:type="dxa"/>
          <w:left w:w="28" w:type="dxa"/>
          <w:bottom w:w="28" w:type="dxa"/>
          <w:right w:w="28" w:type="dxa"/>
        </w:tblCellMar>
      </w:tblPr>
      <w:tblGrid>
        <w:gridCol w:w="1111"/>
        <w:gridCol w:w="976"/>
        <w:gridCol w:w="987"/>
        <w:gridCol w:w="564"/>
        <w:gridCol w:w="564"/>
        <w:gridCol w:w="566"/>
        <w:gridCol w:w="1118"/>
        <w:gridCol w:w="1118"/>
        <w:gridCol w:w="1589"/>
      </w:tblGrid>
      <w:tr>
        <w:trPr/>
        <w:tc>
          <w:tcPr>
            <w:tcW w:w="11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0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$0.00001 Par Value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DAKT</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240" w:after="283"/>
        <w:jc w:val="both"/>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4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Section 5 - Corporate Governance and Management</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5.02    Departure of Directors or Certain Officers; Election of Directors; Appointment of Certain Officers; Compensatory Arrangements of Certain Officers. </w:t>
      </w:r>
    </w:p>
    <w:p>
      <w:pPr>
        <w:pStyle w:val="TextBody"/>
        <w:bidi w:val="0"/>
        <w:spacing w:before="0" w:after="0"/>
        <w:jc w:val="both"/>
        <w:rPr/>
      </w:pPr>
      <w:r>
        <w:rPr/>
      </w:r>
    </w:p>
    <w:p>
      <w:pPr>
        <w:pStyle w:val="TextBody"/>
        <w:bidi w:val="0"/>
        <w:spacing w:lineRule="auto" w:line="288" w:before="0" w:after="2"/>
        <w:jc w:val="both"/>
        <w:rPr>
          <w:rFonts w:ascii="Times New Roman;serif" w:hAnsi="Times New Roman;serif"/>
          <w:b/>
          <w:i/>
          <w:color w:val="000000"/>
          <w:sz w:val="20"/>
        </w:rPr>
      </w:pPr>
      <w:r>
        <w:rPr>
          <w:rFonts w:ascii="Times New Roman;serif" w:hAnsi="Times New Roman;serif"/>
          <w:b/>
          <w:i/>
          <w:color w:val="000000"/>
          <w:sz w:val="20"/>
        </w:rPr>
        <w:t>Appointment of Ramesh Jayaraman to the Board of Directors</w:t>
      </w:r>
    </w:p>
    <w:p>
      <w:pPr>
        <w:pStyle w:val="TextBody"/>
        <w:bidi w:val="0"/>
        <w:spacing w:before="0" w:after="2"/>
        <w:jc w:val="both"/>
        <w:rPr/>
      </w:pPr>
      <w:r>
        <w:rPr/>
      </w:r>
    </w:p>
    <w:p>
      <w:pPr>
        <w:pStyle w:val="TextBody"/>
        <w:bidi w:val="0"/>
        <w:spacing w:lineRule="auto" w:line="288" w:before="0" w:after="2"/>
        <w:jc w:val="both"/>
        <w:rPr/>
      </w:pPr>
      <w:r>
        <w:rPr>
          <w:rFonts w:ascii="Times New Roman;serif" w:hAnsi="Times New Roman;serif"/>
          <w:b w:val="false"/>
          <w:color w:val="000000"/>
          <w:sz w:val="20"/>
        </w:rPr>
        <w:t>On January 30, 2026, the Board of Directors (the “</w:t>
      </w:r>
      <w:r>
        <w:rPr>
          <w:rFonts w:ascii="Times New Roman;serif" w:hAnsi="Times New Roman;serif"/>
          <w:b/>
          <w:i/>
          <w:color w:val="000000"/>
          <w:sz w:val="20"/>
        </w:rPr>
        <w:t>Board</w:t>
      </w:r>
      <w:r>
        <w:rPr>
          <w:color w:val="000000"/>
        </w:rPr>
        <w:t>”</w:t>
      </w:r>
      <w:r>
        <w:rPr>
          <w:rFonts w:ascii="Times New Roman;serif" w:hAnsi="Times New Roman;serif"/>
          <w:b w:val="false"/>
          <w:color w:val="000000"/>
          <w:sz w:val="20"/>
        </w:rPr>
        <w:t>) of Daktronics,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appointed Ramesh Jayaraman to the Board, effective February 1, 2026, with an initial term expiring at the 2027 annual meeting of stockholders and until his successor has been elected and qualified or until his earlier death, resignation, removal, or disqualification. The Board’s appointment of Mr. Jayaraman to the Board was made in accordance with the terms and conditions of the Letter Agreement, dated as of November 25, 2025, entered into between Mr. Jayaraman and the Company (the “</w:t>
      </w:r>
      <w:r>
        <w:rPr>
          <w:rFonts w:ascii="Times New Roman;serif" w:hAnsi="Times New Roman;serif"/>
          <w:b/>
          <w:i/>
          <w:color w:val="000000"/>
          <w:sz w:val="20"/>
        </w:rPr>
        <w:t>Letter Agreement</w:t>
      </w:r>
      <w:r>
        <w:rPr>
          <w:color w:val="000000"/>
        </w:rPr>
        <w:t>”</w:t>
      </w:r>
      <w:r>
        <w:rPr>
          <w:rFonts w:ascii="Times New Roman;serif" w:hAnsi="Times New Roman;serif"/>
          <w:b w:val="false"/>
          <w:color w:val="000000"/>
          <w:sz w:val="20"/>
        </w:rPr>
        <w:t>), pursuant to which Mr. Jayaraman was appointed President and Chief Executive Officer of the Company, effective as of February 1, 2026 (the “</w:t>
      </w:r>
      <w:r>
        <w:rPr>
          <w:rFonts w:ascii="Times New Roman;serif" w:hAnsi="Times New Roman;serif"/>
          <w:b/>
          <w:i/>
          <w:color w:val="000000"/>
          <w:sz w:val="20"/>
        </w:rPr>
        <w:t>Effective Date</w:t>
      </w:r>
      <w:r>
        <w:rPr>
          <w:color w:val="000000"/>
        </w:rPr>
        <w:t>”</w:t>
      </w:r>
      <w:r>
        <w:rPr>
          <w:rFonts w:ascii="Times New Roman;serif" w:hAnsi="Times New Roman;serif"/>
          <w:b w:val="false"/>
          <w:color w:val="000000"/>
          <w:sz w:val="20"/>
        </w:rPr>
        <w:t>). The material terms of the Letter Agreement, including, but not limited to, the terms of Mr. Jayaraman’s compensation arrangement with the Company in connection with his appointment as President and Chief Executive Officer of the Company, were previously disclosed in the Company’s Current Report on Form 8</w:t>
        <w:noBreakHyphen/>
        <w:t xml:space="preserve">K filed on December 3, 2025. </w:t>
      </w:r>
    </w:p>
    <w:p>
      <w:pPr>
        <w:pStyle w:val="TextBody"/>
        <w:bidi w:val="0"/>
        <w:spacing w:before="0" w:after="2"/>
        <w:jc w:val="both"/>
        <w:rPr/>
      </w:pPr>
      <w:r>
        <w:rPr/>
      </w:r>
    </w:p>
    <w:p>
      <w:pPr>
        <w:pStyle w:val="TextBody"/>
        <w:bidi w:val="0"/>
        <w:spacing w:lineRule="auto" w:line="288" w:before="0" w:after="2"/>
        <w:jc w:val="both"/>
        <w:rPr/>
      </w:pPr>
      <w:r>
        <w:rPr>
          <w:rFonts w:ascii="Times New Roman;serif" w:hAnsi="Times New Roman;serif"/>
          <w:b w:val="false"/>
          <w:color w:val="000000"/>
          <w:sz w:val="20"/>
        </w:rPr>
        <w:t>As previously disclosed, in connection with Mr. Jayaraman’s appointment as President and Chief Executive Officer of the Company, Bradley T. Wiemann, will step down from his role as Interim President and Chief Executive Officer of the Company, effective as of the Effective Date. Pursuant to the Termination Agreement and General Release of Claims, effective as of August 1, 2025 (the “</w:t>
      </w:r>
      <w:r>
        <w:rPr>
          <w:rFonts w:ascii="Times New Roman;serif" w:hAnsi="Times New Roman;serif"/>
          <w:b/>
          <w:i/>
          <w:color w:val="000000"/>
          <w:sz w:val="20"/>
        </w:rPr>
        <w:t>Termination Agreement</w:t>
      </w:r>
      <w:r>
        <w:rPr>
          <w:color w:val="000000"/>
        </w:rPr>
        <w:t>”</w:t>
      </w:r>
      <w:r>
        <w:rPr>
          <w:rFonts w:ascii="Times New Roman;serif" w:hAnsi="Times New Roman;serif"/>
          <w:b w:val="false"/>
          <w:color w:val="000000"/>
          <w:sz w:val="20"/>
        </w:rPr>
        <w:t>), Mr. Wiemann will serve as an Advisor to the successor Chief Executive Officer (the “</w:t>
      </w:r>
      <w:r>
        <w:rPr>
          <w:rFonts w:ascii="Times New Roman;serif" w:hAnsi="Times New Roman;serif"/>
          <w:b/>
          <w:i/>
          <w:color w:val="000000"/>
          <w:sz w:val="20"/>
        </w:rPr>
        <w:t>Successor CEO</w:t>
      </w:r>
      <w:r>
        <w:rPr>
          <w:color w:val="000000"/>
        </w:rPr>
        <w:t>”</w:t>
      </w:r>
      <w:r>
        <w:rPr>
          <w:rFonts w:ascii="Times New Roman;serif" w:hAnsi="Times New Roman;serif"/>
          <w:b w:val="false"/>
          <w:color w:val="000000"/>
          <w:sz w:val="20"/>
        </w:rPr>
        <w:t>) through a reasonable onboarding period as determined by the Board and the Successor CEO (the “</w:t>
      </w:r>
      <w:r>
        <w:rPr>
          <w:rFonts w:ascii="Times New Roman;serif" w:hAnsi="Times New Roman;serif"/>
          <w:b/>
          <w:i/>
          <w:color w:val="000000"/>
          <w:sz w:val="20"/>
        </w:rPr>
        <w:t>Transition Period</w:t>
      </w:r>
      <w:r>
        <w:rPr>
          <w:color w:val="000000"/>
        </w:rPr>
        <w:t>”</w:t>
      </w:r>
      <w:r>
        <w:rPr>
          <w:rFonts w:ascii="Times New Roman;serif" w:hAnsi="Times New Roman;serif"/>
          <w:b w:val="false"/>
          <w:color w:val="000000"/>
          <w:sz w:val="20"/>
        </w:rPr>
        <w:t>), at which time Mr. Wiemann will retire from the Company. The Company previously reported that Mr. Wiemann would retire on the Effective Date. As of the date of this Current Report on Form 8-K (this “</w:t>
      </w:r>
      <w:r>
        <w:rPr>
          <w:rFonts w:ascii="Times New Roman;serif" w:hAnsi="Times New Roman;serif"/>
          <w:b/>
          <w:i/>
          <w:color w:val="000000"/>
          <w:sz w:val="20"/>
        </w:rPr>
        <w:t>Report</w:t>
      </w:r>
      <w:r>
        <w:rPr>
          <w:color w:val="000000"/>
        </w:rPr>
        <w:t>”</w:t>
      </w:r>
      <w:r>
        <w:rPr>
          <w:rFonts w:ascii="Times New Roman;serif" w:hAnsi="Times New Roman;serif"/>
          <w:b w:val="false"/>
          <w:color w:val="000000"/>
          <w:sz w:val="20"/>
        </w:rPr>
        <w:t>), the Board and Mr. Wiemann are currently in discussions regarding an expiration date for the Transition Period. A final determination regarding the expiration date for the Transition Period as a result of those discussions will be disclosed in a report filed by the Company with the Securities and Exchange Commission (“</w:t>
      </w:r>
      <w:r>
        <w:rPr>
          <w:rFonts w:ascii="Times New Roman;serif" w:hAnsi="Times New Roman;serif"/>
          <w:b/>
          <w:i/>
          <w:color w:val="000000"/>
          <w:sz w:val="20"/>
        </w:rPr>
        <w:t>SEC</w:t>
      </w:r>
      <w:r>
        <w:rPr>
          <w:color w:val="000000"/>
        </w:rPr>
        <w:t>”</w:t>
      </w:r>
      <w:r>
        <w:rPr>
          <w:rFonts w:ascii="Times New Roman;serif" w:hAnsi="Times New Roman;serif"/>
          <w:b w:val="false"/>
          <w:color w:val="000000"/>
          <w:sz w:val="20"/>
        </w:rPr>
        <w:t>) at a later date in accordance with applicable SEC rules.</w:t>
      </w:r>
    </w:p>
    <w:p>
      <w:pPr>
        <w:pStyle w:val="TextBody"/>
        <w:bidi w:val="0"/>
        <w:spacing w:before="0" w:after="2"/>
        <w:jc w:val="both"/>
        <w:rPr/>
      </w:pPr>
      <w:r>
        <w:rPr/>
      </w:r>
    </w:p>
    <w:p>
      <w:pPr>
        <w:pStyle w:val="TextBody"/>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Except for the Letter Agreement, there are no arrangements or understandings between Mr. Jayaraman and any other person pursuant to which he was selected as a member of the Board. There is no existing relationship between Mr. Jayaraman and the Company that would require disclosure pursuant to Item 404(a) of Regulation S-K under the Securities Act of 1933, as amended. Mr. Jayaraman has not been appointed to any committees of the Board and will not receive any additional compensation for his service on the Board.</w:t>
      </w:r>
    </w:p>
    <w:p>
      <w:pPr>
        <w:pStyle w:val="TextBody"/>
        <w:bidi w:val="0"/>
        <w:spacing w:before="0" w:after="2"/>
        <w:jc w:val="both"/>
        <w:rPr/>
      </w:pPr>
      <w:r>
        <w:rPr/>
      </w:r>
    </w:p>
    <w:p>
      <w:pPr>
        <w:pStyle w:val="TextBody"/>
        <w:bidi w:val="0"/>
        <w:spacing w:lineRule="auto" w:line="288" w:before="0" w:after="2"/>
        <w:jc w:val="both"/>
        <w:rPr>
          <w:rFonts w:ascii="Times New Roman;serif" w:hAnsi="Times New Roman;serif"/>
          <w:b/>
          <w:i/>
          <w:color w:val="000000"/>
          <w:sz w:val="20"/>
        </w:rPr>
      </w:pPr>
      <w:r>
        <w:rPr>
          <w:rFonts w:ascii="Times New Roman;serif" w:hAnsi="Times New Roman;serif"/>
          <w:b/>
          <w:i/>
          <w:color w:val="000000"/>
          <w:sz w:val="20"/>
        </w:rPr>
        <w:t>Resignation of Reece A. Kurtenbach from the Board</w:t>
      </w:r>
    </w:p>
    <w:p>
      <w:pPr>
        <w:pStyle w:val="TextBody"/>
        <w:bidi w:val="0"/>
        <w:spacing w:before="0" w:after="2"/>
        <w:jc w:val="both"/>
        <w:rPr/>
      </w:pPr>
      <w:r>
        <w:rPr/>
      </w:r>
    </w:p>
    <w:p>
      <w:pPr>
        <w:pStyle w:val="TextBody"/>
        <w:bidi w:val="0"/>
        <w:spacing w:lineRule="auto" w:line="288" w:before="0" w:after="0"/>
        <w:jc w:val="both"/>
        <w:rPr/>
      </w:pPr>
      <w:r>
        <w:rPr>
          <w:rFonts w:ascii="Times New Roman;serif" w:hAnsi="Times New Roman;serif"/>
          <w:b w:val="false"/>
          <w:color w:val="000000"/>
          <w:sz w:val="20"/>
        </w:rPr>
        <w:t>As previously disclosed, pursuant to the Separation Agreement and General Release entered into between the Company and Reece A. Kurtenbach, the former President and Chief Executive Officer of the Company, effective as of March 5, 2025 (the “</w:t>
      </w:r>
      <w:r>
        <w:rPr>
          <w:rFonts w:ascii="Times New Roman;serif" w:hAnsi="Times New Roman;serif"/>
          <w:b/>
          <w:i/>
          <w:color w:val="000000"/>
          <w:sz w:val="20"/>
        </w:rPr>
        <w:t>Separation Agreement</w:t>
      </w:r>
      <w:r>
        <w:rPr>
          <w:color w:val="000000"/>
        </w:rPr>
        <w:t>”</w:t>
      </w:r>
      <w:r>
        <w:rPr>
          <w:rFonts w:ascii="Times New Roman;serif" w:hAnsi="Times New Roman;serif"/>
          <w:b w:val="false"/>
          <w:color w:val="000000"/>
          <w:sz w:val="20"/>
        </w:rPr>
        <w:t>), Mr. Kurtenbach agreed to resign from service as a member of the Board, effective as of the date of appointment of the Successor CEO. Consistent with the express terms of the Separation Agreement, on January 29, 2026, Mr. Kurtenbach resigned as a member of the Board, effective as of February 1, 2026. Mr. Kurtenbach’s resignation did not result from any disagreement with the Company on any matter relating to its operations, policies, or practices. The appointment of Mr. Jayaraman and the resignation of Mr. Kurtenbach do not result in any change to the total number of directors serving on the Board.</w:t>
      </w:r>
    </w:p>
    <w:p>
      <w:pPr>
        <w:pStyle w:val="TextBody"/>
        <w:bidi w:val="0"/>
        <w:spacing w:before="0" w:after="2"/>
        <w:jc w:val="both"/>
        <w:rPr/>
      </w:pPr>
      <w:r>
        <w:rPr/>
      </w:r>
    </w:p>
    <w:p>
      <w:pPr>
        <w:pStyle w:val="TextBody"/>
        <w:bidi w:val="0"/>
        <w:spacing w:lineRule="auto" w:line="288" w:before="0" w:after="2"/>
        <w:jc w:val="both"/>
        <w:rPr>
          <w:rFonts w:ascii="Times New Roman;serif" w:hAnsi="Times New Roman;serif"/>
          <w:b/>
          <w:i/>
          <w:color w:val="000000"/>
          <w:sz w:val="20"/>
        </w:rPr>
      </w:pPr>
      <w:r>
        <w:rPr>
          <w:rFonts w:ascii="Times New Roman;serif" w:hAnsi="Times New Roman;serif"/>
          <w:b/>
          <w:i/>
          <w:color w:val="000000"/>
          <w:sz w:val="20"/>
        </w:rPr>
        <w:t xml:space="preserve">Second Amendment to Consulting Agreement </w:t>
      </w:r>
    </w:p>
    <w:p>
      <w:pPr>
        <w:pStyle w:val="TextBody"/>
        <w:bidi w:val="0"/>
        <w:spacing w:before="0" w:after="2"/>
        <w:jc w:val="both"/>
        <w:rPr/>
      </w:pPr>
      <w:r>
        <w:rPr/>
      </w:r>
    </w:p>
    <w:p>
      <w:pPr>
        <w:pStyle w:val="TextBody"/>
        <w:bidi w:val="0"/>
        <w:spacing w:lineRule="auto" w:line="288" w:before="0" w:after="2"/>
        <w:jc w:val="both"/>
        <w:rPr/>
      </w:pPr>
      <w:r>
        <w:rPr>
          <w:rFonts w:ascii="Times New Roman;serif" w:hAnsi="Times New Roman;serif"/>
          <w:b w:val="false"/>
          <w:color w:val="000000"/>
          <w:sz w:val="20"/>
        </w:rPr>
        <w:t>As previously disclosed, in connection with the Separation Agreement, the Company and Mr. Kurtenbach entered into a Consulting Agreement, effective as of March 5, 2025 (the “</w:t>
      </w:r>
      <w:r>
        <w:rPr>
          <w:rFonts w:ascii="Times New Roman;serif" w:hAnsi="Times New Roman;serif"/>
          <w:b/>
          <w:i/>
          <w:color w:val="000000"/>
          <w:sz w:val="20"/>
        </w:rPr>
        <w:t>Original Consulting Agreement</w:t>
      </w:r>
      <w:r>
        <w:rPr>
          <w:color w:val="000000"/>
        </w:rPr>
        <w:t>”</w:t>
      </w:r>
      <w:r>
        <w:rPr>
          <w:rFonts w:ascii="Times New Roman;serif" w:hAnsi="Times New Roman;serif"/>
          <w:b w:val="false"/>
          <w:color w:val="000000"/>
          <w:sz w:val="20"/>
        </w:rPr>
        <w:t>), which was amended by a First Amendment to Consulting Agreement, dated October 30, 2025 (the “</w:t>
      </w:r>
      <w:r>
        <w:rPr>
          <w:rFonts w:ascii="Times New Roman;serif" w:hAnsi="Times New Roman;serif"/>
          <w:b/>
          <w:i/>
          <w:color w:val="000000"/>
          <w:sz w:val="20"/>
        </w:rPr>
        <w:t>First Amendment</w:t>
      </w:r>
      <w:r>
        <w:rPr>
          <w:color w:val="000000"/>
        </w:rPr>
        <w:t>”</w:t>
      </w:r>
      <w:r>
        <w:rPr>
          <w:rFonts w:ascii="Times New Roman;serif" w:hAnsi="Times New Roman;serif"/>
          <w:b w:val="false"/>
          <w:color w:val="000000"/>
          <w:sz w:val="20"/>
        </w:rPr>
        <w:t>). Under the Original Consulting Agreement, as amended by the First Amendment (the “</w:t>
      </w:r>
      <w:r>
        <w:rPr>
          <w:rFonts w:ascii="Times New Roman;serif" w:hAnsi="Times New Roman;serif"/>
          <w:b/>
          <w:i/>
          <w:color w:val="000000"/>
          <w:sz w:val="20"/>
        </w:rPr>
        <w:t>Amended Consulting Agreement</w:t>
      </w:r>
      <w:r>
        <w:rPr>
          <w:color w:val="000000"/>
        </w:rPr>
        <w:t>”</w:t>
      </w:r>
      <w:r>
        <w:rPr>
          <w:rFonts w:ascii="Times New Roman;serif" w:hAnsi="Times New Roman;serif"/>
          <w:b w:val="false"/>
          <w:color w:val="000000"/>
          <w:sz w:val="20"/>
        </w:rPr>
        <w:t xml:space="preserve">), Mr. Kurtenbach received a monthly consulting fee of $30,000 in exchange for rendering certain consulting services to the Company until January 31, 2026. </w:t>
      </w:r>
    </w:p>
    <w:p>
      <w:pPr>
        <w:pStyle w:val="TextBody"/>
        <w:bidi w:val="0"/>
        <w:spacing w:before="0" w:after="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
        <w:jc w:val="both"/>
        <w:rPr/>
      </w:pPr>
      <w:r>
        <w:rPr>
          <w:rFonts w:ascii="Times New Roman;serif" w:hAnsi="Times New Roman;serif"/>
          <w:b w:val="false"/>
          <w:color w:val="000000"/>
          <w:sz w:val="20"/>
        </w:rPr>
        <w:t>On January 30, 2026, the Board authorized the Company to enter into a Second Amendment to the Consulting Agreement, effective as of February 1, 2026, with Mr. Kurtenbach (the “</w:t>
      </w:r>
      <w:r>
        <w:rPr>
          <w:rFonts w:ascii="Times New Roman;serif" w:hAnsi="Times New Roman;serif"/>
          <w:b/>
          <w:i/>
          <w:color w:val="000000"/>
          <w:sz w:val="20"/>
        </w:rPr>
        <w:t>Second Amendment</w:t>
      </w:r>
      <w:r>
        <w:rPr>
          <w:color w:val="000000"/>
        </w:rPr>
        <w:t>”</w:t>
      </w:r>
      <w:r>
        <w:rPr>
          <w:rFonts w:ascii="Times New Roman;serif" w:hAnsi="Times New Roman;serif"/>
          <w:b w:val="false"/>
          <w:color w:val="000000"/>
          <w:sz w:val="20"/>
        </w:rPr>
        <w:t>). Under the Second Amendment, the term of the Amended Consulting Agreement was extended through May 2, 2026, unless earlier terminated in accordance with the terms and conditions of the Amended Consulting Agreement (the “</w:t>
      </w:r>
      <w:r>
        <w:rPr>
          <w:rFonts w:ascii="Times New Roman;serif" w:hAnsi="Times New Roman;serif"/>
          <w:b/>
          <w:i/>
          <w:color w:val="000000"/>
          <w:sz w:val="20"/>
        </w:rPr>
        <w:t>Extended Term</w:t>
      </w:r>
      <w:r>
        <w:rPr>
          <w:color w:val="000000"/>
        </w:rPr>
        <w:t>”</w:t>
      </w:r>
      <w:r>
        <w:rPr>
          <w:rFonts w:ascii="Times New Roman;serif" w:hAnsi="Times New Roman;serif"/>
          <w:b w:val="false"/>
          <w:color w:val="000000"/>
          <w:sz w:val="20"/>
        </w:rPr>
        <w:t>). Except for the Extended Term, all other terms and conditions of the Amended Consulting Agreement remain in full force and effect.</w:t>
      </w:r>
    </w:p>
    <w:p>
      <w:pPr>
        <w:pStyle w:val="TextBody"/>
        <w:bidi w:val="0"/>
        <w:spacing w:before="0" w:after="2"/>
        <w:jc w:val="both"/>
        <w:rPr/>
      </w:pPr>
      <w:r>
        <w:rPr/>
      </w:r>
    </w:p>
    <w:p>
      <w:pPr>
        <w:pStyle w:val="TextBody"/>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material terms of the Second Amendment in this Report does not purport to be complete and is qualified in its entirety by reference to the full text of the Second Amendment, a copy of which is filed as Exhibit 10.1 to this Report and is incorporated herein by reference.</w:t>
      </w:r>
    </w:p>
    <w:p>
      <w:pPr>
        <w:pStyle w:val="TextBody"/>
        <w:bidi w:val="0"/>
        <w:spacing w:before="0" w:after="2"/>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Cautionary Statement Regarding Forward-Looking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Report contains “forward-looking statements” within the meaning of the Private Securities Litigation Reform Act of 1995. The Company intends forward-looking terminology such as “believes,” “expects,” “may,” “will,” “would,” “should,” “anticipates,” “plans,” or similar expressions to identify forward-looking statements. Forward-looking statements include, but are not limited to, statements regarding the Company’s leadership transition. Such statements are subject to certain risks and uncertainties that could cause the Company's actual results to differ materially from those anticipated by the forward-looking statements. These risks and uncertainties include, but are not limited to, risks described more fully in Item 1A in the Company’s Annual Report on Form 10-K for the Company’s 2025 fiscal year, which are expressly incorporated herein by reference, and other factors as may periodically be described in other reports filed or furnished by the Company with the SEC. Forward-looking statements relate to the date initially made, and the Company undertakes no obligation to update them, except as may be required by applicable law.</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Section 9 - Financial Statements and Exhibits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(d) Exhibits. </w:t>
      </w:r>
    </w:p>
    <w:tbl>
      <w:tblPr>
        <w:tblW w:w="10205" w:type="dxa"/>
        <w:jc w:val="left"/>
        <w:tblInd w:w="0" w:type="dxa"/>
        <w:tblLayout w:type="fixed"/>
        <w:tblCellMar>
          <w:top w:w="28" w:type="dxa"/>
          <w:left w:w="28" w:type="dxa"/>
          <w:bottom w:w="28" w:type="dxa"/>
          <w:right w:w="28" w:type="dxa"/>
        </w:tblCellMar>
      </w:tblPr>
      <w:tblGrid>
        <w:gridCol w:w="361"/>
        <w:gridCol w:w="317"/>
        <w:gridCol w:w="320"/>
        <w:gridCol w:w="2694"/>
        <w:gridCol w:w="2694"/>
        <w:gridCol w:w="3819"/>
      </w:tblGrid>
      <w:tr>
        <w:trPr/>
        <w:tc>
          <w:tcPr>
            <w:tcW w:w="36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920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998"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secondamendment_toxconsult.htm">
              <w:r>
                <w:rPr>
                  <w:rStyle w:val="InternetLink"/>
                  <w:rFonts w:ascii="Times New Roman;serif" w:hAnsi="Times New Roman;serif"/>
                  <w:b w:val="false"/>
                  <w:color w:val="000000"/>
                  <w:sz w:val="20"/>
                  <w:u w:val="single"/>
                </w:rPr>
                <w:t>10.1</w:t>
              </w:r>
            </w:hyperlink>
          </w:p>
        </w:tc>
        <w:tc>
          <w:tcPr>
            <w:tcW w:w="9207" w:type="dxa"/>
            <w:gridSpan w:val="3"/>
            <w:tcBorders/>
            <w:tcMar>
              <w:top w:w="0" w:type="dxa"/>
              <w:left w:w="0" w:type="dxa"/>
              <w:bottom w:w="0" w:type="dxa"/>
              <w:right w:w="0" w:type="dxa"/>
            </w:tcMar>
            <w:vAlign w:val="center"/>
          </w:tcPr>
          <w:p>
            <w:pPr>
              <w:pStyle w:val="TableContents"/>
              <w:bidi w:val="0"/>
              <w:spacing w:lineRule="auto" w:line="268" w:before="0" w:after="2"/>
              <w:jc w:val="both"/>
              <w:rPr/>
            </w:pPr>
            <w:hyperlink w:anchor="secondamendment_toxconsult.htm">
              <w:r>
                <w:rPr>
                  <w:rStyle w:val="InternetLink"/>
                  <w:rFonts w:ascii="Times New Roman;serif" w:hAnsi="Times New Roman;serif"/>
                  <w:b w:val="false"/>
                  <w:color w:val="0000FF"/>
                  <w:sz w:val="20"/>
                  <w:u w:val="single"/>
                </w:rPr>
                <w:t>Second Amendment to the Consulting Agreement, effective February 1, 2026, by and between Reece A. Kurtenbach and Daktronics, Inc.</w:t>
              </w:r>
            </w:hyperlink>
          </w:p>
        </w:tc>
      </w:tr>
      <w:tr>
        <w:trPr/>
        <w:tc>
          <w:tcPr>
            <w:tcW w:w="99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207"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102" w:type="dxa"/>
        <w:jc w:val="left"/>
        <w:tblInd w:w="0" w:type="dxa"/>
        <w:tblLayout w:type="fixed"/>
        <w:tblCellMar>
          <w:top w:w="28" w:type="dxa"/>
          <w:left w:w="28" w:type="dxa"/>
          <w:bottom w:w="28" w:type="dxa"/>
          <w:right w:w="28" w:type="dxa"/>
        </w:tblCellMar>
      </w:tblPr>
      <w:tblGrid>
        <w:gridCol w:w="716"/>
        <w:gridCol w:w="630"/>
        <w:gridCol w:w="634"/>
        <w:gridCol w:w="326"/>
        <w:gridCol w:w="326"/>
        <w:gridCol w:w="326"/>
        <w:gridCol w:w="1498"/>
        <w:gridCol w:w="1498"/>
        <w:gridCol w:w="2148"/>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2"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DAKTRONICS, INC.</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By: /s/ Howard I. Atkins</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Howard I. Atkins</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Acting Chief Financial Officer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 2026</w:t>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19" w:before="480" w:after="283"/>
        <w:jc w:val="center"/>
        <w:rPr>
          <w:rFonts w:ascii="Times New Roman;serif" w:hAnsi="Times New Roman;serif"/>
          <w:b/>
          <w:color w:val="000000"/>
          <w:sz w:val="28"/>
        </w:rPr>
      </w:pPr>
      <w:r>
        <w:rPr>
          <w:rFonts w:ascii="Times New Roman;serif" w:hAnsi="Times New Roman;serif"/>
          <w:b/>
          <w:color w:val="000000"/>
          <w:sz w:val="28"/>
        </w:rPr>
        <w:t>Second Amendment to Consulting Agreement</w:t>
      </w:r>
    </w:p>
    <w:p>
      <w:pPr>
        <w:pStyle w:val="TextBody"/>
        <w:bidi w:val="0"/>
        <w:spacing w:lineRule="auto" w:line="319" w:before="0" w:after="200"/>
        <w:jc w:val="left"/>
        <w:rPr/>
      </w:pPr>
      <w:r>
        <w:rPr>
          <w:rFonts w:ascii="Times New Roman;serif" w:hAnsi="Times New Roman;serif"/>
          <w:b w:val="false"/>
          <w:color w:val="000000"/>
          <w:sz w:val="22"/>
        </w:rPr>
        <w:t>This Second Amendment (“Second Amendment”), effective 1 February, 2026, amends that Consulting Agreement effective as of March 5, 2025 (“</w:t>
      </w:r>
      <w:r>
        <w:rPr>
          <w:rFonts w:ascii="Times New Roman;serif" w:hAnsi="Times New Roman;serif"/>
          <w:b/>
          <w:i/>
          <w:color w:val="000000"/>
          <w:sz w:val="22"/>
        </w:rPr>
        <w:t>Original Agreement,</w:t>
      </w:r>
      <w:r>
        <w:rPr>
          <w:color w:val="000000"/>
        </w:rPr>
        <w:t xml:space="preserve">” </w:t>
      </w:r>
      <w:r>
        <w:rPr>
          <w:rFonts w:ascii="Times New Roman;serif" w:hAnsi="Times New Roman;serif"/>
          <w:b w:val="false"/>
          <w:color w:val="000000"/>
          <w:sz w:val="22"/>
        </w:rPr>
        <w:t xml:space="preserve">and as amended by the First Amendment dated October 30, 2025 and this Second Amendment, the </w:t>
      </w:r>
      <w:r>
        <w:rPr>
          <w:color w:val="000000"/>
        </w:rPr>
        <w:t>“</w:t>
      </w:r>
      <w:r>
        <w:rPr>
          <w:rFonts w:ascii="Times New Roman;serif" w:hAnsi="Times New Roman;serif"/>
          <w:b/>
          <w:i/>
          <w:color w:val="000000"/>
          <w:sz w:val="22"/>
        </w:rPr>
        <w:t>Agreement”</w:t>
      </w:r>
      <w:r>
        <w:rPr>
          <w:rFonts w:ascii="Times New Roman;serif" w:hAnsi="Times New Roman;serif"/>
          <w:b w:val="false"/>
          <w:color w:val="000000"/>
          <w:sz w:val="22"/>
        </w:rPr>
        <w:t>), entered into by and between Daktronics, Inc.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and Reece A. Kurtenbach (“</w:t>
      </w:r>
      <w:r>
        <w:rPr>
          <w:rFonts w:ascii="Times New Roman;serif" w:hAnsi="Times New Roman;serif"/>
          <w:b/>
          <w:i/>
          <w:color w:val="000000"/>
          <w:sz w:val="22"/>
        </w:rPr>
        <w:t>Consultant</w:t>
      </w:r>
      <w:r>
        <w:rPr>
          <w:color w:val="000000"/>
        </w:rPr>
        <w:t>”</w:t>
      </w:r>
      <w:r>
        <w:rPr>
          <w:rFonts w:ascii="Times New Roman;serif" w:hAnsi="Times New Roman;serif"/>
          <w:b w:val="false"/>
          <w:color w:val="000000"/>
          <w:sz w:val="22"/>
        </w:rPr>
        <w:t xml:space="preserve">), as follows: </w:t>
      </w:r>
    </w:p>
    <w:p>
      <w:pPr>
        <w:pStyle w:val="TextBody"/>
        <w:bidi w:val="0"/>
        <w:spacing w:lineRule="auto" w:line="319" w:before="0" w:after="0"/>
        <w:ind w:left="0" w:right="0" w:hanging="360"/>
        <w:jc w:val="left"/>
        <w:rPr/>
      </w:pPr>
      <w:r>
        <w:rPr>
          <w:rFonts w:ascii="Times New Roman;serif" w:hAnsi="Times New Roman;serif"/>
          <w:b w:val="false"/>
          <w:color w:val="000000"/>
          <w:sz w:val="22"/>
        </w:rPr>
        <w:t>1.</w:t>
      </w:r>
      <w:r>
        <w:rPr>
          <w:rFonts w:ascii="Times New Roman;serif" w:hAnsi="Times New Roman;serif"/>
          <w:b/>
          <w:color w:val="000000"/>
          <w:sz w:val="22"/>
        </w:rPr>
        <w:t xml:space="preserve">Definitions. </w:t>
      </w:r>
      <w:r>
        <w:rPr>
          <w:rFonts w:ascii="Times New Roman;serif" w:hAnsi="Times New Roman;serif"/>
          <w:b w:val="false"/>
          <w:color w:val="000000"/>
          <w:sz w:val="22"/>
        </w:rPr>
        <w:t>Any capitalized term not otherwise defined in this Second Amendment shall have the meaning given to it in the Agreement.</w:t>
      </w:r>
    </w:p>
    <w:p>
      <w:pPr>
        <w:pStyle w:val="TextBody"/>
        <w:bidi w:val="0"/>
        <w:spacing w:lineRule="auto" w:line="319" w:before="0" w:after="0"/>
        <w:ind w:left="0" w:right="0" w:hanging="360"/>
        <w:jc w:val="left"/>
        <w:rPr/>
      </w:pPr>
      <w:r>
        <w:rPr>
          <w:rFonts w:ascii="Times New Roman;serif" w:hAnsi="Times New Roman;serif"/>
          <w:b w:val="false"/>
          <w:color w:val="000000"/>
          <w:sz w:val="22"/>
        </w:rPr>
        <w:t>2.</w:t>
      </w:r>
      <w:r>
        <w:rPr>
          <w:rFonts w:ascii="Times New Roman;serif" w:hAnsi="Times New Roman;serif"/>
          <w:b/>
          <w:color w:val="000000"/>
          <w:sz w:val="22"/>
        </w:rPr>
        <w:t>Extension of Term</w:t>
      </w:r>
      <w:r>
        <w:rPr>
          <w:rFonts w:ascii="Times New Roman;serif" w:hAnsi="Times New Roman;serif"/>
          <w:b w:val="false"/>
          <w:color w:val="000000"/>
          <w:sz w:val="22"/>
        </w:rPr>
        <w:t xml:space="preserve">. The Parties agree to extend the term of the Agreement (as previously extended by the First Amendment) for an additional term of up to three (3) months (the “Second </w:t>
      </w:r>
      <w:r>
        <w:rPr>
          <w:rFonts w:ascii="Times New Roman;serif" w:hAnsi="Times New Roman;serif"/>
          <w:b/>
          <w:i/>
          <w:color w:val="000000"/>
          <w:sz w:val="22"/>
        </w:rPr>
        <w:t>Extended Term</w:t>
      </w:r>
      <w:r>
        <w:rPr>
          <w:color w:val="000000"/>
        </w:rPr>
        <w:t>”</w:t>
      </w:r>
      <w:r>
        <w:rPr>
          <w:rFonts w:ascii="Times New Roman;serif" w:hAnsi="Times New Roman;serif"/>
          <w:b w:val="false"/>
          <w:color w:val="000000"/>
          <w:sz w:val="22"/>
        </w:rPr>
        <w:t xml:space="preserve">). The Second Extended Term will end on May 02, 2026 unless earlier terminated in accordance with the terms of the Agreement. </w:t>
      </w:r>
    </w:p>
    <w:p>
      <w:pPr>
        <w:pStyle w:val="TextBody"/>
        <w:bidi w:val="0"/>
        <w:spacing w:lineRule="auto" w:line="319" w:before="0" w:after="200"/>
        <w:ind w:left="0" w:right="0" w:hanging="360"/>
        <w:jc w:val="left"/>
        <w:rPr/>
      </w:pPr>
      <w:r>
        <w:rPr>
          <w:rFonts w:ascii="Times New Roman;serif" w:hAnsi="Times New Roman;serif"/>
          <w:b w:val="false"/>
          <w:color w:val="000000"/>
          <w:sz w:val="22"/>
        </w:rPr>
        <w:t>3.</w:t>
      </w:r>
      <w:r>
        <w:rPr>
          <w:rFonts w:ascii="Times New Roman;serif" w:hAnsi="Times New Roman;serif"/>
          <w:b/>
          <w:color w:val="000000"/>
          <w:sz w:val="22"/>
        </w:rPr>
        <w:t xml:space="preserve">Remaining Terms. </w:t>
      </w:r>
      <w:r>
        <w:rPr>
          <w:rFonts w:ascii="Times New Roman;serif" w:hAnsi="Times New Roman;serif"/>
          <w:b w:val="false"/>
          <w:color w:val="000000"/>
          <w:sz w:val="22"/>
        </w:rPr>
        <w:t>Except as expressly amended herein, all other terms and conditions of the Agreement shall remain in full force and effect.</w:t>
      </w:r>
    </w:p>
    <w:p>
      <w:pPr>
        <w:pStyle w:val="TextBody"/>
        <w:bidi w:val="0"/>
        <w:spacing w:before="0" w:after="200"/>
        <w:jc w:val="left"/>
        <w:rPr/>
      </w:pPr>
      <w:r>
        <w:rPr/>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br/>
        <w:t>IN WITNESS WHEREOF, the Parties have executed this Second Amendment as of the date first written above.</w:t>
      </w:r>
    </w:p>
    <w:p>
      <w:pPr>
        <w:pStyle w:val="TextBody"/>
        <w:bidi w:val="0"/>
        <w:spacing w:before="0" w:after="200"/>
        <w:jc w:val="left"/>
        <w:rPr/>
      </w:pPr>
      <w:r>
        <w:rPr/>
      </w:r>
    </w:p>
    <w:tbl>
      <w:tblPr>
        <w:tblW w:w="6146" w:type="dxa"/>
        <w:jc w:val="left"/>
        <w:tblInd w:w="0" w:type="dxa"/>
        <w:tblLayout w:type="fixed"/>
        <w:tblCellMar>
          <w:top w:w="28" w:type="dxa"/>
          <w:left w:w="28" w:type="dxa"/>
          <w:bottom w:w="28" w:type="dxa"/>
          <w:right w:w="28" w:type="dxa"/>
        </w:tblCellMar>
      </w:tblPr>
      <w:tblGrid>
        <w:gridCol w:w="1098"/>
        <w:gridCol w:w="963"/>
        <w:gridCol w:w="968"/>
        <w:gridCol w:w="109"/>
        <w:gridCol w:w="109"/>
        <w:gridCol w:w="109"/>
        <w:gridCol w:w="817"/>
        <w:gridCol w:w="817"/>
        <w:gridCol w:w="1156"/>
      </w:tblGrid>
      <w:tr>
        <w:trPr/>
        <w:tc>
          <w:tcPr>
            <w:tcW w:w="109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2"/>
              </w:rPr>
            </w:pPr>
            <w:r>
              <w:rPr>
                <w:rFonts w:ascii="Times New Roman;serif" w:hAnsi="Times New Roman;serif"/>
                <w:b/>
                <w:color w:val="000000"/>
                <w:sz w:val="22"/>
              </w:rPr>
              <w:t>Daktronics, Inc.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2"/>
              </w:rPr>
            </w:pPr>
            <w:r>
              <w:rPr>
                <w:rFonts w:ascii="Times New Roman;serif" w:hAnsi="Times New Roman;serif"/>
                <w:b/>
                <w:color w:val="000000"/>
                <w:sz w:val="22"/>
              </w:rPr>
              <w:t>Consultant</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2"/>
              </w:rPr>
            </w:pPr>
            <w:r>
              <w:rPr>
                <w:rFonts w:ascii="Times New Roman;serif" w:hAnsi="Times New Roman;serif"/>
                <w:b w:val="false"/>
                <w:color w:val="000000"/>
                <w:sz w:val="22"/>
              </w:rPr>
              <w:t>By: _____________________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2"/>
              </w:rPr>
            </w:pPr>
            <w:r>
              <w:rPr>
                <w:rFonts w:ascii="Times New Roman;serif" w:hAnsi="Times New Roman;serif"/>
                <w:b w:val="false"/>
                <w:color w:val="000000"/>
                <w:sz w:val="22"/>
              </w:rPr>
              <w:t>______________________</w:t>
            </w:r>
          </w:p>
        </w:tc>
      </w:tr>
      <w:tr>
        <w:trPr/>
        <w:tc>
          <w:tcPr>
            <w:tcW w:w="302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2"/>
              </w:rPr>
            </w:pPr>
            <w:r>
              <w:rPr>
                <w:rFonts w:ascii="Times New Roman;serif" w:hAnsi="Times New Roman;serif"/>
                <w:b w:val="false"/>
                <w:color w:val="000000"/>
                <w:sz w:val="22"/>
              </w:rPr>
              <w:t>Ramesh Jayaraman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2"/>
              </w:rPr>
            </w:pPr>
            <w:r>
              <w:rPr>
                <w:rFonts w:ascii="Times New Roman;serif" w:hAnsi="Times New Roman;serif"/>
                <w:b w:val="false"/>
                <w:color w:val="000000"/>
                <w:sz w:val="22"/>
              </w:rPr>
              <w:t>Reece A. Kurtenbach</w:t>
            </w:r>
          </w:p>
        </w:tc>
      </w:tr>
      <w:tr>
        <w:trPr/>
        <w:tc>
          <w:tcPr>
            <w:tcW w:w="302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1618</Words>
  <Characters>9019</Characters>
  <CharactersWithSpaces>10563</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