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2699.xml.htm"/>
      <w:bookmarkStart w:id="1" w:name="kswkform4_17900226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Siegel Andrew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56"/>
        <w:gridCol w:w="919"/>
        <w:gridCol w:w="788"/>
        <w:gridCol w:w="610"/>
        <w:gridCol w:w="349"/>
        <w:gridCol w:w="887"/>
        <w:gridCol w:w="447"/>
        <w:gridCol w:w="612"/>
        <w:gridCol w:w="1157"/>
        <w:gridCol w:w="996"/>
        <w:gridCol w:w="118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6,594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71,890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163,345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Prairieland Holdco,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annual equity compensation in the form of a grant of restricted stock made under the Daktronics, Inc. 2025 Stock Incentive Plan. The award vests on August 23, 2027 and is subject to certain forfeiture provisions.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is the sole member and president of the manager of Prairieland Holdco, LLC.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D. Siegel, by Leah Kassalen, attorney-in-fact, pursuant to a POA filed herewith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section16poa-andrewsiege.htm"/>
      <w:bookmarkStart w:id="3" w:name="kssection16poaandrewsiege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7285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632</Words>
  <Characters>3425</Characters>
  <CharactersWithSpaces>3989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section16poa-andrewsiege</dc:title>
</cp:coreProperties>
</file>