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color w:val="auto"/>
        </w:rPr>
        <w:t>May 18,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345440</wp:posOffset>
            </wp:positionV>
            <wp:extent cx="1097280" cy="677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97280" cy="677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tbl>
      <w:tblPr>
        <w:tblLayout w:type="fixed"/>
        <w:tblInd w:w="800" w:type="dxa"/>
        <w:tblCellMar>
          <w:top w:w="0" w:type="dxa"/>
          <w:left w:w="0" w:type="dxa"/>
          <w:bottom w:w="0" w:type="dxa"/>
          <w:right w:w="0" w:type="dxa"/>
        </w:tblCellMar>
      </w:tblPr>
      <w:tr>
        <w:trPr>
          <w:trHeight w:val="238"/>
        </w:trPr>
        <w:tc>
          <w:tcPr>
            <w:tcW w:w="24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8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001-38747</w:t>
            </w:r>
          </w:p>
        </w:tc>
        <w:tc>
          <w:tcPr>
            <w:tcW w:w="188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rPr>
              <w:t>46-0306862</w:t>
            </w:r>
          </w:p>
        </w:tc>
      </w:tr>
      <w:tr>
        <w:trPr>
          <w:trHeight w:val="252"/>
        </w:trPr>
        <w:tc>
          <w:tcPr>
            <w:tcW w:w="24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48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(Commission</w:t>
            </w:r>
          </w:p>
        </w:tc>
        <w:tc>
          <w:tcPr>
            <w:tcW w:w="188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4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Incorporation)</w:t>
            </w:r>
          </w:p>
        </w:tc>
        <w:tc>
          <w:tcPr>
            <w:tcW w:w="48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File Number)</w:t>
            </w:r>
          </w:p>
        </w:tc>
        <w:tc>
          <w:tcPr>
            <w:tcW w:w="18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31"/>
        </w:trPr>
        <w:tc>
          <w:tcPr>
            <w:tcW w:w="2480" w:type="dxa"/>
            <w:vAlign w:val="bottom"/>
          </w:tcPr>
          <w:p>
            <w:pPr>
              <w:spacing w:after="0"/>
              <w:rPr>
                <w:sz w:val="24"/>
                <w:szCs w:val="24"/>
                <w:color w:val="auto"/>
              </w:rPr>
            </w:pPr>
          </w:p>
        </w:tc>
        <w:tc>
          <w:tcPr>
            <w:tcW w:w="48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201 Daktronics Drive</w:t>
            </w:r>
          </w:p>
        </w:tc>
        <w:tc>
          <w:tcPr>
            <w:tcW w:w="1880" w:type="dxa"/>
            <w:vAlign w:val="bottom"/>
          </w:tcPr>
          <w:p>
            <w:pPr>
              <w:spacing w:after="0"/>
              <w:rPr>
                <w:sz w:val="24"/>
                <w:szCs w:val="24"/>
                <w:color w:val="auto"/>
              </w:rPr>
            </w:pPr>
          </w:p>
        </w:tc>
      </w:tr>
      <w:tr>
        <w:trPr>
          <w:trHeight w:val="220"/>
        </w:trPr>
        <w:tc>
          <w:tcPr>
            <w:tcW w:w="2480" w:type="dxa"/>
            <w:vAlign w:val="bottom"/>
          </w:tcPr>
          <w:p>
            <w:pPr>
              <w:spacing w:after="0"/>
              <w:rPr>
                <w:sz w:val="19"/>
                <w:szCs w:val="19"/>
                <w:color w:val="auto"/>
              </w:rPr>
            </w:pPr>
          </w:p>
        </w:tc>
        <w:tc>
          <w:tcPr>
            <w:tcW w:w="48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Brookings, SD 57006</w:t>
            </w:r>
          </w:p>
        </w:tc>
        <w:tc>
          <w:tcPr>
            <w:tcW w:w="1880" w:type="dxa"/>
            <w:vAlign w:val="bottom"/>
          </w:tcPr>
          <w:p>
            <w:pPr>
              <w:spacing w:after="0"/>
              <w:rPr>
                <w:sz w:val="19"/>
                <w:szCs w:val="19"/>
                <w:color w:val="auto"/>
              </w:rPr>
            </w:pPr>
          </w:p>
        </w:tc>
      </w:tr>
      <w:tr>
        <w:trPr>
          <w:trHeight w:val="234"/>
        </w:trPr>
        <w:tc>
          <w:tcPr>
            <w:tcW w:w="2480" w:type="dxa"/>
            <w:vAlign w:val="bottom"/>
          </w:tcPr>
          <w:p>
            <w:pPr>
              <w:spacing w:after="0"/>
              <w:rPr>
                <w:sz w:val="20"/>
                <w:szCs w:val="20"/>
                <w:color w:val="auto"/>
              </w:rPr>
            </w:pPr>
          </w:p>
        </w:tc>
        <w:tc>
          <w:tcPr>
            <w:tcW w:w="48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(Address of Principal Executive Offices, and Zip Code)</w:t>
            </w:r>
          </w:p>
        </w:tc>
        <w:tc>
          <w:tcPr>
            <w:tcW w:w="1880" w:type="dxa"/>
            <w:vAlign w:val="bottom"/>
          </w:tcPr>
          <w:p>
            <w:pPr>
              <w:spacing w:after="0"/>
              <w:rPr>
                <w:sz w:val="20"/>
                <w:szCs w:val="20"/>
                <w:color w:val="auto"/>
              </w:rPr>
            </w:pPr>
          </w:p>
        </w:tc>
      </w:tr>
      <w:tr>
        <w:trPr>
          <w:trHeight w:val="414"/>
        </w:trPr>
        <w:tc>
          <w:tcPr>
            <w:tcW w:w="2480" w:type="dxa"/>
            <w:vAlign w:val="bottom"/>
          </w:tcPr>
          <w:p>
            <w:pPr>
              <w:spacing w:after="0"/>
              <w:rPr>
                <w:sz w:val="24"/>
                <w:szCs w:val="24"/>
                <w:color w:val="auto"/>
              </w:rPr>
            </w:pPr>
          </w:p>
        </w:tc>
        <w:tc>
          <w:tcPr>
            <w:tcW w:w="48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(605) 692-0200</w:t>
            </w:r>
          </w:p>
        </w:tc>
        <w:tc>
          <w:tcPr>
            <w:tcW w:w="1880" w:type="dxa"/>
            <w:vAlign w:val="bottom"/>
          </w:tcPr>
          <w:p>
            <w:pPr>
              <w:spacing w:after="0"/>
              <w:rPr>
                <w:sz w:val="24"/>
                <w:szCs w:val="24"/>
                <w:color w:val="auto"/>
              </w:rPr>
            </w:pPr>
          </w:p>
        </w:tc>
      </w:tr>
      <w:tr>
        <w:trPr>
          <w:trHeight w:val="234"/>
        </w:trPr>
        <w:tc>
          <w:tcPr>
            <w:tcW w:w="2480" w:type="dxa"/>
            <w:vAlign w:val="bottom"/>
          </w:tcPr>
          <w:p>
            <w:pPr>
              <w:spacing w:after="0"/>
              <w:rPr>
                <w:sz w:val="20"/>
                <w:szCs w:val="20"/>
                <w:color w:val="auto"/>
              </w:rPr>
            </w:pPr>
          </w:p>
        </w:tc>
        <w:tc>
          <w:tcPr>
            <w:tcW w:w="48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880" w:type="dxa"/>
            <w:vAlign w:val="bottom"/>
          </w:tcPr>
          <w:p>
            <w:pPr>
              <w:spacing w:after="0"/>
              <w:rPr>
                <w:sz w:val="20"/>
                <w:szCs w:val="20"/>
                <w:color w:val="auto"/>
              </w:rPr>
            </w:pPr>
          </w:p>
        </w:tc>
      </w:tr>
    </w:tbl>
    <w:p>
      <w:pPr>
        <w:spacing w:after="0" w:line="19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16"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319"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319"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19"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50" w:lineRule="exact"/>
        <w:rPr>
          <w:sz w:val="24"/>
          <w:szCs w:val="24"/>
          <w:color w:val="auto"/>
        </w:rPr>
      </w:pPr>
    </w:p>
    <w:tbl>
      <w:tblPr>
        <w:tblLayout w:type="fixed"/>
        <w:tblInd w:w="10" w:type="dxa"/>
        <w:tblCellMar>
          <w:top w:w="0" w:type="dxa"/>
          <w:left w:w="0" w:type="dxa"/>
          <w:bottom w:w="0" w:type="dxa"/>
          <w:right w:w="0" w:type="dxa"/>
        </w:tblCellMar>
      </w:tblPr>
      <w:tr>
        <w:trPr>
          <w:trHeight w:val="256"/>
        </w:trPr>
        <w:tc>
          <w:tcPr>
            <w:tcW w:w="4560" w:type="dxa"/>
            <w:vAlign w:val="bottom"/>
            <w:tcBorders>
              <w:top w:val="single" w:sz="8" w:color="auto"/>
              <w:left w:val="single" w:sz="8" w:color="auto"/>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1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5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r>
        <w:trPr>
          <w:trHeight w:val="236"/>
        </w:trPr>
        <w:tc>
          <w:tcPr>
            <w:tcW w:w="45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Common Stock, $0.00001 Par Value</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DAKT</w:t>
            </w:r>
          </w:p>
        </w:tc>
        <w:tc>
          <w:tcPr>
            <w:tcW w:w="4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7"/>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bl>
    <w:p>
      <w:pPr>
        <w:spacing w:after="0" w:line="292" w:lineRule="exact"/>
        <w:rPr>
          <w:sz w:val="24"/>
          <w:szCs w:val="24"/>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ectPr>
          <w:pgSz w:w="11900" w:h="16838" w:orient="portrait"/>
          <w:cols w:equalWidth="0" w:num="1">
            <w:col w:w="11260"/>
          </w:cols>
          <w:pgMar w:left="320" w:top="1402" w:right="319" w:bottom="56" w:gutter="0" w:footer="0" w:header="0"/>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5 - Corporate Governance and Management</w:t>
      </w:r>
    </w:p>
    <w:p>
      <w:pPr>
        <w:spacing w:after="0" w:line="25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72" w:lineRule="exact"/>
        <w:rPr>
          <w:sz w:val="20"/>
          <w:szCs w:val="20"/>
          <w:color w:val="auto"/>
        </w:rPr>
      </w:pPr>
    </w:p>
    <w:p>
      <w:pPr>
        <w:jc w:val="both"/>
        <w:ind w:firstLine="8"/>
        <w:spacing w:after="0" w:line="237" w:lineRule="auto"/>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previously disclosed, Daktronics, Inc. (the “Company”) entered into a Consulting Agreement (the “Consulting Agreement”) with Carla Gatzke, a former named executive officer of the Company, pursuant to which Ms. Gatzke agreed to provide transition services to the Company in exchange for a monthly consulting fee of $30,000 through April 30, 2026. On May 18, 2026, the Board of Directors of the Company authorized the Company to enter into a First Amendment to the Consulting Agreement to extend the Consulting Agreement with a reduced scope and subject to certain revised terms (the “Consulting Agreement Amendment”) effective as of May 1, 2026. The material terms of the Consulting Agreement Amendment include the following: (i) the term of the Consulting Agreement was extended through August 28, 2026 (the “Extended Term”) unless earlier terminated in accordance with the terms of the agreement, (ii) services during the Extended Term shall be limited to project-specific advisory services at the request of the Company, and (iii) the Consultant will receive a monthly consulting fee of $7,500 during the Extended Term.</w:t>
      </w:r>
    </w:p>
    <w:p>
      <w:pPr>
        <w:spacing w:after="0" w:line="22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expressly amended by the Consulting Agreement Amendment, all other terms and conditions of the Consulting Agreement remain in full force and effect.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material terms of the Consulting Agreement Amendment in this Report does not purport to be complete and is qualified in its entirety by reference to the full text of the Consulting Agreement Amendment, a copy of which is filed as Exhibit 10.1 to this Report and is incorporated herein by reference.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9 - Financial Statements and Exhibits</w:t>
      </w:r>
    </w:p>
    <w:p>
      <w:pPr>
        <w:spacing w:after="0" w:line="23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Exhibit No. Description</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w:t>
            </w:r>
            <w:r>
              <w:rPr>
                <w:rFonts w:ascii="Times New Roman" w:cs="Times New Roman" w:eastAsia="Times New Roman" w:hAnsi="Times New Roman"/>
                <w:sz w:val="18"/>
                <w:szCs w:val="18"/>
                <w:u w:val="single" w:color="auto"/>
                <w:color w:val="auto"/>
              </w:rPr>
              <w:t>1</w:t>
            </w:r>
          </w:p>
        </w:tc>
        <w:tc>
          <w:tcPr>
            <w:tcW w:w="9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0000FF"/>
                <w:w w:val="99"/>
              </w:rPr>
              <w:t>First Amendment to Consulting Agreement, effective as of May 1, 2026, by and between Carla Gatzke and Daktronics, Inc.</w:t>
            </w:r>
          </w:p>
        </w:tc>
      </w:tr>
      <w:tr>
        <w:trPr>
          <w:trHeight w:val="20"/>
        </w:trPr>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900" w:type="dxa"/>
            <w:vAlign w:val="bottom"/>
            <w:shd w:val="clear" w:color="auto" w:fill="0000FF"/>
          </w:tcPr>
          <w:p>
            <w:pPr>
              <w:spacing w:after="0" w:line="20" w:lineRule="exact"/>
              <w:rPr>
                <w:sz w:val="1"/>
                <w:szCs w:val="1"/>
                <w:color w:val="auto"/>
              </w:rPr>
            </w:pPr>
          </w:p>
        </w:tc>
      </w:tr>
      <w:tr>
        <w:trPr>
          <w:trHeight w:val="27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00" w:type="dxa"/>
            <w:vAlign w:val="bottom"/>
          </w:tcPr>
          <w:p>
            <w:pPr>
              <w:spacing w:after="0"/>
              <w:rPr>
                <w:sz w:val="24"/>
                <w:szCs w:val="24"/>
                <w:color w:val="auto"/>
              </w:rPr>
            </w:pPr>
          </w:p>
        </w:tc>
        <w:tc>
          <w:tcPr>
            <w:tcW w:w="92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2"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24"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u w:val="single" w:color="auto"/>
          <w:color w:val="auto"/>
        </w:rPr>
        <w:t>By: /s/ Howard I. Atkins</w:t>
      </w:r>
    </w:p>
    <w:p>
      <w:pPr>
        <w:spacing w:after="0" w:line="63"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Howard I. Atkins</w:t>
      </w:r>
    </w:p>
    <w:p>
      <w:pPr>
        <w:spacing w:after="0" w:line="63"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Acting Chief Financial Officer</w:t>
      </w:r>
    </w:p>
    <w:p>
      <w:pPr>
        <w:spacing w:after="0" w:line="27"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3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21, 2026</w:t>
      </w:r>
    </w:p>
    <w:p>
      <w:pPr>
        <w:sectPr>
          <w:pgSz w:w="11900" w:h="16838" w:orient="portrait"/>
          <w:cols w:equalWidth="0" w:num="1">
            <w:col w:w="11240"/>
          </w:cols>
          <w:pgMar w:left="320" w:top="121" w:right="339" w:bottom="1440" w:gutter="0" w:footer="0" w:header="0"/>
        </w:sectPr>
      </w:pPr>
    </w:p>
    <w:bookmarkStart w:id="2" w:name="page3"/>
    <w:bookmarkEnd w:id="2"/>
    <w:p>
      <w:pPr>
        <w:spacing w:after="0" w:line="200" w:lineRule="exact"/>
        <w:rPr>
          <w:sz w:val="20"/>
          <w:szCs w:val="20"/>
          <w:color w:val="auto"/>
        </w:rPr>
      </w:pPr>
    </w:p>
    <w:p>
      <w:pPr>
        <w:spacing w:after="0" w:line="217"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First Amendment to Consulting Agreement</w:t>
      </w:r>
    </w:p>
    <w:p>
      <w:pPr>
        <w:spacing w:after="0" w:line="61" w:lineRule="exact"/>
        <w:rPr>
          <w:sz w:val="20"/>
          <w:szCs w:val="20"/>
          <w:color w:val="auto"/>
        </w:rPr>
      </w:pPr>
    </w:p>
    <w:p>
      <w:pPr>
        <w:ind w:right="180"/>
        <w:spacing w:after="0" w:line="288" w:lineRule="auto"/>
        <w:rPr>
          <w:sz w:val="20"/>
          <w:szCs w:val="20"/>
          <w:color w:val="auto"/>
        </w:rPr>
      </w:pPr>
      <w:r>
        <w:rPr>
          <w:rFonts w:ascii="Times New Roman" w:cs="Times New Roman" w:eastAsia="Times New Roman" w:hAnsi="Times New Roman"/>
          <w:sz w:val="20"/>
          <w:szCs w:val="20"/>
          <w:color w:val="auto"/>
        </w:rPr>
        <w:t>This First Amendment (“</w:t>
      </w:r>
      <w:r>
        <w:rPr>
          <w:rFonts w:ascii="Times New Roman" w:cs="Times New Roman" w:eastAsia="Times New Roman" w:hAnsi="Times New Roman"/>
          <w:sz w:val="20"/>
          <w:szCs w:val="20"/>
          <w:b w:val="1"/>
          <w:bCs w:val="1"/>
          <w:i w:val="1"/>
          <w:iCs w:val="1"/>
          <w:color w:val="auto"/>
        </w:rPr>
        <w:t>First Amendment</w:t>
      </w:r>
      <w:r>
        <w:rPr>
          <w:rFonts w:ascii="Times New Roman" w:cs="Times New Roman" w:eastAsia="Times New Roman" w:hAnsi="Times New Roman"/>
          <w:sz w:val="20"/>
          <w:szCs w:val="20"/>
          <w:color w:val="auto"/>
        </w:rPr>
        <w:t xml:space="preserve">”), effective 1 May, 2026, amends that Consulting Agreement effective as of January 31, 2026 (the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entered into by and between Daktronics, Inc.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and Carla Gatzke (“</w:t>
      </w:r>
      <w:r>
        <w:rPr>
          <w:rFonts w:ascii="Times New Roman" w:cs="Times New Roman" w:eastAsia="Times New Roman" w:hAnsi="Times New Roman"/>
          <w:sz w:val="20"/>
          <w:szCs w:val="20"/>
          <w:b w:val="1"/>
          <w:bCs w:val="1"/>
          <w:i w:val="1"/>
          <w:iCs w:val="1"/>
          <w:color w:val="auto"/>
        </w:rPr>
        <w:t>Consultant</w:t>
      </w:r>
      <w:r>
        <w:rPr>
          <w:rFonts w:ascii="Times New Roman" w:cs="Times New Roman" w:eastAsia="Times New Roman" w:hAnsi="Times New Roman"/>
          <w:sz w:val="20"/>
          <w:szCs w:val="20"/>
          <w:color w:val="auto"/>
        </w:rPr>
        <w:t>”), as follows:</w:t>
      </w:r>
    </w:p>
    <w:p>
      <w:pPr>
        <w:spacing w:after="0" w:line="137" w:lineRule="exact"/>
        <w:rPr>
          <w:sz w:val="20"/>
          <w:szCs w:val="20"/>
          <w:color w:val="auto"/>
        </w:rPr>
      </w:pPr>
    </w:p>
    <w:p>
      <w:pPr>
        <w:ind w:left="660" w:right="760" w:hanging="328"/>
        <w:spacing w:after="0" w:line="277" w:lineRule="auto"/>
        <w:tabs>
          <w:tab w:leader="none" w:pos="6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Definitions. </w:t>
      </w:r>
      <w:r>
        <w:rPr>
          <w:rFonts w:ascii="Times New Roman" w:cs="Times New Roman" w:eastAsia="Times New Roman" w:hAnsi="Times New Roman"/>
          <w:sz w:val="20"/>
          <w:szCs w:val="20"/>
          <w:color w:val="auto"/>
        </w:rPr>
        <w:t>Any capitalized term not otherwise defined in this First Amendment shall have the meaning given to it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w:t>
      </w:r>
    </w:p>
    <w:p>
      <w:pPr>
        <w:spacing w:after="0" w:line="1" w:lineRule="exact"/>
        <w:rPr>
          <w:rFonts w:ascii="Times New Roman" w:cs="Times New Roman" w:eastAsia="Times New Roman" w:hAnsi="Times New Roman"/>
          <w:sz w:val="20"/>
          <w:szCs w:val="20"/>
          <w:color w:val="auto"/>
        </w:rPr>
      </w:pPr>
    </w:p>
    <w:p>
      <w:pPr>
        <w:ind w:left="660" w:hanging="328"/>
        <w:spacing w:after="0" w:line="274" w:lineRule="auto"/>
        <w:tabs>
          <w:tab w:leader="none" w:pos="6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Extension of Term</w:t>
      </w:r>
      <w:r>
        <w:rPr>
          <w:rFonts w:ascii="Times New Roman" w:cs="Times New Roman" w:eastAsia="Times New Roman" w:hAnsi="Times New Roman"/>
          <w:sz w:val="20"/>
          <w:szCs w:val="20"/>
          <w:color w:val="auto"/>
        </w:rPr>
        <w:t>. The Parties agree to extend the term of the Agreement through August 28, 2026 (the “</w:t>
      </w:r>
      <w:r>
        <w:rPr>
          <w:rFonts w:ascii="Times New Roman" w:cs="Times New Roman" w:eastAsia="Times New Roman" w:hAnsi="Times New Roman"/>
          <w:sz w:val="20"/>
          <w:szCs w:val="20"/>
          <w:b w:val="1"/>
          <w:bCs w:val="1"/>
          <w:i w:val="1"/>
          <w:iCs w:val="1"/>
          <w:color w:val="auto"/>
        </w:rPr>
        <w:t>Extended Term</w:t>
      </w:r>
      <w:r>
        <w:rPr>
          <w:rFonts w:ascii="Times New Roman" w:cs="Times New Roman" w:eastAsia="Times New Roman" w:hAnsi="Times New Roman"/>
          <w:sz w:val="20"/>
          <w:szCs w:val="20"/>
          <w:color w:val="auto"/>
        </w:rPr>
        <w:t>”) unless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earlier terminated in accordance with the terms of the Agreement.</w:t>
      </w:r>
    </w:p>
    <w:p>
      <w:pPr>
        <w:spacing w:after="0" w:line="1" w:lineRule="exact"/>
        <w:rPr>
          <w:rFonts w:ascii="Times New Roman" w:cs="Times New Roman" w:eastAsia="Times New Roman" w:hAnsi="Times New Roman"/>
          <w:sz w:val="20"/>
          <w:szCs w:val="20"/>
          <w:color w:val="auto"/>
        </w:rPr>
      </w:pPr>
    </w:p>
    <w:p>
      <w:pPr>
        <w:ind w:left="660" w:hanging="328"/>
        <w:spacing w:after="0" w:line="274" w:lineRule="auto"/>
        <w:tabs>
          <w:tab w:leader="none" w:pos="6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Services. </w:t>
      </w:r>
      <w:r>
        <w:rPr>
          <w:rFonts w:ascii="Times New Roman" w:cs="Times New Roman" w:eastAsia="Times New Roman" w:hAnsi="Times New Roman"/>
          <w:sz w:val="20"/>
          <w:szCs w:val="20"/>
          <w:color w:val="auto"/>
        </w:rPr>
        <w:t>During the Extended Term, the Consultant’s Services shall be limited to project-specific advisory services provided at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request of the Company, working in coordination with the Company’s Vice President of Human Resources.</w:t>
      </w:r>
    </w:p>
    <w:p>
      <w:pPr>
        <w:spacing w:after="0" w:line="1" w:lineRule="exact"/>
        <w:rPr>
          <w:rFonts w:ascii="Times New Roman" w:cs="Times New Roman" w:eastAsia="Times New Roman" w:hAnsi="Times New Roman"/>
          <w:sz w:val="20"/>
          <w:szCs w:val="20"/>
          <w:color w:val="auto"/>
        </w:rPr>
      </w:pPr>
    </w:p>
    <w:p>
      <w:pPr>
        <w:ind w:left="660" w:right="320" w:hanging="328"/>
        <w:spacing w:after="0" w:line="274" w:lineRule="auto"/>
        <w:tabs>
          <w:tab w:leader="none" w:pos="6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Fees and Expenses. </w:t>
      </w:r>
      <w:r>
        <w:rPr>
          <w:rFonts w:ascii="Times New Roman" w:cs="Times New Roman" w:eastAsia="Times New Roman" w:hAnsi="Times New Roman"/>
          <w:sz w:val="20"/>
          <w:szCs w:val="20"/>
          <w:color w:val="auto"/>
        </w:rPr>
        <w:t>During the Extended Term, the monthly fee is reduced to $7,500, with expenses reimbursed and payments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otherwise governed by Section 3 of the Agreement.</w:t>
      </w:r>
    </w:p>
    <w:p>
      <w:pPr>
        <w:spacing w:after="0" w:line="1" w:lineRule="exact"/>
        <w:rPr>
          <w:rFonts w:ascii="Times New Roman" w:cs="Times New Roman" w:eastAsia="Times New Roman" w:hAnsi="Times New Roman"/>
          <w:sz w:val="20"/>
          <w:szCs w:val="20"/>
          <w:color w:val="auto"/>
        </w:rPr>
      </w:pPr>
    </w:p>
    <w:p>
      <w:pPr>
        <w:ind w:left="660" w:right="40" w:hanging="328"/>
        <w:spacing w:after="0" w:line="309" w:lineRule="auto"/>
        <w:tabs>
          <w:tab w:leader="none" w:pos="6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Remaining Terms. </w:t>
      </w:r>
      <w:r>
        <w:rPr>
          <w:rFonts w:ascii="Times New Roman" w:cs="Times New Roman" w:eastAsia="Times New Roman" w:hAnsi="Times New Roman"/>
          <w:sz w:val="20"/>
          <w:szCs w:val="20"/>
          <w:color w:val="auto"/>
        </w:rPr>
        <w:t>Except as expressly amended herein, all other terms and conditions of the Agreement shall remain in full force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effect.</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Parties have executed this First Amendment effective as of the date first written above.</w:t>
      </w:r>
    </w:p>
    <w:p>
      <w:pPr>
        <w:sectPr>
          <w:pgSz w:w="11900" w:h="16838" w:orient="portrait"/>
          <w:cols w:equalWidth="0" w:num="1">
            <w:col w:w="11060"/>
          </w:cols>
          <w:pgMar w:left="320" w:top="1440" w:right="519" w:bottom="1440" w:gutter="0" w:footer="0" w:header="0"/>
        </w:sectPr>
      </w:pPr>
    </w:p>
    <w:p>
      <w:pPr>
        <w:spacing w:after="0" w:line="3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Daktronics, Inc. (Company)</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Consultant</w:t>
      </w:r>
    </w:p>
    <w:p>
      <w:pPr>
        <w:spacing w:after="0" w:line="200" w:lineRule="exact"/>
        <w:rPr>
          <w:sz w:val="20"/>
          <w:szCs w:val="20"/>
          <w:color w:val="auto"/>
        </w:rPr>
      </w:pPr>
    </w:p>
    <w:p>
      <w:pPr>
        <w:sectPr>
          <w:pgSz w:w="11900" w:h="16838" w:orient="portrait"/>
          <w:cols w:equalWidth="0" w:num="2">
            <w:col w:w="4060" w:space="720"/>
            <w:col w:w="6280"/>
          </w:cols>
          <w:pgMar w:left="320" w:top="1440" w:right="519" w:bottom="1440" w:gutter="0" w:footer="0" w:header="0"/>
          <w:type w:val="continuous"/>
        </w:sectPr>
      </w:pPr>
    </w:p>
    <w:p>
      <w:pPr>
        <w:spacing w:after="0" w:line="8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9"/>
          <w:szCs w:val="19"/>
          <w:b w:val="1"/>
          <w:bCs w:val="1"/>
          <w:color w:val="auto"/>
        </w:rPr>
        <w:t>Carla Gatzke</w:t>
      </w:r>
    </w:p>
    <w:p>
      <w:pPr>
        <w:sectPr>
          <w:pgSz w:w="11900" w:h="16838" w:orient="portrait"/>
          <w:cols w:equalWidth="0" w:num="1">
            <w:col w:w="11060"/>
          </w:cols>
          <w:pgMar w:left="320" w:top="1440" w:right="519" w:bottom="1440" w:gutter="0" w:footer="0" w:header="0"/>
          <w:type w:val="continuous"/>
        </w:sectPr>
      </w:pPr>
    </w:p>
    <w:p>
      <w:pPr>
        <w:spacing w:after="0" w:line="200" w:lineRule="exact"/>
        <w:rPr>
          <w:sz w:val="20"/>
          <w:szCs w:val="20"/>
          <w:color w:val="auto"/>
        </w:rPr>
      </w:pPr>
    </w:p>
    <w:p>
      <w:pPr>
        <w:spacing w:after="0" w:line="3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By:_________________________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_________________________</w:t>
      </w:r>
    </w:p>
    <w:p>
      <w:pPr>
        <w:spacing w:after="0" w:line="200" w:lineRule="exact"/>
        <w:rPr>
          <w:sz w:val="20"/>
          <w:szCs w:val="20"/>
          <w:color w:val="auto"/>
        </w:rPr>
      </w:pPr>
    </w:p>
    <w:p>
      <w:pPr>
        <w:sectPr>
          <w:pgSz w:w="11900" w:h="16838" w:orient="portrait"/>
          <w:cols w:equalWidth="0" w:num="2">
            <w:col w:w="4060" w:space="720"/>
            <w:col w:w="6280"/>
          </w:cols>
          <w:pgMar w:left="320" w:top="1440" w:right="519" w:bottom="1440" w:gutter="0" w:footer="0" w:header="0"/>
          <w:type w:val="continuous"/>
        </w:sectPr>
      </w:pP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Its:_________________________</w:t>
      </w:r>
    </w:p>
    <w:sectPr>
      <w:pgSz w:w="11900" w:h="16838" w:orient="portrait"/>
      <w:cols w:equalWidth="0" w:num="1">
        <w:col w:w="11060"/>
      </w:cols>
      <w:pgMar w:left="320" w:top="1440"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5"/>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2026-05-21T16:46:41Z</dcterms:created>
  <dcterms:modified xsi:type="dcterms:W3CDTF">2026-05-21T16:46:41Z</dcterms:modified>
</cp:coreProperties>
</file>