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260985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10-Q</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January 31, 2015</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jc w:val="center"/>
        <w:ind w:left="4740" w:right="2480" w:hanging="2250"/>
        <w:spacing w:after="0" w:line="259" w:lineRule="auto"/>
        <w:tabs>
          <w:tab w:leader="none" w:pos="2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6"/>
          <w:szCs w:val="16"/>
          <w:b w:val="1"/>
          <w:bCs w:val="1"/>
          <w:i w:val="1"/>
          <w:iCs w:val="1"/>
          <w:color w:val="auto"/>
        </w:rPr>
        <w:t>For the Transition Period From</w:t>
        <w:tab/>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133350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2340" w:type="dxa"/>
        <w:tblCellMar>
          <w:top w:w="0" w:type="dxa"/>
          <w:left w:w="0" w:type="dxa"/>
          <w:bottom w:w="0" w:type="dxa"/>
          <w:right w:w="0" w:type="dxa"/>
        </w:tblCellMar>
      </w:tblPr>
      <w:tr>
        <w:trPr>
          <w:trHeight w:val="205"/>
        </w:trPr>
        <w:tc>
          <w:tcPr>
            <w:tcW w:w="392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South Dakota</w:t>
            </w:r>
          </w:p>
        </w:tc>
        <w:tc>
          <w:tcPr>
            <w:tcW w:w="268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organization)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490"/>
        </w:trPr>
        <w:tc>
          <w:tcPr>
            <w:tcW w:w="392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2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Brookings SD</w:t>
            </w:r>
          </w:p>
        </w:tc>
        <w:tc>
          <w:tcPr>
            <w:tcW w:w="2680" w:type="dxa"/>
            <w:vAlign w:val="bottom"/>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3"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660"/>
        <w:spacing w:after="0"/>
        <w:rPr>
          <w:sz w:val="20"/>
          <w:szCs w:val="20"/>
          <w:color w:val="auto"/>
        </w:rPr>
      </w:pPr>
      <w:r>
        <w:rPr>
          <w:rFonts w:ascii="Times New Roman" w:cs="Times New Roman" w:eastAsia="Times New Roman" w:hAnsi="Times New Roman"/>
          <w:sz w:val="16"/>
          <w:szCs w:val="16"/>
          <w:color w:val="auto"/>
        </w:rPr>
        <w:t>Yes x No o</w:t>
      </w:r>
    </w:p>
    <w:p>
      <w:pPr>
        <w:spacing w:after="0" w:line="176"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84" w:lineRule="exact"/>
        <w:rPr>
          <w:sz w:val="20"/>
          <w:szCs w:val="20"/>
          <w:color w:val="auto"/>
        </w:rPr>
      </w:pPr>
      <w:r>
        <w:rPr>
          <w:rFonts w:ascii="Times New Roman" w:cs="Times New Roman" w:eastAsia="Times New Roman" w:hAnsi="Times New Roman"/>
          <w:sz w:val="16"/>
          <w:szCs w:val="16"/>
          <w:color w:val="auto"/>
        </w:rPr>
        <w:t xml:space="preserve">Yes x No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88" w:right="239" w:bottom="1440" w:gutter="0" w:footer="0" w:header="0"/>
        </w:sectPr>
      </w:pPr>
    </w:p>
    <w:p>
      <w:pPr>
        <w:spacing w:after="0" w:line="1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88"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88" w:right="23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105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x</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March 2, 2015 was 43,622,125.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8" w:right="239" w:bottom="1440" w:gutter="0" w:footer="0" w:header="0"/>
          <w:type w:val="continuous"/>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For the Quarter Ended January 31, 2015</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30"/>
        </w:trPr>
        <w:tc>
          <w:tcPr>
            <w:tcW w:w="500" w:type="dxa"/>
            <w:vAlign w:val="bottom"/>
            <w:tcBorders>
              <w:bottom w:val="single" w:sz="8" w:color="0000FF"/>
            </w:tcBorders>
          </w:tcPr>
          <w:p>
            <w:pPr>
              <w:spacing w:after="0"/>
              <w:rPr>
                <w:rFonts w:ascii="Times New Roman" w:cs="Times New Roman" w:eastAsia="Times New Roman" w:hAnsi="Times New Roman"/>
                <w:sz w:val="18"/>
                <w:szCs w:val="18"/>
                <w:b w:val="1"/>
                <w:bCs w:val="1"/>
                <w:color w:val="0000FF"/>
                <w:w w:val="95"/>
              </w:rPr>
            </w:pPr>
            <w:hyperlink w:anchor="page2">
              <w:r>
                <w:rPr>
                  <w:rFonts w:ascii="Times New Roman" w:cs="Times New Roman" w:eastAsia="Times New Roman" w:hAnsi="Times New Roman"/>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Times New Roman" w:cs="Times New Roman" w:eastAsia="Times New Roman" w:hAnsi="Times New Roman"/>
                <w:sz w:val="18"/>
                <w:szCs w:val="18"/>
                <w:b w:val="1"/>
                <w:bCs w:val="1"/>
                <w:color w:val="0000FF"/>
                <w:w w:val="98"/>
              </w:rPr>
            </w:pPr>
            <w:hyperlink w:anchor="page2">
              <w:r>
                <w:rPr>
                  <w:rFonts w:ascii="Times New Roman" w:cs="Times New Roman" w:eastAsia="Times New Roman" w:hAnsi="Times New Roman"/>
                  <w:sz w:val="18"/>
                  <w:szCs w:val="18"/>
                  <w:b w:val="1"/>
                  <w:bCs w:val="1"/>
                  <w:color w:val="0000FF"/>
                  <w:w w:val="98"/>
                </w:rPr>
                <w:t>Financial Information</w:t>
              </w:r>
            </w:hyperlink>
          </w:p>
        </w:tc>
        <w:tc>
          <w:tcPr>
            <w:tcW w:w="6940" w:type="dxa"/>
            <w:vAlign w:val="bottom"/>
            <w:gridSpan w:val="13"/>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Times New Roman" w:cs="Times New Roman" w:eastAsia="Times New Roman" w:hAnsi="Times New Roman"/>
                <w:sz w:val="18"/>
                <w:szCs w:val="18"/>
                <w:color w:val="0000FF"/>
                <w:w w:val="88"/>
              </w:rPr>
            </w:pPr>
            <w:hyperlink w:anchor="page2">
              <w:r>
                <w:rPr>
                  <w:rFonts w:ascii="Times New Roman" w:cs="Times New Roman" w:eastAsia="Times New Roman" w:hAnsi="Times New Roman"/>
                  <w:sz w:val="18"/>
                  <w:szCs w:val="18"/>
                  <w:color w:val="0000FF"/>
                  <w:w w:val="88"/>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w:t>
              </w:r>
            </w:hyperlink>
          </w:p>
        </w:tc>
        <w:tc>
          <w:tcPr>
            <w:tcW w:w="1100" w:type="dxa"/>
            <w:vAlign w:val="bottom"/>
            <w:gridSpan w:val="3"/>
          </w:tcPr>
          <w:p>
            <w:pPr>
              <w:ind w:left="9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Consolidated Balance Sheets as of January 31, 2015 and April 26, 2014 (unaudited)</w:t>
              </w:r>
            </w:hyperlink>
          </w:p>
        </w:tc>
        <w:tc>
          <w:tcPr>
            <w:tcW w:w="204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Consolidated Statements of Operations for the Three and Nine Months Ended January 31, 2015 and</w:t>
              </w:r>
            </w:hyperlink>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17"/>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January 25, 2014 (unaudited)</w:t>
              </w:r>
            </w:hyperlink>
          </w:p>
        </w:tc>
        <w:tc>
          <w:tcPr>
            <w:tcW w:w="1100" w:type="dxa"/>
            <w:vAlign w:val="bottom"/>
            <w:gridSpan w:val="3"/>
          </w:tcPr>
          <w:p>
            <w:pPr>
              <w:ind w:left="920"/>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Consolidated Statements of Comprehensive Income for the Three and Nine Months Ended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31, 2015 and January 25, 2014 (unaudited)</w:t>
              </w:r>
            </w:hyperlink>
          </w:p>
        </w:tc>
        <w:tc>
          <w:tcPr>
            <w:tcW w:w="960" w:type="dxa"/>
            <w:vAlign w:val="bottom"/>
            <w:gridSpan w:val="2"/>
          </w:tcPr>
          <w:p>
            <w:pPr>
              <w:spacing w:after="0"/>
              <w:rPr>
                <w:sz w:val="17"/>
                <w:szCs w:val="17"/>
                <w:color w:val="auto"/>
              </w:rPr>
            </w:pPr>
          </w:p>
        </w:tc>
        <w:tc>
          <w:tcPr>
            <w:tcW w:w="1100" w:type="dxa"/>
            <w:vAlign w:val="bottom"/>
            <w:gridSpan w:val="3"/>
          </w:tcPr>
          <w:p>
            <w:pPr>
              <w:ind w:left="920"/>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Consolidated Statements of Cash Flows for the Nine Months Ended January 31, 2015 and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6"/>
              </w:rPr>
            </w:pPr>
            <w:hyperlink w:anchor="page6">
              <w:r>
                <w:rPr>
                  <w:rFonts w:ascii="Times New Roman" w:cs="Times New Roman" w:eastAsia="Times New Roman" w:hAnsi="Times New Roman"/>
                  <w:sz w:val="18"/>
                  <w:szCs w:val="18"/>
                  <w:color w:val="0000FF"/>
                  <w:w w:val="96"/>
                </w:rPr>
                <w:t>25, 2014 (unaudited)</w:t>
              </w:r>
            </w:hyperlink>
          </w:p>
        </w:tc>
        <w:tc>
          <w:tcPr>
            <w:tcW w:w="5560" w:type="dxa"/>
            <w:vAlign w:val="bottom"/>
            <w:tcBorders>
              <w:top w:val="single" w:sz="8" w:color="0000FF"/>
            </w:tcBorders>
            <w:gridSpan w:val="8"/>
          </w:tcPr>
          <w:p>
            <w:pPr>
              <w:spacing w:after="0"/>
              <w:rPr>
                <w:sz w:val="17"/>
                <w:szCs w:val="17"/>
                <w:color w:val="auto"/>
              </w:rPr>
            </w:pPr>
          </w:p>
        </w:tc>
        <w:tc>
          <w:tcPr>
            <w:tcW w:w="10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the Consolidated Financial Statements</w:t>
              </w:r>
            </w:hyperlink>
          </w:p>
        </w:tc>
        <w:tc>
          <w:tcPr>
            <w:tcW w:w="1100" w:type="dxa"/>
            <w:vAlign w:val="bottom"/>
            <w:gridSpan w:val="3"/>
          </w:tcPr>
          <w:p>
            <w:pPr>
              <w:ind w:left="9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Item 2.</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Item 3.</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Quantitative and Qualitative Disclosures About Market Risk</w:t>
              </w:r>
            </w:hyperlink>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4.</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Controls and Procedures</w:t>
              </w:r>
            </w:hyperlink>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Times New Roman" w:cs="Times New Roman" w:eastAsia="Times New Roman" w:hAnsi="Times New Roman"/>
                <w:sz w:val="18"/>
                <w:szCs w:val="18"/>
                <w:b w:val="1"/>
                <w:bCs w:val="1"/>
                <w:color w:val="0000FF"/>
              </w:rPr>
            </w:pPr>
            <w:hyperlink w:anchor="page31">
              <w:r>
                <w:rPr>
                  <w:rFonts w:ascii="Times New Roman" w:cs="Times New Roman" w:eastAsia="Times New Roman" w:hAnsi="Times New Roman"/>
                  <w:sz w:val="18"/>
                  <w:szCs w:val="18"/>
                  <w:b w:val="1"/>
                  <w:bCs w:val="1"/>
                  <w:color w:val="0000FF"/>
                </w:rPr>
                <w:t>Part II.</w:t>
              </w:r>
            </w:hyperlink>
          </w:p>
        </w:tc>
        <w:tc>
          <w:tcPr>
            <w:tcW w:w="8640" w:type="dxa"/>
            <w:vAlign w:val="bottom"/>
            <w:gridSpan w:val="19"/>
          </w:tcPr>
          <w:p>
            <w:pPr>
              <w:spacing w:after="0"/>
              <w:rPr>
                <w:rFonts w:ascii="Times New Roman" w:cs="Times New Roman" w:eastAsia="Times New Roman" w:hAnsi="Times New Roman"/>
                <w:sz w:val="18"/>
                <w:szCs w:val="18"/>
                <w:b w:val="1"/>
                <w:bCs w:val="1"/>
                <w:color w:val="0000FF"/>
              </w:rPr>
            </w:pPr>
            <w:hyperlink w:anchor="page31">
              <w:r>
                <w:rPr>
                  <w:rFonts w:ascii="Times New Roman" w:cs="Times New Roman" w:eastAsia="Times New Roman" w:hAnsi="Times New Roman"/>
                  <w:sz w:val="18"/>
                  <w:szCs w:val="18"/>
                  <w:b w:val="1"/>
                  <w:bCs w:val="1"/>
                  <w:color w:val="0000FF"/>
                </w:rPr>
                <w:t>Other Information</w:t>
              </w:r>
            </w:hyperlink>
          </w:p>
        </w:tc>
        <w:tc>
          <w:tcPr>
            <w:tcW w:w="1260" w:type="dxa"/>
            <w:vAlign w:val="bottom"/>
            <w:gridSpan w:val="4"/>
          </w:tcPr>
          <w:p>
            <w:pPr>
              <w:ind w:left="9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Legal Proceedings</w:t>
              </w:r>
            </w:hyperlink>
          </w:p>
        </w:tc>
        <w:tc>
          <w:tcPr>
            <w:tcW w:w="7200" w:type="dxa"/>
            <w:vAlign w:val="bottom"/>
            <w:gridSpan w:val="14"/>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Times New Roman" w:cs="Times New Roman" w:eastAsia="Times New Roman" w:hAnsi="Times New Roman"/>
                <w:sz w:val="18"/>
                <w:szCs w:val="18"/>
                <w:color w:val="0000FF"/>
                <w:w w:val="96"/>
              </w:rPr>
            </w:pPr>
            <w:hyperlink w:anchor="page31">
              <w:r>
                <w:rPr>
                  <w:rFonts w:ascii="Times New Roman" w:cs="Times New Roman" w:eastAsia="Times New Roman" w:hAnsi="Times New Roman"/>
                  <w:sz w:val="18"/>
                  <w:szCs w:val="18"/>
                  <w:color w:val="0000FF"/>
                  <w:w w:val="96"/>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Times New Roman" w:cs="Times New Roman" w:eastAsia="Times New Roman" w:hAnsi="Times New Roman"/>
                <w:sz w:val="18"/>
                <w:szCs w:val="18"/>
                <w:color w:val="0000FF"/>
                <w:w w:val="97"/>
              </w:rPr>
            </w:pPr>
            <w:hyperlink w:anchor="page31">
              <w:r>
                <w:rPr>
                  <w:rFonts w:ascii="Times New Roman" w:cs="Times New Roman" w:eastAsia="Times New Roman" w:hAnsi="Times New Roman"/>
                  <w:sz w:val="18"/>
                  <w:szCs w:val="18"/>
                  <w:color w:val="0000FF"/>
                  <w:w w:val="97"/>
                </w:rPr>
                <w:t>Risk Factors</w:t>
              </w:r>
            </w:hyperlink>
          </w:p>
        </w:tc>
        <w:tc>
          <w:tcPr>
            <w:tcW w:w="7740" w:type="dxa"/>
            <w:vAlign w:val="bottom"/>
            <w:gridSpan w:val="16"/>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Unregistered Sales of Equity Securities and Use of Proceeds</w:t>
              </w:r>
            </w:hyperlink>
          </w:p>
        </w:tc>
        <w:tc>
          <w:tcPr>
            <w:tcW w:w="4280" w:type="dxa"/>
            <w:vAlign w:val="bottom"/>
            <w:gridSpan w:val="6"/>
          </w:tcPr>
          <w:p>
            <w:pPr>
              <w:spacing w:after="0"/>
              <w:rPr>
                <w:sz w:val="21"/>
                <w:szCs w:val="21"/>
                <w:color w:val="auto"/>
              </w:rPr>
            </w:pPr>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3.</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Defaults Upon Senior Securities</w:t>
              </w:r>
            </w:hyperlink>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4.</w:t>
              </w:r>
            </w:hyperlink>
          </w:p>
        </w:tc>
        <w:tc>
          <w:tcPr>
            <w:tcW w:w="17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w:anchor="page31">
              <w:r>
                <w:rPr>
                  <w:rFonts w:ascii="Times New Roman" w:cs="Times New Roman" w:eastAsia="Times New Roman" w:hAnsi="Times New Roman"/>
                  <w:sz w:val="18"/>
                  <w:szCs w:val="18"/>
                  <w:color w:val="0000FF"/>
                  <w:w w:val="98"/>
                </w:rPr>
                <w:t>Mine Safety Disclosures</w:t>
              </w:r>
            </w:hyperlink>
          </w:p>
        </w:tc>
        <w:tc>
          <w:tcPr>
            <w:tcW w:w="6880" w:type="dxa"/>
            <w:vAlign w:val="bottom"/>
            <w:gridSpan w:val="12"/>
          </w:tcPr>
          <w:p>
            <w:pPr>
              <w:spacing w:after="0"/>
              <w:rPr>
                <w:sz w:val="21"/>
                <w:szCs w:val="21"/>
                <w:color w:val="auto"/>
              </w:rPr>
            </w:pPr>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30</w:t>
              </w:r>
            </w:hyperlink>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5.</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Other Information</w:t>
              </w:r>
            </w:hyperlink>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6.</w:t>
              </w:r>
            </w:hyperlink>
          </w:p>
        </w:tc>
        <w:tc>
          <w:tcPr>
            <w:tcW w:w="8640" w:type="dxa"/>
            <w:vAlign w:val="bottom"/>
            <w:gridSpan w:val="19"/>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Exhibits</w:t>
              </w:r>
            </w:hyperlink>
          </w:p>
        </w:tc>
        <w:tc>
          <w:tcPr>
            <w:tcW w:w="1260" w:type="dxa"/>
            <w:vAlign w:val="bottom"/>
            <w:gridSpan w:val="4"/>
          </w:tcPr>
          <w:p>
            <w:pPr>
              <w:ind w:left="92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Times New Roman" w:cs="Times New Roman" w:eastAsia="Times New Roman" w:hAnsi="Times New Roman"/>
                <w:sz w:val="18"/>
                <w:szCs w:val="18"/>
                <w:b w:val="1"/>
                <w:bCs w:val="1"/>
                <w:color w:val="0000FF"/>
                <w:w w:val="95"/>
              </w:rPr>
            </w:pPr>
            <w:hyperlink w:anchor="page32">
              <w:r>
                <w:rPr>
                  <w:rFonts w:ascii="Times New Roman" w:cs="Times New Roman" w:eastAsia="Times New Roman" w:hAnsi="Times New Roman"/>
                  <w:sz w:val="18"/>
                  <w:szCs w:val="18"/>
                  <w:b w:val="1"/>
                  <w:bCs w:val="1"/>
                  <w:color w:val="0000FF"/>
                  <w:w w:val="95"/>
                </w:rPr>
                <w:t>Signatures</w:t>
              </w:r>
            </w:hyperlink>
          </w:p>
        </w:tc>
        <w:tc>
          <w:tcPr>
            <w:tcW w:w="864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Times New Roman" w:cs="Times New Roman" w:eastAsia="Times New Roman" w:hAnsi="Times New Roman"/>
                <w:sz w:val="18"/>
                <w:szCs w:val="18"/>
                <w:b w:val="1"/>
                <w:bCs w:val="1"/>
                <w:color w:val="0000FF"/>
                <w:w w:val="98"/>
              </w:rPr>
            </w:pPr>
            <w:hyperlink w:anchor="page33">
              <w:r>
                <w:rPr>
                  <w:rFonts w:ascii="Times New Roman" w:cs="Times New Roman" w:eastAsia="Times New Roman" w:hAnsi="Times New Roman"/>
                  <w:sz w:val="18"/>
                  <w:szCs w:val="18"/>
                  <w:b w:val="1"/>
                  <w:bCs w:val="1"/>
                  <w:color w:val="0000FF"/>
                  <w:w w:val="98"/>
                </w:rPr>
                <w:t>Index to Exhibits</w:t>
              </w:r>
            </w:hyperlink>
          </w:p>
        </w:tc>
        <w:tc>
          <w:tcPr>
            <w:tcW w:w="8140" w:type="dxa"/>
            <w:vAlign w:val="bottom"/>
            <w:gridSpan w:val="18"/>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76" w:right="89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45,054</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25,398</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82,500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62,228</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33,400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5,235</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10,694</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receivables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271,706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274,240</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7,877</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17,941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59,363</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72,787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15,754</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45,329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Demonstration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4,823</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221,820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208,995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143,725</w:t>
            </w:r>
          </w:p>
        </w:tc>
      </w:tr>
      <w:tr>
        <w:trPr>
          <w:trHeight w:val="237"/>
        </w:trPr>
        <w:tc>
          <w:tcPr>
            <w:tcW w:w="8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69,963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65,270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357,451</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48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240" w:top="118" w:right="4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payable, bank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45,913</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23,462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14,476</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deposits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17,654</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8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124,644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133,708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deferred revenue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4,978</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obligations,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20,624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154,332</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5"/>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no par value, authorized 120,000,000 shares; 43,632,681 and 43,166,731</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issued at January 31, 2015 and April 26, 2014,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43,935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29,923</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129,266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19,680 shares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203,119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357,605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357,451</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240" w:top="11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118" w:right="41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7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January 25,</w:t>
            </w:r>
          </w:p>
        </w:tc>
      </w:tr>
      <w:tr>
        <w:trPr>
          <w:trHeight w:val="238"/>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118,123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115,369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457,856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415,730</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307,774</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107,956</w:t>
            </w:r>
          </w:p>
        </w:tc>
      </w:tr>
      <w:tr>
        <w:trPr>
          <w:trHeight w:val="284"/>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40,110</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20,788</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17,330</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25,522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85,068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78,228</w:t>
            </w: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24,274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29,728</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77"/>
        </w:trPr>
        <w:tc>
          <w:tcPr>
            <w:tcW w:w="5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30,133</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9,753</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20,380</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5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42,772</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43,397</w:t>
            </w:r>
          </w:p>
        </w:tc>
      </w:tr>
      <w:tr>
        <w:trPr>
          <w:trHeight w:val="284"/>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r>
      <w:tr>
        <w:trPr>
          <w:trHeight w:val="277"/>
        </w:trPr>
        <w:tc>
          <w:tcPr>
            <w:tcW w:w="5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 declared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r>
        <w:trPr>
          <w:trHeight w:val="284"/>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45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January 25,</w:t>
            </w:r>
          </w:p>
        </w:tc>
      </w:tr>
      <w:tr>
        <w:trPr>
          <w:trHeight w:val="238"/>
        </w:trPr>
        <w:tc>
          <w:tcPr>
            <w:tcW w:w="550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20,380</w:t>
            </w:r>
          </w:p>
        </w:tc>
      </w:tr>
      <w:tr>
        <w:trPr>
          <w:trHeight w:val="284"/>
        </w:trPr>
        <w:tc>
          <w:tcPr>
            <w:tcW w:w="5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5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61"/>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 tax</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20,355</w:t>
            </w:r>
          </w:p>
        </w:tc>
      </w:tr>
      <w:tr>
        <w:trPr>
          <w:trHeight w:val="20"/>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January 25,</w:t>
            </w:r>
          </w:p>
        </w:tc>
        <w:tc>
          <w:tcPr>
            <w:tcW w:w="0" w:type="dxa"/>
            <w:vAlign w:val="bottom"/>
          </w:tcPr>
          <w:p>
            <w:pPr>
              <w:spacing w:after="0"/>
              <w:rPr>
                <w:sz w:val="1"/>
                <w:szCs w:val="1"/>
                <w:color w:val="auto"/>
              </w:rPr>
            </w:pPr>
          </w:p>
        </w:tc>
      </w:tr>
      <w:tr>
        <w:trPr>
          <w:trHeight w:val="238"/>
        </w:trPr>
        <w:tc>
          <w:tcPr>
            <w:tcW w:w="8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8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20,380</w:t>
            </w: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10,678</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property, equipment and other assets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39,243</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sale of property, equipment and 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15,286</w:t>
            </w:r>
          </w:p>
        </w:tc>
        <w:tc>
          <w:tcPr>
            <w:tcW w:w="0" w:type="dxa"/>
            <w:vAlign w:val="bottom"/>
          </w:tcPr>
          <w:p>
            <w:pPr>
              <w:spacing w:after="0"/>
              <w:rPr>
                <w:sz w:val="1"/>
                <w:szCs w:val="1"/>
                <w:color w:val="auto"/>
              </w:rPr>
            </w:pPr>
          </w:p>
        </w:tc>
      </w:tr>
      <w:tr>
        <w:trPr>
          <w:trHeight w:val="183"/>
        </w:trPr>
        <w:tc>
          <w:tcPr>
            <w:tcW w:w="85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45,054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40,628</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41,751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55,914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payments for: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Demonstration equipment transferred to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Contributions of common stock under the employee stock purchase plan</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7"/>
        </w:trPr>
        <w:tc>
          <w:tcPr>
            <w:tcW w:w="8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360"/>
          </w:cols>
          <w:pgMar w:left="240" w:top="118" w:right="299" w:bottom="374" w:gutter="0" w:footer="0" w:header="0"/>
        </w:sect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118" w:right="299" w:bottom="374"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requires management to make estimates and assumptions affecting the reported amounts therein. Due to the inherent uncertainty involved in making estimates, actual results in future periods may differ from those estimates.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generally accepted accounting principles have been condensed or omitted. The balance sheet at April 26, 2014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26, 2014,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The fiscal year ended April 26, 2014 consisted of 52 weeks. Fiscal 2015 is a 53-week year; therefore, the nine months ended January 31, 2015 contains operating results for 40 weeks while the nine months ended January 25, 2014 contained operating results for 39 weeks.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2015, the Financial Accounting Standards Board ("FASB") issued Accounting Standards Update ("ASU") 2015-01, </w:t>
      </w:r>
      <w:r>
        <w:rPr>
          <w:rFonts w:ascii="Times New Roman" w:cs="Times New Roman" w:eastAsia="Times New Roman" w:hAnsi="Times New Roman"/>
          <w:sz w:val="18"/>
          <w:szCs w:val="18"/>
          <w:i w:val="1"/>
          <w:iCs w:val="1"/>
          <w:color w:val="auto"/>
        </w:rPr>
        <w:t>Simplifying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by Eliminating the Concept of Extraordinary Items</w:t>
      </w:r>
      <w:r>
        <w:rPr>
          <w:rFonts w:ascii="Times New Roman" w:cs="Times New Roman" w:eastAsia="Times New Roman" w:hAnsi="Times New Roman"/>
          <w:sz w:val="18"/>
          <w:szCs w:val="18"/>
          <w:color w:val="auto"/>
        </w:rPr>
        <w:t>. ASU 2015-01 eliminates the requirement that an entity separately classify, present,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extraordinary events and transactions. The new guidance is effective for us beginning in our third quarter of fiscal 2016 and applies prospectively as of the date of adoption. We do not expect the adoption of this guidance to have a material impact on our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Presentation of Financial Statements (Topic 205) and Property, Plant and Equipment (Topic 360):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Discontinued Operations and Disclosures of Disposals of Components of an Entity</w:t>
      </w:r>
      <w:r>
        <w:rPr>
          <w:rFonts w:ascii="Times New Roman" w:cs="Times New Roman" w:eastAsia="Times New Roman" w:hAnsi="Times New Roman"/>
          <w:sz w:val="18"/>
          <w:szCs w:val="18"/>
          <w:color w:val="auto"/>
        </w:rPr>
        <w:t>. ASU 2014-08 changes the criteria for determining which disposals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presented as discontinued operations and modifies the related disclosure requirements. Additionally, the new guidance requires a business that qualifies as held for sale upon acquisition should be reported as discontinued operations. The new guidance is effective for us beginning in fiscal 2016 and applies prospectively to new disposals and new classifications of disposal groups as held for sale after the effective date. We do not expect the adoption of this guidance to have a material impact on our consolidated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a new topic, Accounting Standards Codification ("ASC") 606. The new revenue recognition standard provides a five-step analysis of transactions to determine when and how revenue is recognized. The core principle of the guidance is that a company should recognize revenue to depict the transfer of promised goods or services to customers in an amount that reflects the consideration to which the entity expects to be entitled in exchange for those goods or services. The new standard will also result in enhanced disclosures about revenue, provide guidance for transactions that were not previously addressed comprehensively, and improve guidance for multiple-element arrangements. ASU 2014-09 is effective for us beginning in fiscal 2018 and can be adopted either retrospectively or as a cumulative-effect adjustment as of the date of adoption. We are currently evaluating the effect that adopting this new accounting guidance will have on our consolidated results of operations, cash flows, and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Earnings Per Share ("EPS")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income attributable to common shareholders by the weighted average number of common shares outstanding for the period. Diluted EPS reflects the potential dilution if securities or other obligations to issue common stock were exercised or converted into common stock or resulted in the issuance of common stock sharing in our earnings.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income and common share amounts used in the calculation of basic and diluted EPS for the three and nine months ended January 31, 2015 and January 25,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31, 2015</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43,612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43,991</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25, 2014</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43,039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43,613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January 31, 2015</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43,435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44,204</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January 25, 2014</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42,772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43,397</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1,457 shares of common stock with a weighted average exercise price of $18.39 for the three months ended January 31, 2015 and 1,048 shares of common stock with a weighted average exercise price of $21.05 for the three months ended January 25, 2014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1,479 shares of common stock with a weighted average exercise price of $18.38 for the nine months ended January 31, 2015 and 1,972 shares of common stock with a weighted average exercise price of $16.87 for the nine months ended January 25, 2014 were not included in the computation of diluted earnings per share because the effects would be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Disclosure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have organized our business into five segments which meet the definition of reportable segments under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type of customer or geography and are the same as our business units.</w:t>
      </w:r>
    </w:p>
    <w:p>
      <w:pPr>
        <w:spacing w:after="0" w:line="17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Our Commercial business unit primarily consists of sales of our video display systems, digital billboards,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(formerly known as our Schools and Theatres business unit) primarily consists of sales of scoring systems,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Upon the sale of our automated rigging systems for theatre applications in July 2014, we changed the name of this business unit. Other than such sale, there was no change to the composition of the segment. Our Transportation business unit primarily consists of sales of our Vanguard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of our Annual Report on Form 10-K for the fiscal year ended April 26, 2014. Unabsorbed costs of domestic field sales and services infrastructure, including most field administrative staff, are allocated to the Commercial, Live Events, Transportation, and High School Park and Recreation business units based on cost of sales. Shared manufacturing, building and utilities, and procurement costs are allocated based on payroll dollars, square footage and various other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information on sales by products; therefore, disclosure of such information is not practical.</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37,762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121,472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117,690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33,496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47,750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9,479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34,807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26,615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74,641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61,799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118,123</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115,369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457,856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415,730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11,368</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15,901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65,937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67,846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29,728</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17,043</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20,380</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343,536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457,856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415,730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January 31,</w:t>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April 26,</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740" w:space="700"/>
            <w:col w:w="398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60,846</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4,424</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65,270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Marketable securities classified as available-for-sale are reported at fair value with unrealized gains or losses, net of tax, reported in accumulated other comprehensive (loss) income. As it relates to fixed income marketable securities, we do not intend to sell any of these investments, and it is not likely we will be required to sell any of these investments before recovery of the entire amortized cost basis. In addition, as of January 31, 2015, we anticipate we will recover the entire amortized cost basis of such fixed income securities, and we have determined that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2015 and April 26, 2014,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31, 2015</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6,332</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25,655</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26,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8,349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25,392</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income” and into earnings based on the specific identification method. In the nine months ended January 31, 2015 and January 25, 2014, the reclassifications from accumulated other comprehensive (loss) income to net assets were immaterial.</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available-for-sale securities are classified as current assets, as they are readily available to support our current operating needs. The contractual maturities of available-for-sale debt securities as of January 31, 2015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9,673</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8,650</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6,338</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25,662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acquired 100 percent ownership in Data Display, a European transportation display company, on August 11, 2014 for an undisclosed amount.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Display is a European based company focused on the design and manufacture of transportation displays. This acquisition will allow our organization to better service transportation customers world-wide and broaden our leadership position on a global scale. This acquisition included a manufacturing plant in Ireland to manufacture transportation displays. This acquisition was funded with cash on hand. The results of operations have been included in our consolidated financial statements since the date of acquisition. We have not made pro forma disclosures, as the results of operations are not material to our consolidated financial statements.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2015, we prepared the preliminary fair value measurements of assets acquired and liabilities assumed, as of the acquisition date. The excess of purchase price over the net tangible and intangible assets was recorded as goodwill of $1.2 million. Included in the purchase price allocation were acquired identifiable intangibles valued at $0.5 million representing trademarks and technology with a useful life of 20 years and customer relationships valued at $0.1 million with a useful life of 18 years. The purchase price allocation is expected to be completed by the end of fiscal 2015.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Data Display contributed net sales of $4.9 million during the nine months ended January 31, 2015. General and administrative expenses included $0.4 million for the nine months ended January 31, 2015 for professional fees relating to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Sale of Theatre Rigging Manufacturing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July 2014, we sold our automated rigging systems for theatre applications. Related to the sale, we recorded a $1.3 million gain which is included in cost of goods sold in the High School Park and Recreation business unit. In connection with the sale, we changed the name of the business unit from Schools and Theatres to High School Park and Recreation to more accurately describe it. See Note 3. Segment Disclosure for further description.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part of the transaction, we sold assets of $2.8 million that primarily consisted of accounts receivable, patents, inventory, and manufacturing equipment net of $0.4 million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nine months ended January 31,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26,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4,558</w:t>
            </w:r>
          </w:p>
        </w:tc>
      </w:tr>
      <w:tr>
        <w:trPr>
          <w:trHeight w:val="225"/>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Disposal of automated rigging systems for</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theatre applications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net of cash required</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31,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 an analysis of goodwill on an annual basis. We performed our annual analysis based on the goodwill amount as of the first business day of our third quarter in fiscal 2015, which was November 2, 2014. The result of the analysis indicated no goodwill impairment existed as of that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Inventories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6"/>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27,660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28,870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22,733</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67,660</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62,228</w:t>
            </w: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reported net of an allowance for doubtful accounts of $2,244 and $2,539 at January 31, 2015 and April 26, 2014, respectively.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$10,238 and $13,112 as of January 31, 2015 and April 26, 2014, respectively. Contract and lease receivables bearing annual interest rates of 5.0 to 10.0 percent are due in varying annual installments through July 2022. The face amount of long-term receivables was $11,931 as of January 31, 2015 and $14,892 as of April 26, 2014. Included in accounts receivable as of January 31, 2015 and April 26, 2014 was $1,788 and $2,098, respectively, of retainage on construction-type contracts, all of which is expected to be collected within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an incurrence of loss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ultimate outcome of the matter following all appeals.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2015, we did not believe there was a reasonable probability that any material loss for these various claims or legal actions, including reviews, inspections or other legal proceedings, if any, will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 connection with the sale of equipment to various customers, we have entered into contractual arrangements whereby we agreed to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equipment at the end of the lease term at a fixed price. Our total obligations under these fixed price arrangements were $1,100 as of January 31, 2015 and April 26, 2014. In accordance with the provisions of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there is no guarantee liability in accrued expenses that needed to be recognized in connection with these arrangements.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 additional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liability for the nine months ended January 31, 2015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27,250</w:t>
            </w:r>
          </w:p>
        </w:tc>
      </w:tr>
      <w:tr>
        <w:trPr>
          <w:trHeight w:val="243"/>
        </w:trPr>
        <w:tc>
          <w:tcPr>
            <w:tcW w:w="7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8,975</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r>
      <w:tr>
        <w:trPr>
          <w:trHeight w:val="225"/>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accrued warranty costs for pre-existing warranties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7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27,629</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and surety bonds with financial institutions relating to the guarantee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on contracts, primarily construction type contracts. As of January 31, 2015, we had outstanding letters of credit and surety bonds in the amounts of $5,102 and $16,711,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lease vehicles, office space and various equipment for sales and service locations throughout the world, including manufacturing space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and China. Some of these leases, including the lease for manufacturing facilities in Sioux Falls, South Dakota, include provisions for extensions or purchase. The lease for the facility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$2,048 and $2,083 for the nine months ended January 31, 2015 and January 25, 2014, respectively.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excluding executory costs such as management and maintenance fees, with initial or remaining terms of one year or more consisted of the following at January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information technology maintenance and support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other products and services over periods extending beyond one year. As of January 31, 2015, we were obligated under the following conditional and unconditional purchase commitments, which included $750 in conditional purchase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our fiscal years 2012, 2013, and 2014 are the remaining years open under statutes of limitations. Certain subsidiaries are also subject to income tax in several foreign jurisdictions which have open tax years varying by jurisdiction beginning in fiscal 2005.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2015, we had $0.5 million of unrecognized tax benefits which would affect our effective tax rate if recognized.</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19, 2014, the President signed into law The Tax Increase Prevention Act of 2014. Under prior law, a taxpayer was entitled to a research tax credit for qualifying amounts paid or incurred on or before December 31, 2013. The 2014 Tax Increase</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Prevention Act extends the research credit for one year to December 31, 2014. The extension of the research credit is retroactive and includes amounts paid or incurred after December 31, 2013. As a result of the retroactive extension, we recognized in the third quarter of fiscal 2015 approximately $1.3 million in tax benefits for the credit.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January 31, 2015 and April 26, 2014 according to the valuation techniques we used to determine their fair values. There have been no transfers of assets or liabilities among the fair value hierarchies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31, 2015</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41,751</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41,751</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25,304</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68,828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26, 2014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45,054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7,321</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23,311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70,881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to secure issuances of foreign bank guarantees.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was 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Certificates of deposit</w:t>
      </w:r>
      <w:r>
        <w:rPr>
          <w:rFonts w:ascii="Times New Roman" w:cs="Times New Roman" w:eastAsia="Times New Roman" w:hAnsi="Times New Roman"/>
          <w:sz w:val="18"/>
          <w:szCs w:val="18"/>
          <w:color w:val="auto"/>
        </w:rPr>
        <w:t>: Consists of time deposit accounts with original maturities of less than three years and various yields. The fair value of these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measured based on valuations observed in less active markets than Level 1 investments from a third-party financial institution. The carrying amount approximates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r>
        <w:rPr>
          <w:rFonts w:ascii="Times New Roman" w:cs="Times New Roman" w:eastAsia="Times New Roman" w:hAnsi="Times New Roman"/>
          <w:sz w:val="18"/>
          <w:szCs w:val="18"/>
          <w:color w:val="auto"/>
        </w:rPr>
        <w:t>: Consists of U.S. Government treasury bills, notes, and bonds with original maturities of less than three years and various yields.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these securities was measured using quoted market prices in active markets.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U.S. Government sponsored entities</w:t>
      </w:r>
      <w:r>
        <w:rPr>
          <w:rFonts w:ascii="Times New Roman" w:cs="Times New Roman" w:eastAsia="Times New Roman" w:hAnsi="Times New Roman"/>
          <w:sz w:val="18"/>
          <w:szCs w:val="18"/>
          <w:color w:val="auto"/>
        </w:rPr>
        <w:t>: Consists of Fannie Mae and Federal Home Loan Bank investment grade debt securities trading with sufficient frequency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Municipal obligations</w:t>
      </w:r>
      <w:r>
        <w:rPr>
          <w:rFonts w:ascii="Times New Roman" w:cs="Times New Roman" w:eastAsia="Times New Roman" w:hAnsi="Times New Roman"/>
          <w:sz w:val="18"/>
          <w:szCs w:val="18"/>
          <w:color w:val="auto"/>
        </w:rPr>
        <w:t>: Consists of investment grade municipal bonds trading with sufficient frequency and volume to enable us to obtain pricing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ongoing basis. The contractual maturities of these investments vary from one month to three years. The fair value of these bonds was measured based on valuations observed in less active markets than Level 1 investments.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Derivatives – currency forward contracts</w:t>
      </w:r>
      <w:r>
        <w:rPr>
          <w:rFonts w:ascii="Times New Roman" w:cs="Times New Roman" w:eastAsia="Times New Roman" w:hAnsi="Times New Roman"/>
          <w:sz w:val="18"/>
          <w:szCs w:val="18"/>
          <w:color w:val="auto"/>
        </w:rPr>
        <w:t>: Consists of currency forward contracts trading with sufficient frequency and volume to enable us to obtain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an ongoing basis. The fair value of these securities was measured based on valuation from a third-party bank. See Note 13. Derivative Financial Instruments for more information regarding our derivatives.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will utilize the fair value measurement standard to value the assets and liabilities for the business combination involving Data Display, which occurred during the second quarter of fiscal 2015. See Note 5. Business Combination for more information. We utilized the fair value measurement standard, primarily Level 3 inputs, to value the assets and liabilities for the business combination involving OPEN, which occurred during the first three months of fiscal 2014. We did not make any material business combinations or recognize any significant impairment losses during fiscal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January 31, 2015 and April 26, 2014, we had not designated any of our derivative instruments as accounting hedges, and thus we recorded the changes in fair value in other income (expense), net.</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foreign currency exchange contracts in aggregated notional amounts in place to exchange United States Dollars at January 31, 2015 and April 26, 2014 were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27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April 26, 2014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Dollars/Japanese Yen</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91,281</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Dollars/Canadian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Dollars/British Pounds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Dollars/New Zealand Dollars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Dollars/Euros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January 31, 2015 and April 26, 2014, there was a net asset and liability of $643 and $85, respectively, representing the fair value of foreign currency exchange forward contracts, which was determined using Level 2 inputs from a third-party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March 5, 2015, our Board of Directors declared a dividend of $0.10 per share payable on March 27, 2015 to shareholders of record of our common stock on March 16, 2015.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and (xi.)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26, 2014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highlights the principal factors affecting changes in our financial condition and results of operations. This discussion should be read in conjunction with the accompanying Consolidated Financial Statements and Notes to the Consolidated Financial Statements included in this Report.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High School Park and Recreation (formerly known as Schools and Theatres), and Transportation, all of which include the geographic territories of the United States and Canada. Disclosures related to our business segments are provided in Note 3. Segment Disclosure. Our Commercial business unit primarily consists of sales of our video display systems, digital billboards and street furniture,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(formerly known as our Schools and Theatres business unit) primarily consists of sales of scoring systems,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Upon the sale of our automated rigging systems for theatre applications in July 2014, we changed the name of this business unit. Other than such sale, there was no change to the composition of the segment. Our Transportation business unit primarily consists of sales of our Vanguard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large standard orders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Over the long-term, we believe growth in the Commercial business unit will result from a number of factors, including:</w:t>
      </w:r>
    </w:p>
    <w:p>
      <w:pPr>
        <w:spacing w:after="0" w:line="227" w:lineRule="exact"/>
        <w:rPr>
          <w:sz w:val="20"/>
          <w:szCs w:val="20"/>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interest in our standard display products used in many different retail-type establishments and other types of commercial establishments. The demand in this area is driven by these establishments' desire to attract motorists and others into their stores.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increased sales.</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deployment of digital billboards as Out-of-Home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Over the long-term, we believe growth in the Live Events business unit will result from a number of factors, including:</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spending more on larger display systems to enhance the game-day and event experiences for attendees.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costs, driving an expansion of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which remain the most integrated and comprehensive offerings in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sports teams, which strive to out-perform their competitors with display systems.</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for high-definition video displays, which typically drives larger displays or higher resolution displays, both of which increase the average transaction size.</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Business Unit: </w:t>
      </w:r>
      <w:r>
        <w:rPr>
          <w:rFonts w:ascii="Times New Roman" w:cs="Times New Roman" w:eastAsia="Times New Roman" w:hAnsi="Times New Roman"/>
          <w:sz w:val="18"/>
          <w:szCs w:val="18"/>
          <w:color w:val="auto"/>
        </w:rPr>
        <w:t>Over the long-term, we believe growth in the High School Park and Recreation business unit will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number of factors, including:</w:t>
      </w:r>
    </w:p>
    <w:p>
      <w:pPr>
        <w:spacing w:after="0" w:line="160"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video systems in high schools as school districts realize the revenue generating potential of these displays versus traditional scoreboards.</w:t>
      </w: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demand for different types of displays, such as message centers at schools to communicate to students, parents and the broader community.</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more sophisticated displays in athletic facilities, such as aquatic venues in schools.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Over the long-term, we believe growth in the Transportation business unit will result from increasing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electronic displays to manage transportation systems, including roadway, airport, parking, transit and other applications. This growth is highly dependent on government spending, primarily by the federal government, along with the continuing acceptance of private/public partnerships as an alternative funding source.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Over the long-term, we believe growth in the International business unit will result from achieving greater penetration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The fiscal year ended April 26, 2014 consisted of 52 weeks. Fiscal 2015 will be a 53-week year; therefore, the nine months ended January 31, 2015 contain operating results for 40 weeks while the nine months ended January 25, 2014 contained operating results for 39 weeks.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31, 2015 AND JANUARY 25,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4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7"/>
                <w:szCs w:val="17"/>
                <w:color w:val="auto"/>
              </w:rPr>
            </w:pPr>
          </w:p>
        </w:tc>
        <w:tc>
          <w:tcPr>
            <w:tcW w:w="116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37,762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39,016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33,428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11,010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18,384</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118,123</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115,369</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39,327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70,442</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8,371</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125,713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153,242</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decrease in net sales for the three months ended January 31, 2015 compared to the same period one year ago was the result of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our on-premise niche correlating to the decrease in orders and a decrease in Spectacular sales due to differences in timing and variability of project deliveries as compared to the same period one year ago, which was offset by a slight increase in our digital billboard niche.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orders for the three months ended January 31, 2015 compared to the same period one year ago was the result of the volatility in booking large projects. For example, a portion of the $4.9 million decrease of large custom video contracts is due to an order for a casino booking in the third quarter of fiscal 2014 and no order of a similar size occurred during the third quarter of fiscal 2015. In</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orders decreased $2.8 million in our billboard niche primarily due to the timing of order bookings, and orders decreased $1.3 million in our on-premise and national accounts niches mainly due to timing of orders.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Net sales remained relatively flat for the three months ended January 31, 2015 compared to the same period one year ago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sales of systems related to Major League Baseball ("MLB"), offset by a decrease in sales of systems related to National Football League ("NFL") and multi-sport arenas.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decreased $24.3 million for the three months ended January 31, 2015 compared to the same period one year ago primarily due to the timing of three orders for NFL stadiums that occurred last year during the same period.</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decrease in net sales for the three months ended January 31, 2015 compared to the same period one year ago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timing of order bookings within the current quarter as the sales on these will be recognized during the fourth quarter of fiscal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Orders increased for the three months ended January 31, 2015 compared to the same period one year ago primarily due to the timing of orders.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Net sales for the three months ended January 31, 2015 compared to the same period one year ago decreased as a result of $4.8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recognized during fiscal 2014 for three major state transportation authorities. No projects of similar sizes occurred during the third quarter of fiscal 2015.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Orders for the three months ended January 31, 2015 compared to the same period one year ago increased $5.2 million primarily due to the timing of orders received from state transportation authorities and due to the success in our Data Display transportation domestic orders which were not a part of the Transportation group last year.</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Net sales in our International business unit for the three months ended January 31, 2015 compared to the same period one year ago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slightly mainly due to increased sales of OOH and sports stadium projects. Data Display's sales in the International business unit were $1.5 million during the three months ended January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Orders remained relatively flat for the three months ended January 31, 2015 compared to the same period one year ago.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 order backlog as of January 31, 2015 was $150 million as compared to $170 million as of January 25, 2014 and $146 million at the end of the second quarter of fiscal 2015. Historically, our backlog varies due to the seasonality of our business, the timing of large orders, and customer delivery schedules for these orders. The backlog increased from one year ago in our High School Park and Recreation and Transportation business units and decreased in our Commercial, Live Events, and International business units.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evidenced by an arrangement with fixed and determinable prices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34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24.5%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5,657</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16.9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7,948</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21.7</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24.5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20.7</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20.4</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25,062</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21.2%</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29,089</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gross profit percentage for the three months ended January 31, 2015 compared to the same period one year ago was due to higher fixed costs in our manufacturing and service departments. A portion of this increase was due to overall salary and benefit increases and the integration of Data Display. Margins continue to be negatively impacted by the overall competitiveness in the market place as well as the mix of larger projects with lower margins. The following describes the overall impact by business unit: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gross profit percent decrease for the three months ended January 31, 2015 compared to the same period one year ago was primarily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product mix. We produced a higher percentage of sales in the Spectacular niche, which historically have lower margins due to the overall competitive nature of the market place. Gross profit declined due to an increase in our warranty cost as a percent of sales.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gross profit percent decrease for the three months ended January 31, 2015 compared to the same period one year ago was the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mix of larger custom contracts with lower margins, increased installation activity on the mix of business, and an increase in the fixed costs of the manufacturing infrastructure, offset by lower warranty costs as a percent of sales.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gross profit percent remained relatively flat for the three months ended January 31, 2015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one year ago.</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gross profit percent decrease for the three months ended January 31, 2015 compared to the same period one year ago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increased fixed manufacturing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gross profit percent increase for the three months ended January 31, 2015 compared to the same period one year ago was primarily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increased margins on contracts and lower warranty costs as a percent of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06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6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3,585</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2,307</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13,694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consist primarily of salaries, other employee-related costs, travel and entertainment expenses, facilities-related costs for sales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offices, bad debt expenses, third-party commissions and expenditures for marketing efforts, including the costs of collateral materials, conventions and trade shows, product demos, and supplies.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expense in our Live Events, Transportation, and International business units increased $0.2 million, $0.2 million, and $0.4 million, respectively, in the third quarter of fiscal 2015 compared to the same quarter a year ago, which was mainly related to increases in personnel expenses, the additional costs associated with the Data Display sales teams, and various other expenses, with a slight reduction in bad debt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expenses in our Commercial business unit remained relatively flat in the three months ended January 31, 2015 compared to the same period one year ago.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expenses in our High School Park and Recreation business unit decreased $0.3 million in the third quarter of fiscal 2015 compared to the same quarter a year ago, which was mainly related to the sale of our theatre rigging manufacturing division.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1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17"/>
                <w:szCs w:val="17"/>
                <w:color w:val="auto"/>
              </w:rPr>
            </w:pPr>
          </w:p>
        </w:tc>
        <w:tc>
          <w:tcPr>
            <w:tcW w:w="158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5,649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amortization of intangibles and the costs of supplies.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third quarter of fiscal 2015 increased as compared to the same period one year ago primarily due to increases in personnel expenses, professional fees, the addition of Data Display costs and other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facilities cost and equipment-related costs and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development investments in the near term are focused on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third quarter of fiscal 2015 as compared to the same period one year ago increased primarily due to an increase in materials used in the development of new products and labor costs assigned to product development projects.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7"/>
                <w:szCs w:val="17"/>
                <w:color w:val="auto"/>
              </w:rPr>
            </w:pPr>
          </w:p>
        </w:tc>
        <w:tc>
          <w:tcPr>
            <w:tcW w:w="10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30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7"/>
                <w:szCs w:val="17"/>
                <w:color w:val="auto"/>
              </w:rPr>
            </w:pPr>
          </w:p>
        </w:tc>
        <w:tc>
          <w:tcPr>
            <w:tcW w:w="10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We generate interest income through short-term cash investments, marketable securities, product sales on an installment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exchange for the rights to sell and retain advertising revenues from displays, which result in long-term receivables. Interest expense is comprised primarily of interest costs on long-term marketing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 in the third quarter of fiscal 2015 compared to the same period one year ago decreased due to the decrease in installment receivables.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The change in other income and expense, net for the third quarter of fiscal 2015 as compared to the same period one year 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unrealized foreign currency gains from the volatility of the Euro, Australian dollar, and Canadian dollar.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benefit was 146.2 percent for the third quarter of fiscal 2015 as compared to an effective tax rate of 19.3 percent for the third quarter of fiscal 2014. The substantial factors which decreased our effective tax rate were the retrospective reinstatement of the U.S. research and development credit back to January 1, 2014 allowing us a full year of credit recognition in this quarter, increases in our domestic manufacturing deductions, and decreases in our projected taxable income and the related impact of permanent items such as meals and entertainment and stock compensation offset by changes to the geographic mix of income before taxes.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31, 2015 AND JANUARY 25, 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4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7"/>
                <w:szCs w:val="17"/>
                <w:color w:val="auto"/>
              </w:rPr>
            </w:pPr>
          </w:p>
        </w:tc>
        <w:tc>
          <w:tcPr>
            <w:tcW w:w="116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7"/>
                <w:szCs w:val="17"/>
                <w:color w:val="auto"/>
              </w:rPr>
            </w:pPr>
          </w:p>
        </w:tc>
        <w:tc>
          <w:tcPr>
            <w:tcW w:w="14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121,472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117,690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146,680</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47,750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34,807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41,811</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74,641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61,799</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457,856</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415,730</w:t>
            </w:r>
          </w:p>
        </w:tc>
        <w:tc>
          <w:tcPr>
            <w:tcW w:w="2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123,522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174,002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44,669</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36,985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34,048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63,238</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435,494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439,479</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Sales and orders were impacted as a result of the nine months ended January 31, 2015 including 40 weeks compared to the more common 39 weeks. The nine months ended January 25, 2014 contained 39 weeks.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the net sales for the nine months ended January 31, 2015 compared to the same period one year ago was the net result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$7.5 million in sales in the billboard niche due to a number of shipments which moved from fiscal 2014 into fiscal 2015 due to weather related issues at outdoor construction sites earlier in the 2014 calendar year. In addition, there was a slight increase in our large custom video contracts, which was offset by decreases in our on-premise and national account niches.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orders of $2.1 million for the nine months ended January 31, 2015 compared to the same period one year ago was the result of an increase in orders in our large custom video contracts and billboard niches, which was offset by a decrease in orders in our on-premise and national account niches.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for the nine months ended January 31, 2015 compared to the same period one year ago was primarily the net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sales of $23.0 million related to NFL stadiums.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for the nine months ended January 31, 2015 compared to the same period one year ago decreased primarily due to the timing of three orders for NFL stadiums.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for the nine months ended January 31, 2015 compared to the same period one year ago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the result of a difference in order timing. We experienced many orders that were pushed out from our fourth quarter of fiscal 2014 into the first six months of fiscal 2015. The increase in sales also is due to production and delivery on a higher volume of orders and an increase in service agreements. Order transaction size also increased due to larger display sizes, which increased sales prices.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Orders for the nine months ended January 31, 2015 increased compared to the same period one year ago primarily as the result of higher orders of video and sound systems as some orders pushed into the first six months of fiscal 2015 from the fourth quarter of fiscal 2014 due to customer timing, increased opportunities in the market place, and an increase in the size of the display systems.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decrease in net sales for the nine months ended January 31, 2015 compared to the same period one year ago was primarily the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 million in sales recognized during the first nine months of fiscal 2014 for three significant state transportation authorities and a significant transit project with no sales from recurring projects of a similar size recognized during fiscal 2015.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orders for the nine months ended January 31, 2015 compared to the same period one year ago was primarily due to the timing of orders received from state transportation authorities and due to the success in our Data Display transportation domestic orders which were not a part of the Transportation group last year.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for the nine months ended January 31, 2015 compared to the same period one year ago was the result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sports projects in Europe and Australia, retail spectaculars, and OOH billboard and street furniture products. Data Display's sales in the International business unit were $4.9 million for the nine months ended January 31, 2015; Data Display was not part of the International business unit in fiscal 2014.</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Orders for the nine months ended January 31, 2015 increased compared to the same period one year ago primarily due to the increased sales of street furniture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34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33,792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27.8%</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34,791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31,038</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18.1</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32,572</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17,445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31.6</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10,212</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29.3</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12,200</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16,855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22.6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24.6</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109,342</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23.9%</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107,956</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decrease in our overall gross profit percentage for the nine months ended January 31, 2015 compared to the same period one year ago was the net result of the changes described below:</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gross profit percent decrease in the Commercial business unit for the nine months ended January 31, 2015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year ago was the result of the product mix of sales, offset by lower warranty costs as a percent of sales.</w:t>
      </w:r>
    </w:p>
    <w:p>
      <w:pPr>
        <w:spacing w:after="0" w:line="158" w:lineRule="exact"/>
        <w:rPr>
          <w:sz w:val="20"/>
          <w:szCs w:val="20"/>
          <w:color w:val="auto"/>
        </w:rPr>
      </w:pPr>
    </w:p>
    <w:p>
      <w:pPr>
        <w:jc w:val="both"/>
        <w:ind w:lef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gross profit percent decrease in the Live Events business unit for the nine months ended January 31, 2015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was due to the effects of the increased mix of large custom contracts, the increased mix of subcontracted installation activity, and the higher volumes of business during the second quarter which stretched our capacity. In order to meet critical event dates for our sports customer, we had additional spend on overtime, expediting, and shipping costs. The installation activity generally lowers margins as we outsource subcontracted on-site work at general contracting rates which have lower margins than in-house video equipment production.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gross profit percent increase in the High School Park and Recreation business unit for the nine months ended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2015 compared to the same period one year ago was the result of overall gross margin improvement on contracts and sales orders and improved manufacturing utilization, which was partially offset by slightly higher warranty costs as a percent of sales. In addition, in the first quarter of fiscal 2015, we recognized a $1.3 million gain on the sale of our theatre rigging manufacturing division.</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gross profit percent increase in the Transportation business unit for the nine months ended January 31, 2015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year ago was the result of improved gross margins on contracts and standard orders and lower warranty costs as a percent of sales, partially offset by a decline in our manufacturing utilization.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gross profit percent decrease in the International business unit for the nine months ended January 31, 2015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year ago was the net result of an overall gross margin decline in our large custom contracts, which generally have lower margins due to their competitive nature; low utilization of our international manufacturing facilities; and a decrease related to our new manufacturing plant in Ireland.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06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6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10,408</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9,413</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3,186</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2,454</w:t>
            </w: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43,405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areas of selling expenses were impacted as a result of the nine months ended January 31, 2015 including 40 weeks compared to the more common 39 weeks. The nine months ended January 25, 2014 contained 39 weeks.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expense in our Commercial, Live Events, Transportation, and International business units increased $1.2 million, $1.0 million, $0.7 million, and $0.4 million, respectively, in the nine months ended January 31, 2015 compared to the same period a year ago primarily due to increases in personnel expenses, travel and entertainment expenses, marketing expenses, the implementation of a sales opportunity management tool, the additional costs associated with the Data Display sales teams, and various other expenses, with a reduction of bad debt expense.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expenses in our High School Park and Recreation business unit remained relatively flat in the nine months ended January 31, 2015 compared to the same period one year ago.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1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17"/>
                <w:szCs w:val="17"/>
                <w:color w:val="auto"/>
              </w:rPr>
            </w:pPr>
          </w:p>
        </w:tc>
        <w:tc>
          <w:tcPr>
            <w:tcW w:w="15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24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areas of operating expenses were impacted as a result of the nine months ended January 31, 2015 including 40 weeks compared to the more common 39 weeks. The nine months ended January 25, 2014 contained 39 weeks.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January 31, 2015 increased as compared to the same period one year ago. The increase was primarily due to a $2.2 million net increase in professional services costs, personnel expenses, and other expenses. These expenses included one-time costs incurred in the second quarter of fiscal 2015 for professional services to support the expansion of our international business and other on-going costs to support our anticipated business growth. We incurred $0.4 million in general and administration expense for the professional fees related to the Data Display acquisition.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the nine months ended January 31, 2015 increased as compared to the same period one year ago primarily due to increases in materials for the development of new products and labor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January 25, 2014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11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30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7"/>
                <w:szCs w:val="17"/>
                <w:color w:val="auto"/>
              </w:rPr>
            </w:pPr>
          </w:p>
        </w:tc>
        <w:tc>
          <w:tcPr>
            <w:tcW w:w="10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net decreased for the nine months ended January 31, 2015 as compared to the same period in fiscal 2014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lower installment receivables.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expense and income, net for the nine months ended January 31, 2015 as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primarily due to unrealized foreign currency gains from the volatility of the Euro, Australian dollar, and Canadian dollar.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effective tax rate was approximately 31.0% for the nine months ended January 31, 2015 as compared to 32.4% for the nine months ended January 25, 2014. The substantial factors which decreased our effective tax rate were the retrospective reinstatement of the U.S. research and development credit back to January 1, 2014 allowing us a full year of credit recognition in this fiscal year, increases in our domestic manufacturing deductions, and decreases in our projected taxable income and the related impact of permanent items such as meals and entertainment and stock compensation offset by changes to the geographic mix of income before taxes.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within multiple taxing jurisdictions, both domestic and international, and we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because different taxing jurisdictions have different statutes of limitations.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4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7"/>
                <w:szCs w:val="17"/>
                <w:color w:val="auto"/>
              </w:rPr>
            </w:pPr>
          </w:p>
        </w:tc>
        <w:tc>
          <w:tcPr>
            <w:tcW w:w="116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7"/>
                <w:szCs w:val="17"/>
                <w:color w:val="auto"/>
              </w:rPr>
            </w:pPr>
          </w:p>
        </w:tc>
        <w:tc>
          <w:tcPr>
            <w:tcW w:w="14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27,317</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2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15,286</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Operating cash flows result primarily from cash received from customers, which is offset by cash payments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inventories, income taxes, market and warranty obligations, and employee compensation.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$27.3 million for the first nine months of fiscal 2015 compared to $39.2 million in the first nine months of fiscal 2014. The decrease in cash from operating activities of $11.9 million was the net result of a decrease for changes in net operating assets and liabilities of $7.4 million, a decrease of $0.3 million in our deferred income taxes, net, a decrease of $3.3 million in net income, a $1.1 million gain on sale of property, equipment and other assets, adjusted by a $0.3 million increase in depreciation and amortization and a decrease of $0.1 million in other non-cash items, net.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most significant drivers of cash used from operating activities was the result of the changes in accounts payable, customer deposits and construction-type contracts, offset by cash generated from accounts receivable. Changes in accounts receivables generated $7.7 million of cash in the first nine months of fiscal 2015 compared to consuming $2.3 million in the same period one year ago. Changes in construction-type contracts, customer deposits, and accounts payable consumed $8.5 million of cash in the first nine months of fiscal 2015 compared to generating $11.0 million in the same period one year ago.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business.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Cash used in investing activities totaled $17.9 million in the first nine months of fiscal 2015 compared to $12.0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nine months of fiscal 2014. Purchases of property and equipment totaled $15.3 million in the first nine months of fiscal 2015 compared to $9.4 million in the first nine months of fiscal 2014. The change from the prior year is due to the expansion of our Minnesota manufacturing facility, the purchase of new manufacturing equipment for various new product lines as well as machine upgrades, and additions to our information technology infrastructure. Capital expenditures are expected to be approximately $23.0 million for fiscal 2015.</w:t>
      </w:r>
    </w:p>
    <w:p>
      <w:pPr>
        <w:spacing w:after="0" w:line="18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net cash inflow of $4.0 million was recognized during the first nine months of 2015 from the disposition of our automated rigging systems division for theatre applications.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net cash outlay of $6.2 million was recognized during the first nine months of fiscal 2015 compared to $1.3 million in the first nine months of fiscal 2014 for acquisitions, investment in affiliates and equity investments.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Cash used in financing activities was $11.8 million for the nine months ended January 31, 2015 compared to $11.8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period one year ago. Dividends of $13.0 million, or 30.0 cents per share, were paid to Daktronics shareholders during the first three quarters of fiscal 2015 compared to $12.8 million, or 30.0 cents per share, paid to Daktronics shareholders during the first three quarters of fiscal 2014. During the nine months ended January 31, 2015 and January 25, 2014, payments of $1.2 million and $3.7 million were made on the debt assumed in the acquisitions of Data Display and OPEN, respectively.</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 Discussion: </w:t>
      </w:r>
      <w:r>
        <w:rPr>
          <w:rFonts w:ascii="Times New Roman" w:cs="Times New Roman" w:eastAsia="Times New Roman" w:hAnsi="Times New Roman"/>
          <w:sz w:val="18"/>
          <w:szCs w:val="18"/>
          <w:color w:val="auto"/>
        </w:rPr>
        <w:t>Included in receivables and costs in excess of billings as of January 31, 2015 was approximately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retainage on long-term contracts, all of which is expected to be collected within one year.</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Working capital was $147.1 million at January 31, 2015 and $140.5 million at April 26, 2014. The increase in working capital was primarily the result of higher sales, decreases in billings in excess of costs and estimated earning, and a decrease in accounts payable. We have historically financed working capital needs through a combination of cash flow from operations and borrowings under bank credit agreements.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1.6 percent at January 31, 2015. We are assessed a loan fee equal to 0.125 percent per annum of any non-used portion of the loan. As of January 31, 2015, there were no advances to us under the line of credit and the balance of letters of credit outstanding was approximately $2.4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is unsecured and requires us to be in compliance with the following financial ratios:</w:t>
      </w:r>
    </w:p>
    <w:p>
      <w:pPr>
        <w:spacing w:after="0" w:line="27" w:lineRule="exact"/>
        <w:rPr>
          <w:sz w:val="20"/>
          <w:szCs w:val="20"/>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fixed charge coverage ratio of at least 2-to-1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interest-bearing debt, excluding any marketing obligations, to EBITDA of less than 1-to-1 at the end of any fiscal quarter.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 million. As of January 31, 2015, there were no advances outstanding and approximately $2.7 million in bank guarantees under this line of credit.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 compliance with all applicable covenants as of January 31, 2015 and April 26, 2014. The minimum fixed charge coverage ratio as of April 26, 2014 was 56-to-1, and the ratio of interest-bearing debt to EBITDA as of January 31, 2015 was .04-to-1.</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quarterly dividend declared and paid since the prior fiscal year end of April 26,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9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32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31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Amount per Share</w:t>
            </w:r>
          </w:p>
        </w:tc>
      </w:tr>
      <w:tr>
        <w:trPr>
          <w:trHeight w:val="27"/>
        </w:trPr>
        <w:tc>
          <w:tcPr>
            <w:tcW w:w="2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44"/>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22, 2014</w:t>
            </w:r>
          </w:p>
        </w:tc>
        <w:tc>
          <w:tcPr>
            <w:tcW w:w="2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June 2, 2014</w:t>
            </w:r>
          </w:p>
        </w:tc>
        <w:tc>
          <w:tcPr>
            <w:tcW w:w="32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June 13, 2014</w:t>
            </w:r>
          </w:p>
        </w:tc>
        <w:tc>
          <w:tcPr>
            <w:tcW w:w="318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$0.10</w:t>
            </w:r>
          </w:p>
        </w:tc>
      </w:tr>
      <w:tr>
        <w:trPr>
          <w:trHeight w:val="243"/>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4, 2014</w:t>
            </w:r>
          </w:p>
        </w:tc>
        <w:tc>
          <w:tcPr>
            <w:tcW w:w="2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September 15, 2014</w:t>
            </w:r>
          </w:p>
        </w:tc>
        <w:tc>
          <w:tcPr>
            <w:tcW w:w="3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September 26, 2014</w:t>
            </w:r>
          </w:p>
        </w:tc>
        <w:tc>
          <w:tcPr>
            <w:tcW w:w="31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$0.10</w:t>
            </w:r>
          </w:p>
        </w:tc>
      </w:tr>
      <w:tr>
        <w:trPr>
          <w:trHeight w:val="27"/>
        </w:trPr>
        <w:tc>
          <w:tcPr>
            <w:tcW w:w="2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4, 2014</w:t>
            </w:r>
          </w:p>
        </w:tc>
        <w:tc>
          <w:tcPr>
            <w:tcW w:w="2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December 15, 2014</w:t>
            </w:r>
          </w:p>
        </w:tc>
        <w:tc>
          <w:tcPr>
            <w:tcW w:w="32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December 26, 2014</w:t>
            </w:r>
          </w:p>
        </w:tc>
        <w:tc>
          <w:tcPr>
            <w:tcW w:w="318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$0.10</w:t>
            </w:r>
          </w:p>
        </w:tc>
      </w:tr>
      <w:tr>
        <w:trPr>
          <w:trHeight w:val="243"/>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5, 2015</w:t>
            </w:r>
          </w:p>
        </w:tc>
        <w:tc>
          <w:tcPr>
            <w:tcW w:w="2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16, 2015</w:t>
            </w:r>
          </w:p>
        </w:tc>
        <w:tc>
          <w:tcPr>
            <w:tcW w:w="3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March 27, 2015</w:t>
            </w:r>
          </w:p>
        </w:tc>
        <w:tc>
          <w:tcPr>
            <w:tcW w:w="31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$0.10</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expect to continue to pay dividends for the foreseeable future, any and all subsequent dividends will be reviewed regularly and declared by the Board at its discretion.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At January 31, 2015, we had $16.7 million of bonded work outstanding against this line.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January 31, 2015, most of our net sales were denominated in United States dollars, and our exposure to foreign currency exchange rate changes on net sales has not been significant. For the third quarter of fiscal 2015, net sales originating outside the United States were 23.7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$1.6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$11.3 million, and all contracts mature within eight months. These contracts are marked to market each balance sheet date and are not designated as hedges. See Note 13. Derivative Financial Instruments included in this Report for further details on our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our marketing obligations and long-term accounts receivable. As of January 31, 2015, our outstanding marketing obligations were $0.7 million, all of which were in fixed rate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January 31, 2015, our outstanding long-term receivables were $10.2 million. Each 25 basis point increase in interest rates would have an associated immaterial annual opportunity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xml:space="preserve">Fiscal Years </w:t>
      </w: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36830</wp:posOffset>
            </wp:positionV>
            <wp:extent cx="3764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receivables, including current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59"/>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$41.8 million in cash balances at January 31, 2015, $34.2 million was denominated in U.S.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31, 2015, which is the end of the period covered by this Report. Based upon that evaluation, the Chief Executive Officer and Chief Financial Officer concluded that as of January 31, 2015, our disclosure controls and procedures were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our Chief Executive Officer and Chief Financial Officer concluded that during the quarter ended January 31, 2015, there was no change in our internal control over financial reporting which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fiscal year ended April 26, 2014.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48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88" w:lineRule="exact"/>
        <w:rPr>
          <w:sz w:val="20"/>
          <w:szCs w:val="20"/>
          <w:color w:val="auto"/>
        </w:rPr>
      </w:pPr>
    </w:p>
    <w:p>
      <w:pPr>
        <w:ind w:left="600" w:right="20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Articles of Incorporation of the Company (Incorporated by reference to Exhibit 3.1 filed with our Quarterly Report on Form 10-Q on August 30, 2013).</w:t>
      </w:r>
    </w:p>
    <w:p>
      <w:pPr>
        <w:spacing w:after="0" w:line="2"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the Company (Incorporated by reference to Exhibit 3.4 filed with our Annual Report on Form 10-K on June 12,</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48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25" w:lineRule="exact"/>
        <w:rPr>
          <w:sz w:val="20"/>
          <w:szCs w:val="20"/>
          <w:color w:val="auto"/>
        </w:rPr>
      </w:pPr>
    </w:p>
    <w:p>
      <w:pPr>
        <w:ind w:left="600" w:right="20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10.1</w:t>
        <w:tab/>
        <w:t>Twelfth Amendment to Loan Agreement dated November 15, 2013 by and between the Company and U.S. Bank National Association (Incorporated by reference to Exhibit 10.1 filed with our Current Report on Form 8-K filed on November 18, 2013)</w:t>
      </w:r>
    </w:p>
    <w:p>
      <w:pPr>
        <w:spacing w:after="0" w:line="2" w:lineRule="exact"/>
        <w:rPr>
          <w:sz w:val="20"/>
          <w:szCs w:val="20"/>
          <w:color w:val="auto"/>
        </w:rPr>
      </w:pPr>
    </w:p>
    <w:p>
      <w:pPr>
        <w:ind w:left="600" w:right="22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10.2</w:t>
        <w:tab/>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48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10.3</w:t>
        <w:tab/>
        <w:t>Fifth Amendment to Loan Agreement dated November 15, 2013 by and between the Company and Bank of America, N.A. (Incorporated by reference to Exhibit 10.3 filed with our Current Report on Form 8-K filed on November 18, 2013)</w:t>
      </w:r>
    </w:p>
    <w:p>
      <w:pPr>
        <w:spacing w:after="0" w:line="2" w:lineRule="exact"/>
        <w:rPr>
          <w:sz w:val="20"/>
          <w:szCs w:val="20"/>
          <w:color w:val="auto"/>
        </w:rPr>
      </w:pPr>
    </w:p>
    <w:p>
      <w:pPr>
        <w:ind w:left="600" w:right="22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10.4</w:t>
        <w:tab/>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48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10.5</w:t>
        <w:tab/>
        <w:t>Amended and Restated Revolving Note dated November 15, 2013 issued by the Company to Bank of America, N.A. (Incorporated by reference to Exhibit 10.5 filed with our Current Report on Form 8-K filed on November 18, 2013).</w:t>
      </w:r>
    </w:p>
    <w:p>
      <w:pPr>
        <w:spacing w:after="0" w:line="2" w:lineRule="exact"/>
        <w:rPr>
          <w:sz w:val="20"/>
          <w:szCs w:val="20"/>
          <w:color w:val="auto"/>
        </w:rPr>
      </w:pPr>
    </w:p>
    <w:p>
      <w:pPr>
        <w:ind w:left="600" w:right="20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486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2"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32.1</w:t>
        <w:tab/>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48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00" w:right="200" w:hanging="565"/>
        <w:spacing w:after="0" w:line="261"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period ended January 31, 2015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17" w:lineRule="exact"/>
        <w:rPr>
          <w:rFonts w:ascii="Times New Roman" w:cs="Times New Roman" w:eastAsia="Times New Roman" w:hAnsi="Times New Roman"/>
          <w:sz w:val="18"/>
          <w:szCs w:val="18"/>
          <w:color w:val="auto"/>
        </w:rPr>
      </w:pPr>
    </w:p>
    <w:p>
      <w:pPr>
        <w:ind w:left="940" w:hanging="301"/>
        <w:spacing w:after="0"/>
        <w:tabs>
          <w:tab w:leader="none" w:pos="9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486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88"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Articles of Incorporation of the Company (Incorporated by reference to Exhibit 3.1 filed with our Quarterly Report on Form</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10-Q on August 30, 2013).</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the Company (Incorporated by reference to Exhibit 3.4 filed with our Annual Report on Form 10-K on June 12,</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10.1</w:t>
        <w:tab/>
        <w:t>Twelfth Amendment to Loan Agreement dated November 15, 2013 by and between the Company and U.S. Bank National Association (Incorporated by reference to Exhibit 10.1 filed with our Current Report on Form 8-K filed on November 18, 2013)</w:t>
      </w:r>
    </w:p>
    <w:p>
      <w:pPr>
        <w:spacing w:after="0" w:line="2" w:lineRule="exact"/>
        <w:rPr>
          <w:sz w:val="20"/>
          <w:szCs w:val="20"/>
          <w:color w:val="auto"/>
        </w:rPr>
      </w:pP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10.2</w:t>
        <w:tab/>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10.3</w:t>
        <w:tab/>
        <w:t>Fifth Amendment to Loan Agreement dated November 15, 2013 by and between the Company and Bank of America, N.A. (Incorporated by reference to Exhibit 10.3 filed with our Current Report on Form 8-K filed on November 18, 2013)</w:t>
      </w:r>
    </w:p>
    <w:p>
      <w:pPr>
        <w:spacing w:after="0" w:line="2" w:lineRule="exact"/>
        <w:rPr>
          <w:sz w:val="20"/>
          <w:szCs w:val="20"/>
          <w:color w:val="auto"/>
        </w:rPr>
      </w:pP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10.4</w:t>
        <w:tab/>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10.5</w:t>
        <w:tab/>
        <w:t>Amended and Restated Revolving Note dated November 15, 2013 issued by the Company to Bank of America, N.A. (Incorporated by reference to Exhibit 10.5 filed with our Current Report on Form 8-K filed on November 18, 2013).</w:t>
      </w:r>
    </w:p>
    <w:p>
      <w:pPr>
        <w:spacing w:after="0" w:line="2" w:lineRule="exact"/>
        <w:rPr>
          <w:sz w:val="20"/>
          <w:szCs w:val="20"/>
          <w:color w:val="auto"/>
        </w:rPr>
      </w:pP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81" w:lineRule="auto"/>
        <w:tabs>
          <w:tab w:leader="none" w:pos="600" w:val="left"/>
        </w:tabs>
        <w:rPr>
          <w:sz w:val="20"/>
          <w:szCs w:val="20"/>
          <w:color w:val="auto"/>
        </w:rPr>
      </w:pPr>
      <w:r>
        <w:rPr>
          <w:rFonts w:ascii="Times New Roman" w:cs="Times New Roman" w:eastAsia="Times New Roman" w:hAnsi="Times New Roman"/>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2"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32.1</w:t>
        <w:tab/>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20" w:right="40" w:hanging="585"/>
        <w:spacing w:after="0" w:line="261"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period ended January 31, 2015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17" w:lineRule="exact"/>
        <w:rPr>
          <w:rFonts w:ascii="Times New Roman" w:cs="Times New Roman" w:eastAsia="Times New Roman" w:hAnsi="Times New Roman"/>
          <w:sz w:val="18"/>
          <w:szCs w:val="18"/>
          <w:color w:val="auto"/>
        </w:rPr>
      </w:pPr>
    </w:p>
    <w:p>
      <w:pPr>
        <w:ind w:left="1080" w:hanging="367"/>
        <w:spacing w:after="0"/>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31, 2015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3/6/2015</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31, 2015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3/6/2015</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31, 2015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3/6/2015</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31, 2015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Times New Roman" w:cs="Times New Roman" w:eastAsia="Times New Roman" w:hAnsi="Times New Roman"/>
          <w:sz w:val="18"/>
          <w:szCs w:val="18"/>
          <w:color w:val="auto"/>
        </w:rPr>
        <w:t>Date:</w:t>
        <w:tab/>
        <w:t>3/6/2015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01"/>
    </w:lvl>
    <w:lvl w:ilvl="1">
      <w:lvlJc w:val="left"/>
      <w:lvlText w:val="(%2)"/>
      <w:numFmt w:val="decimal"/>
      <w:start w:val="1"/>
    </w:lvl>
  </w:abstractNum>
  <w:abstractNum w:abstractNumId="6">
    <w:nsid w:val="5BD062C2"/>
    <w:multiLevelType w:val="hybridMultilevel"/>
    <w:lvl w:ilvl="0">
      <w:lvlJc w:val="left"/>
      <w:lvlText w:val="%1"/>
      <w:numFmt w:val="decimal"/>
      <w:start w:val="10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2019-12-29T18:30:30Z</dcterms:created>
  <dcterms:modified xsi:type="dcterms:W3CDTF">2019-12-29T18:30:30Z</dcterms:modified>
</cp:coreProperties>
</file>