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June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345440</wp:posOffset>
            </wp:positionV>
            <wp:extent cx="1097280" cy="677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tbl>
      <w:tblPr>
        <w:tblLayout w:type="fixed"/>
        <w:tblInd w:w="820" w:type="dxa"/>
        <w:tblCellMar>
          <w:top w:w="0" w:type="dxa"/>
          <w:left w:w="0" w:type="dxa"/>
          <w:bottom w:w="0" w:type="dxa"/>
          <w:right w:w="0" w:type="dxa"/>
        </w:tblCellMar>
      </w:tblPr>
      <w:tr>
        <w:trPr>
          <w:trHeight w:val="238"/>
        </w:trPr>
        <w:tc>
          <w:tcPr>
            <w:tcW w:w="24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001-38747</w:t>
            </w:r>
          </w:p>
        </w:tc>
        <w:tc>
          <w:tcPr>
            <w:tcW w:w="190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46-0306862</w:t>
            </w:r>
          </w:p>
        </w:tc>
      </w:tr>
      <w:tr>
        <w:trPr>
          <w:trHeight w:val="252"/>
        </w:trPr>
        <w:tc>
          <w:tcPr>
            <w:tcW w:w="24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8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(Commission</w:t>
            </w:r>
          </w:p>
        </w:tc>
        <w:tc>
          <w:tcPr>
            <w:tcW w:w="19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incorporation)</w:t>
            </w:r>
          </w:p>
        </w:tc>
        <w:tc>
          <w:tcPr>
            <w:tcW w:w="48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File Number)</w:t>
            </w:r>
          </w:p>
        </w:tc>
        <w:tc>
          <w:tcPr>
            <w:tcW w:w="19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31"/>
        </w:trPr>
        <w:tc>
          <w:tcPr>
            <w:tcW w:w="2460" w:type="dxa"/>
            <w:vAlign w:val="bottom"/>
          </w:tcPr>
          <w:p>
            <w:pPr>
              <w:spacing w:after="0"/>
              <w:rPr>
                <w:sz w:val="24"/>
                <w:szCs w:val="24"/>
                <w:color w:val="auto"/>
              </w:rPr>
            </w:pPr>
          </w:p>
        </w:tc>
        <w:tc>
          <w:tcPr>
            <w:tcW w:w="48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 Daktronics Drive</w:t>
            </w:r>
          </w:p>
        </w:tc>
        <w:tc>
          <w:tcPr>
            <w:tcW w:w="1900" w:type="dxa"/>
            <w:vAlign w:val="bottom"/>
          </w:tcPr>
          <w:p>
            <w:pPr>
              <w:spacing w:after="0"/>
              <w:rPr>
                <w:sz w:val="24"/>
                <w:szCs w:val="24"/>
                <w:color w:val="auto"/>
              </w:rPr>
            </w:pPr>
          </w:p>
        </w:tc>
      </w:tr>
      <w:tr>
        <w:trPr>
          <w:trHeight w:val="220"/>
        </w:trPr>
        <w:tc>
          <w:tcPr>
            <w:tcW w:w="2460" w:type="dxa"/>
            <w:vAlign w:val="bottom"/>
          </w:tcPr>
          <w:p>
            <w:pPr>
              <w:spacing w:after="0"/>
              <w:rPr>
                <w:sz w:val="19"/>
                <w:szCs w:val="19"/>
                <w:color w:val="auto"/>
              </w:rPr>
            </w:pPr>
          </w:p>
        </w:tc>
        <w:tc>
          <w:tcPr>
            <w:tcW w:w="48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Brookings, SD 57006</w:t>
            </w:r>
          </w:p>
        </w:tc>
        <w:tc>
          <w:tcPr>
            <w:tcW w:w="1900" w:type="dxa"/>
            <w:vAlign w:val="bottom"/>
          </w:tcPr>
          <w:p>
            <w:pPr>
              <w:spacing w:after="0"/>
              <w:rPr>
                <w:sz w:val="19"/>
                <w:szCs w:val="19"/>
                <w:color w:val="auto"/>
              </w:rPr>
            </w:pPr>
          </w:p>
        </w:tc>
      </w:tr>
      <w:tr>
        <w:trPr>
          <w:trHeight w:val="234"/>
        </w:trPr>
        <w:tc>
          <w:tcPr>
            <w:tcW w:w="2460" w:type="dxa"/>
            <w:vAlign w:val="bottom"/>
          </w:tcPr>
          <w:p>
            <w:pPr>
              <w:spacing w:after="0"/>
              <w:rPr>
                <w:sz w:val="20"/>
                <w:szCs w:val="20"/>
                <w:color w:val="auto"/>
              </w:rPr>
            </w:pPr>
          </w:p>
        </w:tc>
        <w:tc>
          <w:tcPr>
            <w:tcW w:w="4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1900" w:type="dxa"/>
            <w:vAlign w:val="bottom"/>
          </w:tcPr>
          <w:p>
            <w:pPr>
              <w:spacing w:after="0"/>
              <w:rPr>
                <w:sz w:val="20"/>
                <w:szCs w:val="20"/>
                <w:color w:val="auto"/>
              </w:rPr>
            </w:pPr>
          </w:p>
        </w:tc>
      </w:tr>
      <w:tr>
        <w:trPr>
          <w:trHeight w:val="414"/>
        </w:trPr>
        <w:tc>
          <w:tcPr>
            <w:tcW w:w="2460" w:type="dxa"/>
            <w:vAlign w:val="bottom"/>
          </w:tcPr>
          <w:p>
            <w:pPr>
              <w:spacing w:after="0"/>
              <w:rPr>
                <w:sz w:val="24"/>
                <w:szCs w:val="24"/>
                <w:color w:val="auto"/>
              </w:rPr>
            </w:pPr>
          </w:p>
        </w:tc>
        <w:tc>
          <w:tcPr>
            <w:tcW w:w="48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(605) 692-0200</w:t>
            </w:r>
          </w:p>
        </w:tc>
        <w:tc>
          <w:tcPr>
            <w:tcW w:w="190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900" w:type="dxa"/>
            <w:vAlign w:val="bottom"/>
          </w:tcPr>
          <w:p>
            <w:pPr>
              <w:spacing w:after="0"/>
              <w:rPr>
                <w:sz w:val="20"/>
                <w:szCs w:val="20"/>
                <w:color w:val="auto"/>
              </w:rPr>
            </w:pPr>
          </w:p>
        </w:tc>
      </w:tr>
    </w:tbl>
    <w:p>
      <w:pPr>
        <w:spacing w:after="0" w:line="1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19"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19"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19"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50"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4560" w:type="dxa"/>
            <w:vAlign w:val="bottom"/>
            <w:tcBorders>
              <w:top w:val="single" w:sz="8" w:color="auto"/>
              <w:left w:val="single" w:sz="8" w:color="auto"/>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36"/>
        </w:trPr>
        <w:tc>
          <w:tcPr>
            <w:tcW w:w="45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 $0.00001 Par Value</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DAKT</w:t>
            </w:r>
          </w:p>
        </w:tc>
        <w:tc>
          <w:tcPr>
            <w:tcW w:w="4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bl>
    <w:p>
      <w:pPr>
        <w:spacing w:after="0" w:line="292" w:lineRule="exact"/>
        <w:rPr>
          <w:sz w:val="24"/>
          <w:szCs w:val="24"/>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ectPr>
          <w:pgSz w:w="11900" w:h="16838" w:orient="portrait"/>
          <w:cols w:equalWidth="0" w:num="1">
            <w:col w:w="11260"/>
          </w:cols>
          <w:pgMar w:left="320" w:top="1402" w:right="319" w:bottom="56" w:gutter="0" w:footer="0" w:header="0"/>
        </w:sectPr>
      </w:pPr>
    </w:p>
    <w:bookmarkStart w:id="1" w:name="page2"/>
    <w:bookmarkEnd w:id="1"/>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June 24, 2026, Daktronics,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issued a press release announcing its financial results for the fiscal quarter and full year ended May 2, 2026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A copy of the Release is attached to this Current Report on Form 8-K (this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as Exhibit 99.1 and is incorporated herein by reference.</w:t>
      </w:r>
    </w:p>
    <w:p>
      <w:pPr>
        <w:spacing w:after="0" w:line="200" w:lineRule="exact"/>
        <w:rPr>
          <w:sz w:val="20"/>
          <w:szCs w:val="20"/>
          <w:color w:val="auto"/>
        </w:rPr>
      </w:pPr>
    </w:p>
    <w:p>
      <w:pPr>
        <w:spacing w:after="0" w:line="24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On June 24, 2026, the Company posted supplemental investor materials, including a slide presentation, on its </w:t>
      </w:r>
      <w:r>
        <w:rPr>
          <w:rFonts w:ascii="Times New Roman" w:cs="Times New Roman" w:eastAsia="Times New Roman" w:hAnsi="Times New Roman"/>
          <w:sz w:val="18"/>
          <w:szCs w:val="18"/>
          <w:i w:val="1"/>
          <w:iCs w:val="1"/>
          <w:color w:val="auto"/>
        </w:rPr>
        <w:t>investor.daktronics.com</w:t>
      </w:r>
      <w:r>
        <w:rPr>
          <w:rFonts w:ascii="Times New Roman" w:cs="Times New Roman" w:eastAsia="Times New Roman" w:hAnsi="Times New Roman"/>
          <w:sz w:val="18"/>
          <w:szCs w:val="18"/>
          <w:color w:val="auto"/>
        </w:rPr>
        <w:t xml:space="preserve"> website. The Company uses its investor relations website, together with its filings made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press releases, public conference calls, webcasts, and social media channels, including the social media accounts of its Chief Executive Officer, to disseminate material information to the public in a broad, non-exclusionary manner and to comply with its disclosure obligations under Regulation FD.</w:t>
      </w:r>
    </w:p>
    <w:p>
      <w:pPr>
        <w:spacing w:after="0" w:line="200" w:lineRule="exact"/>
        <w:rPr>
          <w:sz w:val="20"/>
          <w:szCs w:val="20"/>
          <w:color w:val="auto"/>
        </w:rPr>
      </w:pPr>
    </w:p>
    <w:p>
      <w:pPr>
        <w:spacing w:after="0" w:line="24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5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June 22, 2026, the Board of Directors of the Company voted to authorize additional repurchases of outstanding shares of the Company’s common stock (“</w:t>
      </w:r>
      <w:r>
        <w:rPr>
          <w:rFonts w:ascii="Times New Roman" w:cs="Times New Roman" w:eastAsia="Times New Roman" w:hAnsi="Times New Roman"/>
          <w:sz w:val="18"/>
          <w:szCs w:val="18"/>
          <w:b w:val="1"/>
          <w:bCs w:val="1"/>
          <w:i w:val="1"/>
          <w:iCs w:val="1"/>
          <w:color w:val="auto"/>
        </w:rPr>
        <w:t>Share Repurchases</w:t>
      </w:r>
      <w:r>
        <w:rPr>
          <w:rFonts w:ascii="Times New Roman" w:cs="Times New Roman" w:eastAsia="Times New Roman" w:hAnsi="Times New Roman"/>
          <w:sz w:val="18"/>
          <w:szCs w:val="18"/>
          <w:color w:val="auto"/>
        </w:rPr>
        <w:t>”) under the Company’s existing stock repurchase program (the “</w:t>
      </w:r>
      <w:r>
        <w:rPr>
          <w:rFonts w:ascii="Times New Roman" w:cs="Times New Roman" w:eastAsia="Times New Roman" w:hAnsi="Times New Roman"/>
          <w:sz w:val="18"/>
          <w:szCs w:val="18"/>
          <w:b w:val="1"/>
          <w:bCs w:val="1"/>
          <w:i w:val="1"/>
          <w:iCs w:val="1"/>
          <w:color w:val="auto"/>
        </w:rPr>
        <w:t>Repurchase Program</w:t>
      </w:r>
      <w:r>
        <w:rPr>
          <w:rFonts w:ascii="Times New Roman" w:cs="Times New Roman" w:eastAsia="Times New Roman" w:hAnsi="Times New Roman"/>
          <w:sz w:val="18"/>
          <w:szCs w:val="18"/>
          <w:color w:val="auto"/>
        </w:rPr>
        <w:t>”). The authorization increased the total amount available under the Repurchase Program as of the date of the authorization to $40.0 million.</w:t>
      </w:r>
    </w:p>
    <w:p>
      <w:pPr>
        <w:spacing w:after="0" w:line="19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Share Repurchases may occur from time to time in open market purchases, private transactions, or other transactions. The timing, volume, and nature of Share Repurchases will be at the sole discretion of the Company’s management and will be dependent on market conditions, applicable securities laws and other legal requirements, business considerations, and other factors. The Repurchase Program does not require the Company to repurchase a certain amount of shares and does not have a fixed expiration date and may be suspended, discontinued, or terminated at any time. Under the Repurchase Program, the Company may conduct Share Repurchases in accordance with all applicable securities laws and regulations, including Rule 10b5-1 and Rule 10b-18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No assurance can be given that any particular number of shares of common stock will be repurchased.</w:t>
      </w:r>
    </w:p>
    <w:p>
      <w:pPr>
        <w:spacing w:after="0" w:line="200" w:lineRule="exact"/>
        <w:rPr>
          <w:sz w:val="20"/>
          <w:szCs w:val="20"/>
          <w:color w:val="auto"/>
        </w:rPr>
      </w:pPr>
    </w:p>
    <w:p>
      <w:pPr>
        <w:spacing w:after="0" w:line="23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Exhibit No. Exhibit Description</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99.</w:t>
            </w:r>
            <w:r>
              <w:rPr>
                <w:rFonts w:ascii="Times New Roman" w:cs="Times New Roman" w:eastAsia="Times New Roman" w:hAnsi="Times New Roman"/>
                <w:sz w:val="18"/>
                <w:szCs w:val="18"/>
                <w:u w:val="single" w:color="auto"/>
                <w:color w:val="auto"/>
              </w:rPr>
              <w:t>1</w:t>
            </w:r>
          </w:p>
        </w:tc>
        <w:tc>
          <w:tcPr>
            <w:tcW w:w="8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w w:val="99"/>
              </w:rPr>
              <w:t>Press Release dated June 24, 2026, issued by Daktronics, Inc. regarding fourth quarter and fiscal year 2026 results.</w:t>
            </w:r>
          </w:p>
        </w:tc>
      </w:tr>
      <w:tr>
        <w:trPr>
          <w:trHeight w:val="20"/>
        </w:trPr>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60" w:type="dxa"/>
            <w:vAlign w:val="bottom"/>
            <w:shd w:val="clear" w:color="auto" w:fill="0000FF"/>
          </w:tcPr>
          <w:p>
            <w:pPr>
              <w:spacing w:after="0" w:line="20" w:lineRule="exact"/>
              <w:rPr>
                <w:sz w:val="1"/>
                <w:szCs w:val="1"/>
                <w:color w:val="auto"/>
              </w:rPr>
            </w:pPr>
          </w:p>
        </w:tc>
      </w:tr>
      <w:tr>
        <w:trPr>
          <w:trHeight w:val="27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4"/>
                <w:szCs w:val="24"/>
                <w:color w:val="auto"/>
              </w:rPr>
            </w:pPr>
          </w:p>
        </w:tc>
        <w:tc>
          <w:tcPr>
            <w:tcW w:w="8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33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information contained in Items 2.02, 7.01, 8.01, and 9.01 of this Report, including the Release, shall not be deemed “filed” for purposes of Section 18 of the Exchange Act, or otherwise subject to liability under that section, nor shall such information be deemed incorporated by reference in any filing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or the Exchange Act, regardless of any general incorporation language in such a filing, except as shall be expressly set forth by specific reference in such a filing.</w:t>
      </w:r>
    </w:p>
    <w:p>
      <w:pPr>
        <w:spacing w:after="0" w:line="21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The information in Items 2.02, 7.01, 8.01, and 9.01 of this report and the exhibit hereto may contain "forward-looking statements" within the meaning of Section 27A of the Securities Act and Section 21E of the Exchange Act and such statements are subject to the safe harbor created by those sections and the Private Securities Litigation Reform Act of 1995, as amended. Such statements are made based on the current beliefs and expectations of the Company's management and are subject to significant risks and uncertainties. Actual results or events may differ from those anticipated by forward-looking statements. Please refer to the Safe Harbor Statement at the end of the attached press release and various disclosures by the Company in its press releases, investor materials, stockholder reports, and filings with the SEC for information concerning risks, uncertainties, and other factors that may affect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24"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u w:val="single" w:color="auto"/>
          <w:color w:val="auto"/>
        </w:rPr>
        <w:t>By: /s/ Howard I. Atkins</w:t>
      </w:r>
    </w:p>
    <w:p>
      <w:pPr>
        <w:spacing w:after="0" w:line="6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Howard I. Atkins</w:t>
      </w:r>
    </w:p>
    <w:p>
      <w:pPr>
        <w:spacing w:after="0" w:line="6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Acting Chief Financial Officer</w:t>
      </w:r>
    </w:p>
    <w:p>
      <w:pPr>
        <w:spacing w:after="0" w:line="2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June 24, 2026</w:t>
      </w:r>
    </w:p>
    <w:p>
      <w:pPr>
        <w:sectPr>
          <w:pgSz w:w="11900" w:h="16838" w:orient="portrait"/>
          <w:cols w:equalWidth="0" w:num="1">
            <w:col w:w="11240"/>
          </w:cols>
          <w:pgMar w:left="320" w:top="92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285875" cy="788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587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Daktronics Announces Fourth Quarter and Full Fiscal Year 2026 Results</w:t>
      </w:r>
    </w:p>
    <w:p>
      <w:pPr>
        <w:spacing w:after="0" w:line="244"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Record net sales for fiscal 2026 of $838.7 million</w:t>
      </w:r>
    </w:p>
    <w:p>
      <w:pPr>
        <w:spacing w:after="0" w:line="252"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Record orders for fiscal 2026 of $860.8 million</w:t>
      </w:r>
    </w:p>
    <w:p>
      <w:pPr>
        <w:spacing w:after="0" w:line="252"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Q4 EPS of $0.17, adjusted EPS</w:t>
      </w:r>
      <w:r>
        <w:rPr>
          <w:rFonts w:ascii="Times New Roman" w:cs="Times New Roman" w:eastAsia="Times New Roman" w:hAnsi="Times New Roman"/>
          <w:sz w:val="23"/>
          <w:szCs w:val="23"/>
          <w:i w:val="1"/>
          <w:iCs w:val="1"/>
          <w:color w:val="auto"/>
          <w:vertAlign w:val="superscript"/>
        </w:rPr>
        <w:t>(1)</w:t>
      </w:r>
      <w:r>
        <w:rPr>
          <w:rFonts w:ascii="Times New Roman" w:cs="Times New Roman" w:eastAsia="Times New Roman" w:hAnsi="Times New Roman"/>
          <w:sz w:val="18"/>
          <w:szCs w:val="18"/>
          <w:i w:val="1"/>
          <w:iCs w:val="1"/>
          <w:color w:val="auto"/>
        </w:rPr>
        <w:t xml:space="preserve"> of $0.27, up 50% from adjusted EPS</w:t>
      </w:r>
      <w:r>
        <w:rPr>
          <w:rFonts w:ascii="Times New Roman" w:cs="Times New Roman" w:eastAsia="Times New Roman" w:hAnsi="Times New Roman"/>
          <w:sz w:val="23"/>
          <w:szCs w:val="23"/>
          <w:i w:val="1"/>
          <w:iCs w:val="1"/>
          <w:color w:val="auto"/>
          <w:vertAlign w:val="superscript"/>
        </w:rPr>
        <w:t>(1)</w:t>
      </w:r>
      <w:r>
        <w:rPr>
          <w:rFonts w:ascii="Times New Roman" w:cs="Times New Roman" w:eastAsia="Times New Roman" w:hAnsi="Times New Roman"/>
          <w:sz w:val="18"/>
          <w:szCs w:val="18"/>
          <w:i w:val="1"/>
          <w:iCs w:val="1"/>
          <w:color w:val="auto"/>
        </w:rPr>
        <w:t xml:space="preserve"> YoY</w:t>
      </w:r>
    </w:p>
    <w:p>
      <w:pPr>
        <w:spacing w:after="0" w:line="194"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Product backlog rose to $356.2 million at year end with solid pipeline entering fiscal 2027</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BROOKINGS, S.D., June 24, 2026 -- Daktronics, Inc. (NASDAQ: DAKT) (the “Company”, “Daktronics”, “we”, “our”, or “us”), a recognized industry leader in the design and manufacturing of best-in-class dynamic video communication displays and control systems for customers worldwide, today reported results for its fiscal year and fourth quarter ended May 2, 2026. Fiscal 2026 was a 53-week year, with an extra week in the first quarter, whereas fiscal 2025 was a 52-week year.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Q4 and full year 2026 financial highlights:</w:t>
      </w:r>
    </w:p>
    <w:p>
      <w:pPr>
        <w:spacing w:after="0" w:line="27" w:lineRule="exact"/>
        <w:rPr>
          <w:sz w:val="20"/>
          <w:szCs w:val="20"/>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Q4 sales of $208.6 million, up 20.9% from the fourth quarter fiscal 2025, and record full year sales of $838.7 million, up 10.9% from full year fiscal 2025</w:t>
      </w: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Q4 operating margin of 6.8% compared to negative operating margin of 1.0% in the year-earlier period, full year operating margin of 7.3%, compared to 4.4% in fiscal 2025</w:t>
      </w:r>
    </w:p>
    <w:p>
      <w:pPr>
        <w:jc w:val="both"/>
        <w:ind w:left="660" w:hanging="328"/>
        <w:spacing w:after="0" w:line="19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Q4 earnings per share (“EPS”) of $0.17 compared to loss per share of $0.19 in the year-earlier period, adjusted EPS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$0.27 compared to $0.18 in the year-earlier period; full-year EPS of $0.92 compared to loss per share of $0.21 in the year-earlier period, full year adjusted EPS of $1.05</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compared to $0.84</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for fiscal 2025</w:t>
      </w:r>
    </w:p>
    <w:p>
      <w:pPr>
        <w:spacing w:after="0" w:line="1" w:lineRule="exact"/>
        <w:rPr>
          <w:rFonts w:ascii="Times New Roman" w:cs="Times New Roman" w:eastAsia="Times New Roman" w:hAnsi="Times New Roman"/>
          <w:sz w:val="18"/>
          <w:szCs w:val="18"/>
          <w:color w:val="auto"/>
        </w:rPr>
      </w:pPr>
    </w:p>
    <w:p>
      <w:pPr>
        <w:ind w:left="660" w:right="20" w:hanging="328"/>
        <w:spacing w:after="0" w:line="20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Q4 new orders for products and services of $222.0 million</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down 7.7% from the exceptionally strong Q4 of fiscal 2025; record full year new orders of $860.8 million</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up 10.2% compared to full year 2025</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backlog of $356.2 million</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up 4.3% from prior year end</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“During fiscal 2026, Daktronics successfully completed numerous profitable business initiatives, laying the foundation for gaining momentum in executing our three-year strategic plan that started in fiscal 2025, advancing key initiatives that delivered accelerated sales growth, increased profitability, and a multi-quarter backlog of orders for a strong finish to the year,” said Ramesh Jayaraman, Daktronics’ President and Chief Executive Officer. “In fiscal 2026, we delivered record net sales and orders, reflecting efficient backlog conversion, steady customer demand and effective sales practices supporting our broad product and services portfolio. Margin expansion for the year was driven by stronger operational efficiency, improved supply chain execution, and disciplined inventory and working capital management, along with pricing actions aligned with our strategic initiatives. We ended the year on a strong note, delivering adjusted EPS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$0.27 in the fourth quarter.”</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Tracking to Three-Year Plan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outlined at Daktronics’ April 9, 2026, Investor Day, management is focused on executing strategic priorities to support growth, operational excellence and cash deployment along the following strategic pillars: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firstLine="8"/>
        <w:spacing w:after="0" w:line="245" w:lineRule="auto"/>
        <w:tabs>
          <w:tab w:leader="none" w:pos="178"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Operating Income, Adjusted Net Income, and Adjusted EPS are measures not defined by accounting principles generally accepted in the United States of America ("GAAP"). These non-GAAP measures are used to report our results exclusive of items that are non-recurring or not core to our operating business. We believe presenting this non-GAAP financial measurement provides investors with a consistent way to analyze our performance. For more information, see the supplemental calculation contained later in this release.</w:t>
      </w:r>
    </w:p>
    <w:p>
      <w:pPr>
        <w:spacing w:after="0" w:line="1" w:lineRule="exact"/>
        <w:rPr>
          <w:rFonts w:ascii="Times New Roman" w:cs="Times New Roman" w:eastAsia="Times New Roman" w:hAnsi="Times New Roman"/>
          <w:sz w:val="13"/>
          <w:szCs w:val="13"/>
          <w:color w:val="auto"/>
        </w:rPr>
      </w:pPr>
    </w:p>
    <w:p>
      <w:pPr>
        <w:ind w:firstLine="8"/>
        <w:spacing w:after="0" w:line="239" w:lineRule="auto"/>
        <w:tabs>
          <w:tab w:leader="none" w:pos="194"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Orders and backlog metrics are non-GAAP measures, and our methodology for determining orders and backlog may vary from the methodology used by other companies in determining their orders and backlog amounts. For more information related to backlog, see Part I, Item 1. Business of our Annual Report on Form 10-K for the fiscal year ended May 2, 2026.</w:t>
      </w:r>
    </w:p>
    <w:p>
      <w:pPr>
        <w:sectPr>
          <w:pgSz w:w="11900" w:h="16838" w:orient="portrait"/>
          <w:cols w:equalWidth="0" w:num="1">
            <w:col w:w="11240"/>
          </w:cols>
          <w:pgMar w:left="320" w:top="914"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5657850" cy="2228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65785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enter fiscal 2027 with concrete execution plans in place, balancing our strategic priorities between growth and operational excellence,” said Jayaraman. “Our focus is to enhance our core organic growth capability, optimize our operating model to better serve customers while improving ROIC, and deploying capital in a disciplined manner to support organic growth, pursue targeted M&amp;A, and return capital to shareholders through our share repurchase program. We are well positioned with a $356.2 million multi-quarter product backlog and a strong pipeline across all business segments backed by secular demand drivers. I’d like to thank our customers for their continued trust in Daktronics and our approximately 2,700 employees for what they have accomplished. Because of our team’s dedication, we are tracking well toward our fiscal 2028 targets of 7-10% revenue CAGR, 10-12% operating margin and 17-20% ROIC.”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Year-to-Date Results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team delivered an exceptional fiscal 2026, with record net sales, record orders, and a 290 basis point increase in operating margin,” said Daktronics’ Acting Chief Financial Officer Howard Atkins.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Full year 2026 orders increased 10.2 percent to a record $860.8 million, led by the Live Events business unit which won five of five Major League Baseball stadium installations since the third quarter of fiscal 2025. The Transportation and International business units had their own record orders quarters during the year. Fourth quarter fiscal 2026 orders declined 7.7 percent compared to an exceptionally strong fourth quarter of fiscal 2025 in which orders accelerated in advance of pricing increases. Product backlog rose to $356.2 million, with new orders exceeding revenue throughout the year.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for the fourth quarter of fiscal 2026 were up 20.9 percent from the year-earlier period, driven by the Live Events, High School Park and Recreation, and Transportation business units. The Commercial and International business unit net sales were relatively flat year-over-year. For the full year fiscal 2026, net sales were up 10.9 percent to a record $838.7 million due to strong order growth, the introduction of value-based pricing, and efficient revenue conversion.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Fourth quarter gross profit increased 3.0 percent from a year ago on higher revenue and wider gross profit margin, which increased to 28.0 percent for the fourth quarter of fiscal 2026 compared to 25.0 percent for the fourth quarter of fiscal 2025. A recapture of a prior period warranty provision accounted for 62 basis points of the 28.0 percent gross profit margin. For the full year, gross profit as a percentage of net sales increased to 27.3 percent, including warranty recapture, for fiscal 2026 from 25.8 percent in the prior year. Factors contributing to the margin increase included value-based price increases and operational efficiencies in working capital. The Company is monitoring developments related to tariff refunds, and no amounts have been recognized in the financial statements as of May 2, 2026, due to ongoing uncertainty regarding eligibility, timing and amount.</w:t>
      </w:r>
    </w:p>
    <w:p>
      <w:pPr>
        <w:spacing w:after="0" w:line="187"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Operating expenses for the fourth quarter of fiscal 2026 were $44.4 million and relatively flat compared to $44.9 million for the fourth quarter of fiscal 2025. Operating expenses were $168.2 million for the full fiscal 2026 year compared to $162.4 million for the full fiscal 2025 year, an increase of 3.6 percent. The 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increase primarily reflects higher</w:t>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product design and development expenses, including costs associated with the acquisition of certain assets of X Display Company Technology Limited (“XDC”).</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during fiscal 2026 also included expenses related to management transition costs, advisory services, and legal expenses associated with the XDC acquisition. By comparison, expenses incurred during fiscal 2025 were primarily related to consultant and advisory costs supporting strategic and digital transformation initiatives and corporate governance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margin was 6.8 percent for the fourth quarter of fiscal 2026 compared to an operating loss of 1.0 percent for the fourth quarter of fiscal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margin was 7.3 percent for fiscal 2026 compared to 4.4 percent for fiscal 2025.</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net interest income for the fourth quarter of fiscal 2026 compared to the same period a year ago is primarily due to a higher average cash level invested in interest-bearing accounts. During the third and fourth quarters of fiscal 2025, interest expense included interest on the convertible note payable, which was settled during fiscal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fair value of the convertible note was caused by the conversion of the entire convertible note in the third and fourth quarters of fiscal 2025.</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effective tax rate for fiscal 2026 was 22.2 percent compared to negative 73.0 percent for fiscal 2025. During fiscal 2025, the Company’s effective income tax rate was primarily impacted due to the convertible note fair value adjustment to expense that is not deductible for tax purposes. In fiscal 2026, there were no further impacts of fair value adjustments on the convertible note and our effective tax rate has normalized closer to the U.S. statutory rate.</w:t>
      </w:r>
    </w:p>
    <w:p>
      <w:pPr>
        <w:spacing w:after="0" w:line="180"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Fourth quarter fiscal 2026 earnings per diluted share were $0.17, compared to a loss per diluted share of $0.19 in the fourth quarter fiscal 2025. For fiscal 2026, earnings per diluted share were $0.92, compared to a loss per diluted share of $0.21 in fiscal 2025. Fourth quarter fiscal 2026 adjusted EPS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$0.27 excludes a $3.8 million provision for possible credit losses related to the exit of an investment in an affiliate and was up 50.0 percent from adjusted EPS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in the year-earlier period. Fourth quarter fiscal 2025 adjusted EPS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$0.18 excludes a $15.5 million provision for possible credit losses booked related to the exit of an investment in a different affiliate.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Cash Flow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totaled $131.6 million as of May 2, 2026, and $10.8 million of total current and long-term debt was outstanding as of that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as of May 2, 2026, was $118.6 million compared to $92.8 million at the end of fiscal 2025.</w:t>
      </w:r>
    </w:p>
    <w:p>
      <w:pPr>
        <w:spacing w:after="0" w:line="166" w:lineRule="exact"/>
        <w:rPr>
          <w:sz w:val="20"/>
          <w:szCs w:val="20"/>
          <w:color w:val="auto"/>
        </w:rPr>
      </w:pPr>
    </w:p>
    <w:p>
      <w:pPr>
        <w:jc w:val="both"/>
        <w:ind w:right="20"/>
        <w:spacing w:after="0" w:line="245" w:lineRule="exact"/>
        <w:rPr>
          <w:sz w:val="20"/>
          <w:szCs w:val="20"/>
          <w:color w:val="auto"/>
        </w:rPr>
      </w:pPr>
      <w:r>
        <w:rPr>
          <w:rFonts w:ascii="Times New Roman" w:cs="Times New Roman" w:eastAsia="Times New Roman" w:hAnsi="Times New Roman"/>
          <w:sz w:val="18"/>
          <w:szCs w:val="18"/>
          <w:color w:val="auto"/>
        </w:rPr>
        <w:t>The Company has a $71.5 million senior credit facility that consists of a cash flow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revolving line of credit. As of May 2, 2026, there were no advances under the loan portion of the line of credit, and the balance of letters of credit outstanding was $1.9 million.</w:t>
      </w:r>
    </w:p>
    <w:p>
      <w:pPr>
        <w:spacing w:after="0" w:line="2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fiscal 2026, Daktronics generated $49.2 million of cash from operations, of which $14.9 million was used for purchases of property and equipment. During fiscal 2026, the Company repurchased 1.4 million shares of common stock at the volume-weighted average price of $17.80, equaling $25.4 million of share repurchases. In the fourth quarter of fiscal 2026, the Company repurchased 0.1 million shares of common stock at the volume-weighted average price of $19.56, equaling $2.6 million of share repurchases.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end of fiscal 2026, the Company’s working capital ratio was 2.3 to 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Information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will host a conference call and webcast to discuss its financial results today at 10:00 a.m. (Central Time). This call will be broadcast live at http://investor.daktronics.com, where related presentation materials will also be posted prior to the conference call. A webcast will be available for replay shortly after the event.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Daktronics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Daktronics has strong leadership positions in, and is the world’s largest supplier of, large-screen video displays, electronic scoreboards, LED text and graphics displays, and related control systems. The Company excels in the control of display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8"/>
        <w:spacing w:after="0" w:line="253" w:lineRule="auto"/>
        <w:tabs>
          <w:tab w:leader="none" w:pos="178"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Operating Income, Adjusted Net Income, and Adjusted EPS are measures not defined by accounting principles generally accepted in the United States of America ("GAAP"). These non-GAAP measures are used to report our results exclusive of items that are non-recurring or not core to our operating business. We believe presenting this non-GAAP financial measurement provides investors with a consistent way to analyze our performance. For more information, see the supplemental calculation contained later in this release.</w:t>
      </w:r>
    </w:p>
    <w:p>
      <w:pPr>
        <w:ind w:firstLine="8"/>
        <w:spacing w:after="0" w:line="239" w:lineRule="auto"/>
        <w:tabs>
          <w:tab w:leader="none" w:pos="194"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Orders and backlog metrics are non-GAAP measures, and our methodology for determining orders and backlog may vary from the methodology used by other companies in determining their orders and backlog amounts. For more information related to backlog, see Part I, Item 1. Business of our Annual Report on Form 10-K for the fiscal year ended May 2, 2026.</w:t>
      </w:r>
    </w:p>
    <w:p>
      <w:pPr>
        <w:sectPr>
          <w:pgSz w:w="11900" w:h="16838" w:orient="portrait"/>
          <w:cols w:equalWidth="0" w:num="1">
            <w:col w:w="11240"/>
          </w:cols>
          <w:pgMar w:left="320" w:top="1147"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t>systems, including those that require integration of multiple complex displays showing real-time information, graphics, animation, and video. Daktronics designs, manufactures, markets and services display systems for customers around the world in four domestic business units: Live Events, Commercial, High School Park and Recreation, and Transportation; and one International business unit. For more information, visit the Company’s website at: www.daktronics.com.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Cautionary Notice: This press release contains certain statements that by be considered forward-looking statements within the meaning of Section 27A of the Securities Act of 1933, as amended, and Section 21E of the Securities Exchange Act of 1934, as amended, and such statements are subject to the safe harbor created by those sections and the Private Securities Litigation Reform Act of 1995, as amended.</w:t>
      </w:r>
    </w:p>
    <w:p>
      <w:pPr>
        <w:spacing w:after="0" w:line="20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All statements, other than historical facts, included or incorporated in this release could be deemed forward-looking statements, particularly statements that reflect our expectations or beliefs of Daktronics, Inc. (the “Company,” “Daktronics,” “we,” or “us”) concerning future events or our future financial performance. You are cautioned not to place undue reliance on forward-looking statements, which are often characterized by discussions of strategy, plans, or intentions or by the use of words such as “may,” “would,” “could,” “should,” “will,” “expect,” “estimate,” “anticipate,” “believe,” “plan,” “forecast,” “project,” “outlook,” “focus,” “goal,” “target,” “transform,” “expand,” “grow,” “predict,” “potential,” “continue,” or “intend,” the negative or other variants of such terms, or other comparable terminology. The Company cautions that these forward-looking statements are subject to risks and uncertainties that could cause actual results to differ materially from our expectations as a result of various factors, including, but not limited to, changes in economic and market conditions, management of growth, timing and magnitude of future contracts, orders, and capital investment projects, fluctuations in margins, the introduction of new products and technology, the impact of adverse weather conditions, increased regulation, the imposition of tariffs or other trade restrictions, the availability and costs of raw materials, components, and shipping services, geopolitical and governmental actions, expansion into new geographical markets, the Company’s recent leadership transition, transformation initiatives, future strategy, and other risks, trends, and uncertainties described more fully in the Company’s Annual Report on Form 10-K for its 2026 fiscal year (the “Form 10-K”) and in other reports filed with or furnished to the U.S. Securities and Exchange Commission (the "SEC") by the Company. You should carefully consider the trends, risks, and uncertainties described in this press release, the Form 10-K, other reports filed with or furnished to the SEC by the Company, and other press releases and stockholders reports of the Company before making any investment decision with respect to our securities. If any of these trends, risks, or uncertainties continues or occurs, our business, financial condition, or operating results could be materially and adversely affected, the trading prices of our securities could decline, and you could lose part or all of your investment.</w:t>
      </w:r>
    </w:p>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Forward-looking statements are made in the context of information available as of the date of this press release and are based on our current expectations, forecasts, estimates, and assumptions. The Company disclaims any obligation to update or revise any forward-looking statements to reflect actual results or circumstances or events occurring after this release affecting the forward-looking statements except as may be required by applicable law. All forward-looking statements attributable to us or persons acting on our behalf are expressly qualified in their entirety by this cautionary statement.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contact: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Howard Atkins, Acting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(605) 692-0200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Investor@daktronics.com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Alliance Advisors 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Carolyn Capaccio / Jody Burfening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DAKTIRTeam@allianceadvisors.com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media@daktronics.com</w:t>
      </w:r>
    </w:p>
    <w:p>
      <w:pPr>
        <w:sectPr>
          <w:pgSz w:w="11900" w:h="16838" w:orient="portrait"/>
          <w:cols w:equalWidth="0" w:num="1">
            <w:col w:w="11240"/>
          </w:cols>
          <w:pgMar w:left="320" w:top="931" w:right="339" w:bottom="1440" w:gutter="0" w:footer="0" w:header="0"/>
        </w:sectPr>
      </w:pPr>
    </w:p>
    <w:bookmarkStart w:id="7" w:name="page8"/>
    <w:bookmarkEnd w:id="7"/>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Daktronics, Inc. and Subsidiaries</w:t>
      </w:r>
    </w:p>
    <w:p>
      <w:pPr>
        <w:spacing w:after="0" w:line="6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Consolidated Statements of Operations</w:t>
      </w:r>
    </w:p>
    <w:p>
      <w:pPr>
        <w:spacing w:after="0" w:line="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2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0"/>
                <w:szCs w:val="20"/>
                <w:color w:val="auto"/>
              </w:rPr>
            </w:pPr>
          </w:p>
        </w:tc>
        <w:tc>
          <w:tcPr>
            <w:tcW w:w="3240" w:type="dxa"/>
            <w:vAlign w:val="bottom"/>
            <w:gridSpan w:val="4"/>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7"/>
        </w:trPr>
        <w:tc>
          <w:tcPr>
            <w:tcW w:w="4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40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April 26, 2025</w:t>
            </w:r>
          </w:p>
        </w:tc>
      </w:tr>
      <w:tr>
        <w:trPr>
          <w:trHeight w:val="27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208,610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172,551</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838,706</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756,477</w:t>
            </w:r>
          </w:p>
        </w:tc>
      </w:tr>
      <w:tr>
        <w:trPr>
          <w:trHeight w:val="26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150,130</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129,406</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609,700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560,990</w:t>
            </w:r>
          </w:p>
        </w:tc>
      </w:tr>
      <w:tr>
        <w:trPr>
          <w:trHeight w:val="270"/>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58,480</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43,145</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229,006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195,487</w:t>
            </w:r>
          </w:p>
        </w:tc>
      </w:tr>
      <w:tr>
        <w:trPr>
          <w:trHeight w:val="270"/>
        </w:trPr>
        <w:tc>
          <w:tcPr>
            <w:tcW w:w="4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63"/>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w:t>
            </w:r>
          </w:p>
        </w:tc>
        <w:tc>
          <w:tcPr>
            <w:tcW w:w="2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60,011</w:t>
            </w:r>
          </w:p>
        </w:tc>
      </w:tr>
      <w:tr>
        <w:trPr>
          <w:trHeight w:val="277"/>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15,984</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19,727</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63,498</w:t>
            </w:r>
          </w:p>
        </w:tc>
      </w:tr>
      <w:tr>
        <w:trPr>
          <w:trHeight w:val="263"/>
        </w:trPr>
        <w:tc>
          <w:tcPr>
            <w:tcW w:w="4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11,815</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9,958</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43,458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38,860</w:t>
            </w:r>
          </w:p>
        </w:tc>
      </w:tr>
      <w:tr>
        <w:trPr>
          <w:trHeight w:val="270"/>
        </w:trPr>
        <w:tc>
          <w:tcPr>
            <w:tcW w:w="40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44,389</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44,885</w:t>
            </w:r>
          </w:p>
        </w:tc>
        <w:tc>
          <w:tcPr>
            <w:tcW w:w="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168,158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162,369</w:t>
            </w:r>
          </w:p>
        </w:tc>
      </w:tr>
      <w:tr>
        <w:trPr>
          <w:trHeight w:val="257"/>
        </w:trPr>
        <w:tc>
          <w:tcPr>
            <w:tcW w:w="4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14,091</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60,848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33,118</w:t>
            </w:r>
          </w:p>
        </w:tc>
      </w:tr>
      <w:tr>
        <w:trPr>
          <w:trHeight w:val="256"/>
        </w:trPr>
        <w:tc>
          <w:tcPr>
            <w:tcW w:w="40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r>
      <w:tr>
        <w:trPr>
          <w:trHeight w:val="263"/>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note</w:t>
            </w:r>
          </w:p>
        </w:tc>
        <w:tc>
          <w:tcPr>
            <w:tcW w:w="2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(22,521)</w:t>
            </w:r>
          </w:p>
        </w:tc>
      </w:tr>
      <w:tr>
        <w:trPr>
          <w:trHeight w:val="270"/>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(15,183)</w:t>
            </w:r>
          </w:p>
        </w:tc>
        <w:tc>
          <w:tcPr>
            <w:tcW w:w="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(17,795)</w:t>
            </w:r>
          </w:p>
        </w:tc>
      </w:tr>
      <w:tr>
        <w:trPr>
          <w:trHeight w:val="257"/>
        </w:trPr>
        <w:tc>
          <w:tcPr>
            <w:tcW w:w="4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0"/>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10,737</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(13,438)</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w:t>
            </w:r>
          </w:p>
        </w:tc>
      </w:tr>
      <w:tr>
        <w:trPr>
          <w:trHeight w:val="264"/>
        </w:trPr>
        <w:tc>
          <w:tcPr>
            <w:tcW w:w="4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w:t>
            </w:r>
          </w:p>
        </w:tc>
      </w:tr>
      <w:tr>
        <w:trPr>
          <w:trHeight w:val="290"/>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(9,425)</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45,376</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(10,121)</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63"/>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48,564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47,587</w:t>
            </w:r>
          </w:p>
        </w:tc>
      </w:tr>
      <w:tr>
        <w:trPr>
          <w:trHeight w:val="277"/>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49,032</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49,516</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47,587</w:t>
            </w:r>
          </w:p>
        </w:tc>
      </w:tr>
      <w:tr>
        <w:trPr>
          <w:trHeight w:val="270"/>
        </w:trPr>
        <w:tc>
          <w:tcPr>
            <w:tcW w:w="4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64"/>
        </w:trPr>
        <w:tc>
          <w:tcPr>
            <w:tcW w:w="4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63"/>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bl>
    <w:p>
      <w:pPr>
        <w:sectPr>
          <w:pgSz w:w="11900" w:h="16838" w:orient="portrait"/>
          <w:cols w:equalWidth="0" w:num="1">
            <w:col w:w="11100"/>
          </w:cols>
          <w:pgMar w:left="320" w:top="916" w:right="4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32"/>
          <w:szCs w:val="32"/>
          <w:b w:val="1"/>
          <w:bCs w:val="1"/>
          <w:color w:val="auto"/>
        </w:rPr>
        <w:t>Daktronics, Inc.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Consolidated Balance Sheets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26, 2025</w:t>
            </w:r>
          </w:p>
        </w:tc>
      </w:tr>
      <w:tr>
        <w:trPr>
          <w:trHeight w:val="23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131,639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127,507</w:t>
            </w:r>
          </w:p>
        </w:tc>
      </w:tr>
      <w:tr>
        <w:trPr>
          <w:trHeight w:val="26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118,590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92,762</w:t>
            </w: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105,839</w:t>
            </w:r>
          </w:p>
        </w:tc>
      </w:tr>
      <w:tr>
        <w:trPr>
          <w:trHeight w:val="26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41,169</w:t>
            </w: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receivables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r>
      <w:tr>
        <w:trPr>
          <w:trHeight w:val="26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8,520</w:t>
            </w:r>
          </w:p>
        </w:tc>
      </w:tr>
      <w:tr>
        <w:trPr>
          <w:trHeight w:val="25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 receivables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w:t>
            </w:r>
          </w:p>
        </w:tc>
      </w:tr>
      <w:tr>
        <w:trPr>
          <w:trHeight w:val="250"/>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447,982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381,451</w:t>
            </w:r>
          </w:p>
        </w:tc>
      </w:tr>
      <w:tr>
        <w:trPr>
          <w:trHeight w:val="243"/>
        </w:trPr>
        <w:tc>
          <w:tcPr>
            <w:tcW w:w="8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7"/>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64,263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73,884</w:t>
            </w: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receivables, less current maturities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r>
      <w:tr>
        <w:trPr>
          <w:trHeight w:val="26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Intangibles, net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57"/>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issuance costs, net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 of use, investment in affiliates, and other assets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9,378</w:t>
            </w:r>
          </w:p>
        </w:tc>
      </w:tr>
      <w:tr>
        <w:trPr>
          <w:trHeight w:val="26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22,266</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32,104</w:t>
            </w:r>
          </w:p>
        </w:tc>
      </w:tr>
      <w:tr>
        <w:trPr>
          <w:trHeight w:val="24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554,412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502,892</w:t>
            </w:r>
          </w:p>
        </w:tc>
      </w:tr>
      <w:tr>
        <w:trPr>
          <w:trHeight w:val="27"/>
        </w:trPr>
        <w:tc>
          <w:tcPr>
            <w:tcW w:w="81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r>
    </w:tbl>
    <w:p>
      <w:pPr>
        <w:sectPr>
          <w:pgSz w:w="11900" w:h="16838" w:orient="portrait"/>
          <w:cols w:equalWidth="0" w:num="1">
            <w:col w:w="11240"/>
          </w:cols>
          <w:pgMar w:left="320" w:top="91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32"/>
          <w:szCs w:val="32"/>
          <w:b w:val="1"/>
          <w:bCs w:val="1"/>
          <w:color w:val="auto"/>
        </w:rPr>
        <w:t>Daktronics, Inc.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 xml:space="preserve">Consolidated Balance Sheets </w:t>
      </w:r>
      <w:r>
        <w:rPr>
          <w:rFonts w:ascii="Times New Roman" w:cs="Times New Roman" w:eastAsia="Times New Roman" w:hAnsi="Times New Roman"/>
          <w:sz w:val="17"/>
          <w:szCs w:val="17"/>
          <w:color w:val="auto"/>
        </w:rPr>
        <w:t>(continued)</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26, 2025</w:t>
            </w:r>
          </w:p>
        </w:tc>
      </w:tr>
      <w:tr>
        <w:trPr>
          <w:trHeight w:val="243"/>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7"/>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46,669</w:t>
            </w:r>
          </w:p>
        </w:tc>
      </w:tr>
      <w:tr>
        <w:trPr>
          <w:trHeight w:val="26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65,310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69,050</w:t>
            </w: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41,705</w:t>
            </w:r>
          </w:p>
        </w:tc>
      </w:tr>
      <w:tr>
        <w:trPr>
          <w:trHeight w:val="26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Warranty obligations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12,706</w:t>
            </w:r>
          </w:p>
        </w:tc>
      </w:tr>
      <w:tr>
        <w:trPr>
          <w:trHeight w:val="25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50"/>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193,708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172,005</w:t>
            </w:r>
          </w:p>
        </w:tc>
      </w:tr>
      <w:tr>
        <w:trPr>
          <w:trHeight w:val="243"/>
        </w:trPr>
        <w:tc>
          <w:tcPr>
            <w:tcW w:w="8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7"/>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warranty obligations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23,124</w:t>
            </w: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contract liabilities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18,421</w:t>
            </w:r>
          </w:p>
        </w:tc>
      </w:tr>
      <w:tr>
        <w:trPr>
          <w:trHeight w:val="26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10,487</w:t>
            </w:r>
          </w:p>
        </w:tc>
      </w:tr>
      <w:tr>
        <w:trPr>
          <w:trHeight w:val="27"/>
        </w:trPr>
        <w:tc>
          <w:tcPr>
            <w:tcW w:w="8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7"/>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43"/>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59,957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58,956</w:t>
            </w:r>
          </w:p>
        </w:tc>
      </w:tr>
      <w:tr>
        <w:trPr>
          <w:trHeight w:val="243"/>
        </w:trPr>
        <w:tc>
          <w:tcPr>
            <w:tcW w:w="8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7"/>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Shares, $0.00001 par value, authorized 5,000 shares; no shares issued and outstanding</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$0.00001 par value, authorized 115,000 shares; 53,650 and 53,030 shares issued as of</w:t>
            </w: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May 2, 2026 and April 26, 2025, respectively</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6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196,837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189,940</w:t>
            </w: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127,910</w:t>
            </w:r>
          </w:p>
        </w:tc>
      </w:tr>
      <w:tr>
        <w:trPr>
          <w:trHeight w:val="26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at cost, 5,406 and 3,979 shares as of May 2, 2026 and April 26, 2025, respectively</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(39,759)</w:t>
            </w:r>
          </w:p>
        </w:tc>
      </w:tr>
      <w:tr>
        <w:trPr>
          <w:trHeight w:val="25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(6,160)</w:t>
            </w: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300,747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271,931</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554,412</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502,892</w:t>
            </w:r>
          </w:p>
        </w:tc>
      </w:tr>
      <w:tr>
        <w:trPr>
          <w:trHeight w:val="20"/>
        </w:trPr>
        <w:tc>
          <w:tcPr>
            <w:tcW w:w="8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16"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32"/>
          <w:szCs w:val="32"/>
          <w:b w:val="1"/>
          <w:bCs w:val="1"/>
          <w:color w:val="auto"/>
        </w:rPr>
        <w:t>Daktronics, Inc.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Consolidated Statements of Cash Flows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4"/>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50"/>
        </w:trPr>
        <w:tc>
          <w:tcPr>
            <w:tcW w:w="8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26, 2025</w:t>
            </w:r>
          </w:p>
        </w:tc>
      </w:tr>
      <w:tr>
        <w:trPr>
          <w:trHeight w:val="23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6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(10,121)</w:t>
            </w: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19,547</w:t>
            </w:r>
          </w:p>
        </w:tc>
      </w:tr>
      <w:tr>
        <w:trPr>
          <w:trHeight w:val="250"/>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sale of property, equipment and other assets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63"/>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r>
      <w:tr>
        <w:trPr>
          <w:trHeight w:val="250"/>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Equity in loss of affiliates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w:t>
            </w:r>
          </w:p>
        </w:tc>
      </w:tr>
      <w:tr>
        <w:trPr>
          <w:trHeight w:val="263"/>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Allowance for credit losses on affiliate loan</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15,480</w:t>
            </w:r>
          </w:p>
        </w:tc>
      </w:tr>
      <w:tr>
        <w:trPr>
          <w:trHeight w:val="250"/>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Provision (recovery) for doubtful accounts, net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63"/>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r>
      <w:tr>
        <w:trPr>
          <w:trHeight w:val="250"/>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Change in fair value of convertible note</w:t>
            </w:r>
          </w:p>
        </w:tc>
        <w:tc>
          <w:tcPr>
            <w:tcW w:w="1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22,521</w:t>
            </w:r>
          </w:p>
        </w:tc>
      </w:tr>
      <w:tr>
        <w:trPr>
          <w:trHeight w:val="263"/>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51,389</w:t>
            </w:r>
          </w:p>
        </w:tc>
      </w:tr>
      <w:tr>
        <w:trPr>
          <w:trHeight w:val="243"/>
        </w:trPr>
        <w:tc>
          <w:tcPr>
            <w:tcW w:w="818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49,217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97,713</w:t>
            </w:r>
          </w:p>
        </w:tc>
      </w:tr>
      <w:tr>
        <w:trPr>
          <w:trHeight w:val="243"/>
        </w:trPr>
        <w:tc>
          <w:tcPr>
            <w:tcW w:w="8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(19,494)</w:t>
            </w:r>
          </w:p>
        </w:tc>
      </w:tr>
      <w:tr>
        <w:trPr>
          <w:trHeight w:val="250"/>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Proceeds from sales of property, equipment and other assets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63"/>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Acquisition, net of cash acquired</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Loans to equity investees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(4,565)</w:t>
            </w:r>
          </w:p>
        </w:tc>
      </w:tr>
      <w:tr>
        <w:trPr>
          <w:trHeight w:val="250"/>
        </w:trPr>
        <w:tc>
          <w:tcPr>
            <w:tcW w:w="81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(23,782)</w:t>
            </w:r>
          </w:p>
        </w:tc>
      </w:tr>
      <w:tr>
        <w:trPr>
          <w:trHeight w:val="243"/>
        </w:trPr>
        <w:tc>
          <w:tcPr>
            <w:tcW w:w="8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Borrowings on notes payable</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Payments on notes payable</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r>
      <w:tr>
        <w:trPr>
          <w:trHeight w:val="250"/>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Principal payments on long-term obligations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63"/>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Payments for common shares repurchased</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(29,474)</w:t>
            </w:r>
          </w:p>
        </w:tc>
      </w:tr>
      <w:tr>
        <w:trPr>
          <w:trHeight w:val="250"/>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w:t>
            </w:r>
          </w:p>
        </w:tc>
      </w:tr>
      <w:tr>
        <w:trPr>
          <w:trHeight w:val="263"/>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Tax payments related to RSU issuances</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44"/>
        </w:trPr>
        <w:tc>
          <w:tcPr>
            <w:tcW w:w="818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(27,449)</w:t>
            </w:r>
          </w:p>
        </w:tc>
      </w:tr>
      <w:tr>
        <w:trPr>
          <w:trHeight w:val="243"/>
        </w:trPr>
        <w:tc>
          <w:tcPr>
            <w:tcW w:w="8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45,829</w:t>
            </w:r>
          </w:p>
        </w:tc>
      </w:tr>
      <w:tr>
        <w:trPr>
          <w:trHeight w:val="256"/>
        </w:trPr>
        <w:tc>
          <w:tcPr>
            <w:tcW w:w="8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Beginning of period</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127,507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81,678</w:t>
            </w:r>
          </w:p>
        </w:tc>
      </w:tr>
      <w:tr>
        <w:trPr>
          <w:trHeight w:val="275"/>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16"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32"/>
          <w:szCs w:val="32"/>
          <w:b w:val="1"/>
          <w:bCs w:val="1"/>
          <w:color w:val="auto"/>
        </w:rPr>
        <w:t>Daktronics, Inc. and Subsidiaries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Net Sales and Orders by Business Unit</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14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26,</w:t>
            </w:r>
          </w:p>
        </w:tc>
        <w:tc>
          <w:tcPr>
            <w:tcW w:w="1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Dollar</w:t>
            </w:r>
          </w:p>
        </w:tc>
        <w:tc>
          <w:tcPr>
            <w:tcW w:w="12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14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26,</w:t>
            </w:r>
          </w:p>
        </w:tc>
        <w:tc>
          <w:tcPr>
            <w:tcW w:w="1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Dollar</w:t>
            </w: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7"/>
        </w:trPr>
        <w:tc>
          <w:tcPr>
            <w:tcW w:w="1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180,772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156,203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24,569</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Live Events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5"/>
        </w:trPr>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High School Park and</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Recreation</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0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17,329</w:t>
            </w:r>
          </w:p>
        </w:tc>
        <w:tc>
          <w:tcPr>
            <w:tcW w:w="10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3"/>
        </w:trPr>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15,123</w:t>
            </w:r>
          </w:p>
        </w:tc>
        <w:tc>
          <w:tcPr>
            <w:tcW w:w="10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7"/>
        </w:trPr>
        <w:tc>
          <w:tcPr>
            <w:tcW w:w="1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19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208,610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172,551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36,059</w:t>
            </w:r>
          </w:p>
        </w:tc>
        <w:tc>
          <w:tcPr>
            <w:tcW w:w="1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838,706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756,477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82,229</w:t>
            </w:r>
          </w:p>
        </w:tc>
        <w:tc>
          <w:tcPr>
            <w:tcW w:w="1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Orders: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Live Events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52,232</w:t>
            </w:r>
          </w:p>
        </w:tc>
        <w:tc>
          <w:tcPr>
            <w:tcW w:w="10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 School Park and</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Recreation</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(9,127)</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188,245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176,097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12,148</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43"/>
        </w:trPr>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17,152</w:t>
            </w:r>
          </w:p>
        </w:tc>
        <w:tc>
          <w:tcPr>
            <w:tcW w:w="10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7"/>
        </w:trPr>
        <w:tc>
          <w:tcPr>
            <w:tcW w:w="19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222,046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240,683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(18,637)</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860,835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781,347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79,488</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Free Cash Flow</w:t>
      </w:r>
      <w:r>
        <w:rPr>
          <w:rFonts w:ascii="Times New Roman" w:cs="Times New Roman" w:eastAsia="Times New Roman" w:hAnsi="Times New Roman"/>
          <w:sz w:val="23"/>
          <w:szCs w:val="23"/>
          <w:b w:val="1"/>
          <w:bCs w:val="1"/>
          <w:color w:val="auto"/>
          <w:vertAlign w:val="superscript"/>
        </w:rPr>
        <w:t>*</w:t>
      </w: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7"/>
        </w:trPr>
        <w:tc>
          <w:tcPr>
            <w:tcW w:w="8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4"/>
        </w:trPr>
        <w:tc>
          <w:tcPr>
            <w:tcW w:w="8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8"/>
        </w:trPr>
        <w:tc>
          <w:tcPr>
            <w:tcW w:w="8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26, 2025</w:t>
            </w:r>
          </w:p>
        </w:tc>
      </w:tr>
      <w:tr>
        <w:trPr>
          <w:trHeight w:val="27"/>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97,713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(19,494)</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78,496</w:t>
            </w:r>
          </w:p>
        </w:tc>
      </w:tr>
      <w:tr>
        <w:trPr>
          <w:trHeight w:val="20"/>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340" w:hanging="332"/>
        <w:spacing w:after="0" w:line="254"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above reconciles free cash flow to the most directly comparable GAAP financial measure. In evaluating its business, Daktronics considers and uses free cash flow as a key measure of its operating performance. The term free cash flow is not defined under accounting principles generally accepted in the United States of America ("GAAP"). It is not a measure of operating income, cash flows from operating activities or other GAAP figures and should not be considered alternatives to those computations. We define free cash flow as net cash provided by operating activities less payments for property, plant and equipment, plus proceeds from the sale of, insurance recovery for and grants for property, plant and equipment, if applicable. Our definition of free cash flow may not be comparable to similarly titled definitions used by other companies. Free cash flow is intended to provide information that may be useful for investors when assessing period to period results because it provides them with additional information in assessing our liquidity, capital resources and financial operating results.</w:t>
      </w:r>
    </w:p>
    <w:p>
      <w:pPr>
        <w:sectPr>
          <w:pgSz w:w="11900" w:h="16838" w:orient="portrait"/>
          <w:cols w:equalWidth="0" w:num="1">
            <w:col w:w="11240"/>
          </w:cols>
          <w:pgMar w:left="320" w:top="916" w:right="33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Adjusted Operating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6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7"/>
        </w:trPr>
        <w:tc>
          <w:tcPr>
            <w:tcW w:w="4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4"/>
        </w:trPr>
        <w:tc>
          <w:tcPr>
            <w:tcW w:w="4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April 26,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April 26,</w:t>
            </w:r>
          </w:p>
        </w:tc>
      </w:tr>
      <w:tr>
        <w:trPr>
          <w:trHeight w:val="238"/>
        </w:trPr>
        <w:tc>
          <w:tcPr>
            <w:tcW w:w="4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 (GAAP measure)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14,091</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80" w:type="dxa"/>
            <w:vAlign w:val="bottom"/>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60,848</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33,118</w:t>
            </w: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transition expenses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XDC acquisition, advisory, and legal costs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Consultant related expenses associated with business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transformation initiatives</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7,085</w:t>
            </w: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7"/>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governance expenses</w:t>
            </w:r>
          </w:p>
        </w:tc>
        <w:tc>
          <w:tcPr>
            <w:tcW w:w="2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80" w:type="dxa"/>
            <w:vAlign w:val="bottom"/>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w:t>
            </w:r>
          </w:p>
        </w:tc>
      </w:tr>
      <w:tr>
        <w:trPr>
          <w:trHeight w:val="257"/>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 (non-GAAP measure)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5,786</w:t>
            </w:r>
          </w:p>
        </w:tc>
        <w:tc>
          <w:tcPr>
            <w:tcW w:w="1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64,630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49,642</w:t>
            </w:r>
          </w:p>
        </w:tc>
      </w:tr>
      <w:tr>
        <w:trPr>
          <w:trHeight w:val="21"/>
        </w:trPr>
        <w:tc>
          <w:tcPr>
            <w:tcW w:w="4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340" w:hanging="332"/>
        <w:spacing w:after="0" w:line="218" w:lineRule="exact"/>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evaluating its business, Daktronics considers and uses adjusted operating income as a key measure of its operating performance. The term adjusted operating income is not defined under GAAP and is not a measure of operating income, cash flows from operating activities, or other GAAP figures and should not be considered alternatives to those computations. We define adjusted operating income as operating income (loss) plus management transition expenses, acquisition related expenses, consulting related expenses related to our business transformation initiatives, and corporate governance expenses related to legal and advisory costs of reincorporation and shareholder relations. Management transition and acquisition related expenses incurred during the first and second quarters of fiscal 2026 were immaterial and, accordingly, were not previously disclosed as adjustments. These expenses became more significant during the third quarter of fiscal 2026 and are therefore reflected in the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adjusted operating income calculation. Management believes adjusted operating income is a useful indicator of our financial performance and our ability to generate cash flows from operations. Our definition of adjusted operating income may not be comparable to similarly titled definitions used by other companies. The table above reconciles adjusted operating income to comparable GAAP financial measures.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Adjusted Net Income and Adjusted Earnings per Share*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1240"/>
          </w:cols>
          <w:pgMar w:left="320" w:top="144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6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7"/>
        </w:trPr>
        <w:tc>
          <w:tcPr>
            <w:tcW w:w="5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50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26, 2025</w:t>
            </w: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(GAAP measure)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(10,121)</w:t>
            </w: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transition, net of taxes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r>
      <w:tr>
        <w:trPr>
          <w:trHeight w:val="27"/>
        </w:trPr>
        <w:tc>
          <w:tcPr>
            <w:tcW w:w="5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XDC acquisition, advisory, and legal costs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Consultant related expenses associated with business transformation</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4"/>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initiatives, net of taxes</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w:t>
            </w:r>
          </w:p>
        </w:tc>
      </w:tr>
      <w:tr>
        <w:trPr>
          <w:trHeight w:val="27"/>
        </w:trPr>
        <w:tc>
          <w:tcPr>
            <w:tcW w:w="5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affiliate loan</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15,480</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15,480</w:t>
            </w: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governance expenses, net of taxes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w:t>
            </w:r>
          </w:p>
        </w:tc>
      </w:tr>
      <w:tr>
        <w:trPr>
          <w:trHeight w:val="27"/>
        </w:trPr>
        <w:tc>
          <w:tcPr>
            <w:tcW w:w="5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7"/>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convertible note</w:t>
            </w: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80" w:type="dxa"/>
            <w:vAlign w:val="bottom"/>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22,521</w:t>
            </w:r>
          </w:p>
        </w:tc>
      </w:tr>
      <w:tr>
        <w:trPr>
          <w:trHeight w:val="25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(non-GAAP measure)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8,776</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51,925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40,107</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5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weighted-average number of common shares outstanding</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47,587</w:t>
            </w:r>
          </w:p>
        </w:tc>
      </w:tr>
      <w:tr>
        <w:trPr>
          <w:trHeight w:val="27"/>
        </w:trPr>
        <w:tc>
          <w:tcPr>
            <w:tcW w:w="5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 (GAAP measure)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diluted earnings per share (non-GAAP measure)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r>
    </w:tbl>
    <w:p>
      <w:pPr>
        <w:spacing w:after="0" w:line="346" w:lineRule="exact"/>
        <w:rPr>
          <w:sz w:val="20"/>
          <w:szCs w:val="20"/>
          <w:color w:val="auto"/>
        </w:rPr>
      </w:pPr>
    </w:p>
    <w:p>
      <w:pPr>
        <w:jc w:val="both"/>
        <w:ind w:left="340" w:hanging="332"/>
        <w:spacing w:after="0" w:line="255"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using 26% tax rate. The table above reconciles adjusted net income and adjusted EPS to the most directly comparable GAAP financial measure. In evaluating its business, Daktronics considers and uses adjusted net income and adjusted EPS as key measures of its operating performance. The terms adjusted net income and adjusted EPS are not defined under GAAP. They are not measures of net income or other GAAP figures and should not be considered alternatives to those computations. We disclose adjusted net income and adjusted EPS as non-GAAP financial measures in order to report our results exclusive of items that are non-recurring, unique, or not core to our operating business. Our definition of adjusted net income and adjusted EPS may not be comparable to similarly titled definitions used by other companies. Management believes presenting this non-GAAP financial measurement provides investors with a consistent way to analyze our performance.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Long-term Debt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504"/>
        </w:trPr>
        <w:tc>
          <w:tcPr>
            <w:tcW w:w="8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260" w:type="dxa"/>
            <w:vAlign w:val="bottom"/>
          </w:tcPr>
          <w:p>
            <w:pPr>
              <w:spacing w:after="0"/>
              <w:rPr>
                <w:sz w:val="24"/>
                <w:szCs w:val="24"/>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April 26,</w:t>
            </w:r>
          </w:p>
        </w:tc>
      </w:tr>
      <w:tr>
        <w:trPr>
          <w:trHeight w:val="238"/>
        </w:trPr>
        <w:tc>
          <w:tcPr>
            <w:tcW w:w="8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 gross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12,375</w:t>
            </w:r>
          </w:p>
        </w:tc>
      </w:tr>
      <w:tr>
        <w:trPr>
          <w:trHeight w:val="27"/>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 net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7"/>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2026-06-24T06:45:38Z</dcterms:created>
  <dcterms:modified xsi:type="dcterms:W3CDTF">2026-06-24T06:45:38Z</dcterms:modified>
</cp:coreProperties>
</file>