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151765</wp:posOffset>
            </wp:positionV>
            <wp:extent cx="727392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925" cy="37465"/>
                    </a:xfrm>
                    <a:prstGeom prst="rect">
                      <a:avLst/>
                    </a:prstGeom>
                    <a:noFill/>
                  </pic:spPr>
                </pic:pic>
              </a:graphicData>
            </a:graphic>
          </wp:anchor>
        </w:drawing>
        <w:t>UNITED STATES</w:t>
      </w:r>
    </w:p>
    <w:p>
      <w:pPr>
        <w:spacing w:after="0" w:line="220"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SECURITIES AND EXCHANGE COMMISSION</w:t>
      </w:r>
    </w:p>
    <w:p>
      <w:pPr>
        <w:spacing w:after="0" w:line="216"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7392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3925" cy="209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FORM 10-Q</w:t>
      </w:r>
    </w:p>
    <w:p>
      <w:pPr>
        <w:spacing w:after="0" w:line="212" w:lineRule="exact"/>
        <w:rPr>
          <w:sz w:val="24"/>
          <w:szCs w:val="24"/>
          <w:color w:val="auto"/>
        </w:rPr>
      </w:pPr>
    </w:p>
    <w:p>
      <w:pPr>
        <w:ind w:left="1040"/>
        <w:spacing w:after="0"/>
        <w:rPr>
          <w:sz w:val="20"/>
          <w:szCs w:val="20"/>
          <w:color w:val="auto"/>
        </w:rPr>
      </w:pPr>
      <w:r>
        <w:rPr>
          <w:rFonts w:ascii="Arial" w:cs="Arial" w:eastAsia="Arial" w:hAnsi="Arial"/>
          <w:sz w:val="17"/>
          <w:szCs w:val="17"/>
          <w:b w:val="1"/>
          <w:bCs w:val="1"/>
          <w:color w:val="auto"/>
        </w:rPr>
        <w:t>(Mark One)</w:t>
      </w:r>
    </w:p>
    <w:p>
      <w:pPr>
        <w:spacing w:after="0" w:line="267"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[X] QUARTERLY REPORT PURSUANT TO SECTION 13 OR 15(d) OF THE SECURITIES</w:t>
      </w:r>
    </w:p>
    <w:p>
      <w:pPr>
        <w:spacing w:after="0" w:line="200" w:lineRule="exact"/>
        <w:rPr>
          <w:sz w:val="24"/>
          <w:szCs w:val="24"/>
          <w:color w:val="auto"/>
        </w:rPr>
      </w:pPr>
    </w:p>
    <w:p>
      <w:pPr>
        <w:spacing w:after="0" w:line="284"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EXCHANGE ACT OF 1934</w:t>
      </w:r>
    </w:p>
    <w:p>
      <w:pPr>
        <w:spacing w:after="0" w:line="216"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For the Quarterly Period Ended November 2, 2002</w:t>
      </w:r>
    </w:p>
    <w:p>
      <w:pPr>
        <w:spacing w:after="0" w:line="216"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OR</w:t>
      </w:r>
    </w:p>
    <w:p>
      <w:pPr>
        <w:spacing w:after="0" w:line="216"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 ] TRANSITION REPORT PURSUANT TO SECTION 13 OR 15(d) OF THE SECURITIES</w:t>
      </w:r>
    </w:p>
    <w:p>
      <w:pPr>
        <w:spacing w:after="0" w:line="200" w:lineRule="exact"/>
        <w:rPr>
          <w:sz w:val="24"/>
          <w:szCs w:val="24"/>
          <w:color w:val="auto"/>
        </w:rPr>
      </w:pPr>
    </w:p>
    <w:p>
      <w:pPr>
        <w:spacing w:after="0" w:line="284"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EXCHANGE ACT OF 1934</w:t>
      </w:r>
    </w:p>
    <w:p>
      <w:pPr>
        <w:spacing w:after="0" w:line="220" w:lineRule="exact"/>
        <w:rPr>
          <w:sz w:val="24"/>
          <w:szCs w:val="24"/>
          <w:color w:val="auto"/>
        </w:rPr>
      </w:pPr>
    </w:p>
    <w:p>
      <w:pPr>
        <w:ind w:left="4140"/>
        <w:spacing w:after="0"/>
        <w:rPr>
          <w:sz w:val="20"/>
          <w:szCs w:val="20"/>
          <w:color w:val="auto"/>
        </w:rPr>
      </w:pPr>
      <w:r>
        <w:rPr>
          <w:rFonts w:ascii="Arial" w:cs="Arial" w:eastAsia="Arial" w:hAnsi="Arial"/>
          <w:sz w:val="17"/>
          <w:szCs w:val="17"/>
          <w:b w:val="1"/>
          <w:bCs w:val="1"/>
          <w:i w:val="1"/>
          <w:iCs w:val="1"/>
          <w:color w:val="auto"/>
        </w:rPr>
        <w:t>For the Transition Period From 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7392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3925" cy="209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Commission File Number: 0-23246</w:t>
      </w:r>
    </w:p>
    <w:p>
      <w:pPr>
        <w:spacing w:after="0" w:line="212"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DAKTRONICS, INC.</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00"/>
          </w:cols>
          <w:pgMar w:left="240" w:top="487" w:right="459" w:bottom="0" w:gutter="0" w:footer="0" w:header="0"/>
        </w:sectPr>
      </w:pPr>
    </w:p>
    <w:p>
      <w:pPr>
        <w:spacing w:after="0" w:line="200" w:lineRule="exact"/>
        <w:rPr>
          <w:sz w:val="24"/>
          <w:szCs w:val="24"/>
          <w:color w:val="auto"/>
        </w:rPr>
      </w:pPr>
    </w:p>
    <w:p>
      <w:pPr>
        <w:spacing w:after="0" w:line="23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South Dakota</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(State or other jurisdiction of</w:t>
      </w:r>
    </w:p>
    <w:p>
      <w:pPr>
        <w:spacing w:after="0" w:line="22" w:lineRule="exact"/>
        <w:rPr>
          <w:sz w:val="24"/>
          <w:szCs w:val="24"/>
          <w:color w:val="auto"/>
        </w:rPr>
      </w:pPr>
    </w:p>
    <w:p>
      <w:pPr>
        <w:ind w:left="314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46-0306862</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(I.R.S. Employer</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Number)</w:t>
      </w:r>
    </w:p>
    <w:p>
      <w:pPr>
        <w:spacing w:after="0" w:line="200" w:lineRule="exact"/>
        <w:rPr>
          <w:sz w:val="24"/>
          <w:szCs w:val="24"/>
          <w:color w:val="auto"/>
        </w:rPr>
      </w:pPr>
    </w:p>
    <w:p>
      <w:pPr>
        <w:sectPr>
          <w:pgSz w:w="11900" w:h="16838" w:orient="portrait"/>
          <w:cols w:equalWidth="0" w:num="2">
            <w:col w:w="5460" w:space="720"/>
            <w:col w:w="5020"/>
          </w:cols>
          <w:pgMar w:left="240" w:top="487" w:right="459" w:bottom="0" w:gutter="0" w:footer="0" w:header="0"/>
          <w:type w:val="continuous"/>
        </w:sectPr>
      </w:pPr>
    </w:p>
    <w:p>
      <w:pPr>
        <w:spacing w:after="0" w:line="210"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331 32</w:t>
      </w:r>
      <w:r>
        <w:rPr>
          <w:rFonts w:ascii="Arial" w:cs="Arial" w:eastAsia="Arial" w:hAnsi="Arial"/>
          <w:sz w:val="27"/>
          <w:szCs w:val="27"/>
          <w:b w:val="1"/>
          <w:bCs w:val="1"/>
          <w:color w:val="auto"/>
          <w:vertAlign w:val="superscript"/>
        </w:rPr>
        <w:t>nd</w:t>
      </w:r>
      <w:r>
        <w:rPr>
          <w:rFonts w:ascii="Arial" w:cs="Arial" w:eastAsia="Arial" w:hAnsi="Arial"/>
          <w:sz w:val="17"/>
          <w:szCs w:val="17"/>
          <w:b w:val="1"/>
          <w:bCs w:val="1"/>
          <w:color w:val="auto"/>
        </w:rPr>
        <w:t xml:space="preserve"> Avenue</w:t>
      </w:r>
    </w:p>
    <w:p>
      <w:pPr>
        <w:jc w:val="center"/>
        <w:ind w:right="-239"/>
        <w:spacing w:after="0"/>
        <w:rPr>
          <w:sz w:val="20"/>
          <w:szCs w:val="20"/>
          <w:color w:val="auto"/>
        </w:rPr>
      </w:pPr>
      <w:r>
        <w:rPr>
          <w:rFonts w:ascii="Arial" w:cs="Arial" w:eastAsia="Arial" w:hAnsi="Arial"/>
          <w:sz w:val="17"/>
          <w:szCs w:val="17"/>
          <w:b w:val="1"/>
          <w:bCs w:val="1"/>
          <w:color w:val="auto"/>
        </w:rPr>
        <w:t>Brookings, SD 57006</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(Address of principal executive offices, Zip Code)</w:t>
      </w:r>
    </w:p>
    <w:p>
      <w:pPr>
        <w:spacing w:after="0" w:line="204"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(605) 697-4000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(Registrant’s telephone number, including area code)</w:t>
      </w:r>
    </w:p>
    <w:p>
      <w:pPr>
        <w:spacing w:after="0" w:line="208" w:lineRule="exact"/>
        <w:rPr>
          <w:sz w:val="24"/>
          <w:szCs w:val="24"/>
          <w:color w:val="auto"/>
        </w:rPr>
      </w:pPr>
    </w:p>
    <w:p>
      <w:pPr>
        <w:spacing w:after="0" w:line="26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0" w:lineRule="exact"/>
        <w:rPr>
          <w:sz w:val="24"/>
          <w:szCs w:val="24"/>
          <w:color w:val="auto"/>
        </w:rPr>
      </w:pPr>
    </w:p>
    <w:p>
      <w:pPr>
        <w:spacing w:after="0"/>
        <w:rPr>
          <w:sz w:val="20"/>
          <w:szCs w:val="20"/>
          <w:color w:val="auto"/>
        </w:rPr>
      </w:pPr>
      <w:r>
        <w:rPr>
          <w:rFonts w:ascii="Arial" w:cs="Arial" w:eastAsia="Arial" w:hAnsi="Arial"/>
          <w:sz w:val="17"/>
          <w:szCs w:val="17"/>
          <w:color w:val="auto"/>
        </w:rPr>
        <w:t>Yes [X] No [ ]</w:t>
      </w: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number of shares of the registrant’s common stock outstanding as of November 29, 2002 was 18,347,924.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403860</wp:posOffset>
            </wp:positionV>
            <wp:extent cx="725805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485140</wp:posOffset>
            </wp:positionV>
            <wp:extent cx="725805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gridSpan w:val="5"/>
          </w:tcPr>
          <w:p>
            <w:pPr>
              <w:jc w:val="center"/>
              <w:ind w:left="536"/>
              <w:spacing w:after="0"/>
              <w:rPr>
                <w:sz w:val="20"/>
                <w:szCs w:val="20"/>
                <w:color w:val="auto"/>
              </w:rPr>
            </w:pPr>
            <w:r>
              <w:rPr>
                <w:rFonts w:ascii="Arial" w:cs="Arial" w:eastAsia="Arial" w:hAnsi="Arial"/>
                <w:sz w:val="17"/>
                <w:szCs w:val="17"/>
                <w:b w:val="1"/>
                <w:bCs w:val="1"/>
                <w:color w:val="auto"/>
                <w:w w:val="98"/>
              </w:rPr>
              <w:t>DAKTRONICS, INC. AND SUBSIDIARIES</w:t>
            </w:r>
          </w:p>
        </w:tc>
        <w:tc>
          <w:tcPr>
            <w:tcW w:w="260" w:type="dxa"/>
            <w:vAlign w:val="bottom"/>
          </w:tcPr>
          <w:p>
            <w:pPr>
              <w:spacing w:after="0"/>
              <w:rPr>
                <w:sz w:val="18"/>
                <w:szCs w:val="18"/>
                <w:color w:val="auto"/>
              </w:rPr>
            </w:pPr>
          </w:p>
        </w:tc>
      </w:tr>
      <w:tr>
        <w:trPr>
          <w:trHeight w:val="206"/>
        </w:trPr>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60" w:type="dxa"/>
            <w:vAlign w:val="bottom"/>
            <w:gridSpan w:val="4"/>
          </w:tcPr>
          <w:p>
            <w:pPr>
              <w:jc w:val="center"/>
              <w:ind w:right="537"/>
              <w:spacing w:after="0"/>
              <w:rPr>
                <w:sz w:val="20"/>
                <w:szCs w:val="20"/>
                <w:color w:val="auto"/>
              </w:rPr>
            </w:pPr>
            <w:r>
              <w:rPr>
                <w:rFonts w:ascii="Arial" w:cs="Arial" w:eastAsia="Arial" w:hAnsi="Arial"/>
                <w:sz w:val="17"/>
                <w:szCs w:val="17"/>
                <w:color w:val="auto"/>
                <w:w w:val="92"/>
              </w:rPr>
              <w:t>FORM 10-Q</w:t>
            </w:r>
          </w:p>
        </w:tc>
        <w:tc>
          <w:tcPr>
            <w:tcW w:w="260" w:type="dxa"/>
            <w:vAlign w:val="bottom"/>
          </w:tcPr>
          <w:p>
            <w:pPr>
              <w:spacing w:after="0"/>
              <w:rPr>
                <w:sz w:val="17"/>
                <w:szCs w:val="17"/>
                <w:color w:val="auto"/>
              </w:rPr>
            </w:pPr>
          </w:p>
        </w:tc>
      </w:tr>
      <w:tr>
        <w:trPr>
          <w:trHeight w:val="213"/>
        </w:trPr>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gridSpan w:val="5"/>
          </w:tcPr>
          <w:p>
            <w:pPr>
              <w:jc w:val="center"/>
              <w:ind w:left="556"/>
              <w:spacing w:after="0"/>
              <w:rPr>
                <w:sz w:val="20"/>
                <w:szCs w:val="20"/>
                <w:color w:val="auto"/>
              </w:rPr>
            </w:pPr>
            <w:r>
              <w:rPr>
                <w:rFonts w:ascii="Arial" w:cs="Arial" w:eastAsia="Arial" w:hAnsi="Arial"/>
                <w:sz w:val="17"/>
                <w:szCs w:val="17"/>
                <w:color w:val="auto"/>
                <w:w w:val="89"/>
              </w:rPr>
              <w:t>For the Quarterly Period Ended November 2, 2002</w:t>
            </w:r>
          </w:p>
        </w:tc>
        <w:tc>
          <w:tcPr>
            <w:tcW w:w="260" w:type="dxa"/>
            <w:vAlign w:val="bottom"/>
          </w:tcPr>
          <w:p>
            <w:pPr>
              <w:spacing w:after="0"/>
              <w:rPr>
                <w:sz w:val="18"/>
                <w:szCs w:val="18"/>
                <w:color w:val="auto"/>
              </w:rPr>
            </w:pPr>
          </w:p>
        </w:tc>
      </w:tr>
      <w:tr>
        <w:trPr>
          <w:trHeight w:val="411"/>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gridSpan w:val="4"/>
          </w:tcPr>
          <w:p>
            <w:pPr>
              <w:jc w:val="center"/>
              <w:ind w:right="537"/>
              <w:spacing w:after="0"/>
              <w:rPr>
                <w:sz w:val="20"/>
                <w:szCs w:val="20"/>
                <w:color w:val="auto"/>
              </w:rPr>
            </w:pPr>
            <w:r>
              <w:rPr>
                <w:rFonts w:ascii="Arial" w:cs="Arial" w:eastAsia="Arial" w:hAnsi="Arial"/>
                <w:sz w:val="17"/>
                <w:szCs w:val="17"/>
                <w:b w:val="1"/>
                <w:bCs w:val="1"/>
                <w:color w:val="auto"/>
                <w:w w:val="97"/>
              </w:rPr>
              <w:t>TABLE OF CONTENTS</w:t>
            </w:r>
          </w:p>
        </w:tc>
        <w:tc>
          <w:tcPr>
            <w:tcW w:w="260" w:type="dxa"/>
            <w:vAlign w:val="bottom"/>
          </w:tcPr>
          <w:p>
            <w:pPr>
              <w:spacing w:after="0"/>
              <w:rPr>
                <w:sz w:val="24"/>
                <w:szCs w:val="24"/>
                <w:color w:val="auto"/>
              </w:rPr>
            </w:pPr>
          </w:p>
        </w:tc>
      </w:tr>
      <w:tr>
        <w:trPr>
          <w:trHeight w:val="426"/>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1"/>
                <w:szCs w:val="21"/>
                <w:b w:val="1"/>
                <w:bCs w:val="1"/>
                <w:color w:val="auto"/>
              </w:rPr>
              <w:t>Page</w:t>
            </w:r>
          </w:p>
        </w:tc>
      </w:tr>
      <w:tr>
        <w:trPr>
          <w:trHeight w:val="180"/>
        </w:trPr>
        <w:tc>
          <w:tcPr>
            <w:tcW w:w="7460" w:type="dxa"/>
            <w:vAlign w:val="bottom"/>
            <w:gridSpan w:val="14"/>
          </w:tcPr>
          <w:p>
            <w:pPr>
              <w:spacing w:after="0" w:line="180" w:lineRule="exact"/>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PART I. FINANCIAL INFORMATION</w:t>
              </w:r>
            </w:hyperlink>
          </w:p>
        </w:tc>
        <w:tc>
          <w:tcPr>
            <w:tcW w:w="260" w:type="dxa"/>
            <w:vAlign w:val="bottom"/>
          </w:tcPr>
          <w:p>
            <w:pPr>
              <w:spacing w:after="0"/>
              <w:rPr>
                <w:sz w:val="15"/>
                <w:szCs w:val="15"/>
                <w:color w:val="auto"/>
              </w:rPr>
            </w:pPr>
          </w:p>
        </w:tc>
      </w:tr>
      <w:tr>
        <w:trPr>
          <w:trHeight w:val="186"/>
        </w:trPr>
        <w:tc>
          <w:tcPr>
            <w:tcW w:w="80" w:type="dxa"/>
            <w:vAlign w:val="bottom"/>
            <w:tcBorders>
              <w:top w:val="single" w:sz="8" w:color="0000EE"/>
            </w:tcBorders>
          </w:tcPr>
          <w:p>
            <w:pPr>
              <w:spacing w:after="0"/>
              <w:rPr>
                <w:sz w:val="16"/>
                <w:szCs w:val="16"/>
                <w:color w:val="auto"/>
              </w:rPr>
            </w:pPr>
          </w:p>
        </w:tc>
        <w:tc>
          <w:tcPr>
            <w:tcW w:w="50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92"/>
              </w:rPr>
            </w:pPr>
            <w:hyperlink w:anchor="page2">
              <w:r>
                <w:rPr>
                  <w:rFonts w:ascii="Arial" w:cs="Arial" w:eastAsia="Arial" w:hAnsi="Arial"/>
                  <w:sz w:val="17"/>
                  <w:szCs w:val="17"/>
                  <w:color w:val="0000EE"/>
                  <w:w w:val="92"/>
                </w:rPr>
                <w:t>Item 1.</w:t>
              </w:r>
            </w:hyperlink>
          </w:p>
        </w:tc>
        <w:tc>
          <w:tcPr>
            <w:tcW w:w="1420" w:type="dxa"/>
            <w:vAlign w:val="bottom"/>
            <w:tcBorders>
              <w:top w:val="single" w:sz="8" w:color="0000EE"/>
              <w:bottom w:val="single" w:sz="8" w:color="0000EE"/>
            </w:tcBorders>
          </w:tcPr>
          <w:p>
            <w:pPr>
              <w:ind w:left="20"/>
              <w:spacing w:after="0" w:line="185" w:lineRule="exact"/>
              <w:rPr>
                <w:rFonts w:ascii="Arial" w:cs="Arial" w:eastAsia="Arial" w:hAnsi="Arial"/>
                <w:sz w:val="17"/>
                <w:szCs w:val="17"/>
                <w:color w:val="0000EE"/>
                <w:w w:val="86"/>
              </w:rPr>
            </w:pPr>
            <w:hyperlink w:anchor="page2">
              <w:r>
                <w:rPr>
                  <w:rFonts w:ascii="Arial" w:cs="Arial" w:eastAsia="Arial" w:hAnsi="Arial"/>
                  <w:sz w:val="17"/>
                  <w:szCs w:val="17"/>
                  <w:color w:val="0000EE"/>
                  <w:w w:val="86"/>
                </w:rPr>
                <w:t>Financial Statements</w:t>
              </w:r>
            </w:hyperlink>
          </w:p>
        </w:tc>
        <w:tc>
          <w:tcPr>
            <w:tcW w:w="840" w:type="dxa"/>
            <w:vAlign w:val="bottom"/>
            <w:tcBorders>
              <w:top w:val="single" w:sz="8" w:color="0000EE"/>
            </w:tcBorders>
            <w:gridSpan w:val="3"/>
          </w:tcPr>
          <w:p>
            <w:pPr>
              <w:spacing w:after="0"/>
              <w:rPr>
                <w:sz w:val="16"/>
                <w:szCs w:val="16"/>
                <w:color w:val="auto"/>
              </w:rPr>
            </w:pPr>
          </w:p>
        </w:tc>
        <w:tc>
          <w:tcPr>
            <w:tcW w:w="4620" w:type="dxa"/>
            <w:vAlign w:val="bottom"/>
            <w:gridSpan w:val="7"/>
          </w:tcPr>
          <w:p>
            <w:pPr>
              <w:spacing w:after="0"/>
              <w:rPr>
                <w:sz w:val="16"/>
                <w:szCs w:val="16"/>
                <w:color w:val="auto"/>
              </w:rPr>
            </w:pPr>
          </w:p>
        </w:tc>
        <w:tc>
          <w:tcPr>
            <w:tcW w:w="260" w:type="dxa"/>
            <w:vAlign w:val="bottom"/>
          </w:tcPr>
          <w:p>
            <w:pPr>
              <w:spacing w:after="0"/>
              <w:rPr>
                <w:sz w:val="16"/>
                <w:szCs w:val="16"/>
                <w:color w:val="auto"/>
              </w:rPr>
            </w:pPr>
          </w:p>
        </w:tc>
      </w:tr>
      <w:tr>
        <w:trPr>
          <w:trHeight w:val="186"/>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300" w:type="dxa"/>
            <w:vAlign w:val="bottom"/>
            <w:gridSpan w:val="12"/>
          </w:tcPr>
          <w:p>
            <w:pPr>
              <w:spacing w:after="0" w:line="185" w:lineRule="exact"/>
              <w:rPr>
                <w:rFonts w:ascii="Arial" w:cs="Arial" w:eastAsia="Arial" w:hAnsi="Arial"/>
                <w:sz w:val="17"/>
                <w:szCs w:val="17"/>
                <w:color w:val="0000EE"/>
              </w:rPr>
            </w:pPr>
            <w:hyperlink w:anchor="page2">
              <w:r>
                <w:rPr>
                  <w:rFonts w:ascii="Arial" w:cs="Arial" w:eastAsia="Arial" w:hAnsi="Arial"/>
                  <w:sz w:val="17"/>
                  <w:szCs w:val="17"/>
                  <w:color w:val="0000EE"/>
                </w:rPr>
                <w:t>CONSOLIDATED BALANCE SHEETS as of November 2, 2002 and April 27, 2002</w:t>
              </w:r>
            </w:hyperlink>
          </w:p>
        </w:tc>
        <w:tc>
          <w:tcPr>
            <w:tcW w:w="260" w:type="dxa"/>
            <w:vAlign w:val="bottom"/>
          </w:tcPr>
          <w:p>
            <w:pPr>
              <w:jc w:val="right"/>
              <w:spacing w:after="0" w:line="185" w:lineRule="exact"/>
              <w:rPr>
                <w:sz w:val="20"/>
                <w:szCs w:val="20"/>
                <w:color w:val="auto"/>
              </w:rPr>
            </w:pPr>
            <w:r>
              <w:rPr>
                <w:rFonts w:ascii="Arial" w:cs="Arial" w:eastAsia="Arial" w:hAnsi="Arial"/>
                <w:sz w:val="17"/>
                <w:szCs w:val="17"/>
                <w:color w:val="auto"/>
              </w:rPr>
              <w:t>4</w:t>
            </w:r>
          </w:p>
        </w:tc>
      </w:tr>
      <w:tr>
        <w:trPr>
          <w:trHeight w:val="186"/>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20" w:type="dxa"/>
            <w:vAlign w:val="bottom"/>
            <w:tcBorders>
              <w:top w:val="single" w:sz="8" w:color="0000EE"/>
              <w:bottom w:val="single" w:sz="8" w:color="0000EE"/>
            </w:tcBorders>
            <w:gridSpan w:val="10"/>
          </w:tcPr>
          <w:p>
            <w:pPr>
              <w:spacing w:after="0" w:line="185" w:lineRule="exact"/>
              <w:rPr>
                <w:rFonts w:ascii="Arial" w:cs="Arial" w:eastAsia="Arial" w:hAnsi="Arial"/>
                <w:sz w:val="17"/>
                <w:szCs w:val="17"/>
                <w:color w:val="0000EE"/>
                <w:w w:val="91"/>
              </w:rPr>
            </w:pPr>
            <w:hyperlink w:anchor="page4">
              <w:r>
                <w:rPr>
                  <w:rFonts w:ascii="Arial" w:cs="Arial" w:eastAsia="Arial" w:hAnsi="Arial"/>
                  <w:sz w:val="17"/>
                  <w:szCs w:val="17"/>
                  <w:color w:val="0000EE"/>
                  <w:w w:val="91"/>
                </w:rPr>
                <w:t>CONSOLIDATED STATEMENTS OF INCOME for the three and six months ended</w:t>
              </w:r>
            </w:hyperlink>
          </w:p>
        </w:tc>
        <w:tc>
          <w:tcPr>
            <w:tcW w:w="15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r>
      <w:tr>
        <w:trPr>
          <w:trHeight w:val="186"/>
        </w:trPr>
        <w:tc>
          <w:tcPr>
            <w:tcW w:w="80" w:type="dxa"/>
            <w:vAlign w:val="bottom"/>
            <w:tcBorders>
              <w:bottom w:val="single" w:sz="8" w:color="0000EE"/>
            </w:tcBorders>
          </w:tcPr>
          <w:p>
            <w:pPr>
              <w:spacing w:after="0"/>
              <w:rPr>
                <w:sz w:val="16"/>
                <w:szCs w:val="16"/>
                <w:color w:val="auto"/>
              </w:rPr>
            </w:pPr>
          </w:p>
        </w:tc>
        <w:tc>
          <w:tcPr>
            <w:tcW w:w="80" w:type="dxa"/>
            <w:vAlign w:val="bottom"/>
            <w:tcBorders>
              <w:bottom w:val="single" w:sz="8" w:color="0000EE"/>
            </w:tcBorders>
          </w:tcPr>
          <w:p>
            <w:pPr>
              <w:spacing w:after="0"/>
              <w:rPr>
                <w:sz w:val="16"/>
                <w:szCs w:val="16"/>
                <w:color w:val="auto"/>
              </w:rPr>
            </w:pPr>
          </w:p>
        </w:tc>
        <w:tc>
          <w:tcPr>
            <w:tcW w:w="2920" w:type="dxa"/>
            <w:vAlign w:val="bottom"/>
            <w:tcBorders>
              <w:bottom w:val="single" w:sz="8" w:color="0000EE"/>
            </w:tcBorders>
            <w:gridSpan w:val="6"/>
          </w:tcPr>
          <w:p>
            <w:pPr>
              <w:ind w:left="180"/>
              <w:spacing w:after="0" w:line="185" w:lineRule="exact"/>
              <w:rPr>
                <w:rFonts w:ascii="Arial" w:cs="Arial" w:eastAsia="Arial" w:hAnsi="Arial"/>
                <w:sz w:val="17"/>
                <w:szCs w:val="17"/>
                <w:color w:val="0000EE"/>
                <w:w w:val="88"/>
              </w:rPr>
            </w:pPr>
            <w:hyperlink w:anchor="page4">
              <w:r>
                <w:rPr>
                  <w:rFonts w:ascii="Arial" w:cs="Arial" w:eastAsia="Arial" w:hAnsi="Arial"/>
                  <w:sz w:val="17"/>
                  <w:szCs w:val="17"/>
                  <w:color w:val="0000EE"/>
                  <w:w w:val="88"/>
                </w:rPr>
                <w:t>November 2, 2002 and October 27, 2001</w:t>
              </w:r>
            </w:hyperlink>
          </w:p>
        </w:tc>
        <w:tc>
          <w:tcPr>
            <w:tcW w:w="4380" w:type="dxa"/>
            <w:vAlign w:val="bottom"/>
            <w:gridSpan w:val="6"/>
          </w:tcPr>
          <w:p>
            <w:pPr>
              <w:spacing w:after="0"/>
              <w:rPr>
                <w:sz w:val="16"/>
                <w:szCs w:val="16"/>
                <w:color w:val="auto"/>
              </w:rPr>
            </w:pPr>
          </w:p>
        </w:tc>
        <w:tc>
          <w:tcPr>
            <w:tcW w:w="260" w:type="dxa"/>
            <w:vAlign w:val="bottom"/>
          </w:tcPr>
          <w:p>
            <w:pPr>
              <w:jc w:val="right"/>
              <w:spacing w:after="0" w:line="185" w:lineRule="exact"/>
              <w:rPr>
                <w:sz w:val="20"/>
                <w:szCs w:val="20"/>
                <w:color w:val="auto"/>
              </w:rPr>
            </w:pPr>
            <w:r>
              <w:rPr>
                <w:rFonts w:ascii="Arial" w:cs="Arial" w:eastAsia="Arial" w:hAnsi="Arial"/>
                <w:sz w:val="17"/>
                <w:szCs w:val="17"/>
                <w:color w:val="auto"/>
              </w:rPr>
              <w:t>6</w:t>
            </w:r>
          </w:p>
        </w:tc>
      </w:tr>
      <w:tr>
        <w:trPr>
          <w:trHeight w:val="186"/>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60" w:type="dxa"/>
            <w:vAlign w:val="bottom"/>
            <w:tcBorders>
              <w:bottom w:val="single" w:sz="8" w:color="0000EE"/>
            </w:tcBorders>
            <w:gridSpan w:val="9"/>
          </w:tcPr>
          <w:p>
            <w:pPr>
              <w:spacing w:after="0" w:line="185" w:lineRule="exact"/>
              <w:rPr>
                <w:rFonts w:ascii="Arial" w:cs="Arial" w:eastAsia="Arial" w:hAnsi="Arial"/>
                <w:sz w:val="17"/>
                <w:szCs w:val="17"/>
                <w:color w:val="0000EE"/>
                <w:w w:val="92"/>
              </w:rPr>
            </w:pPr>
            <w:hyperlink w:anchor="page4">
              <w:r>
                <w:rPr>
                  <w:rFonts w:ascii="Arial" w:cs="Arial" w:eastAsia="Arial" w:hAnsi="Arial"/>
                  <w:sz w:val="17"/>
                  <w:szCs w:val="17"/>
                  <w:color w:val="0000EE"/>
                  <w:w w:val="92"/>
                </w:rPr>
                <w:t>CONSOLIDATED STATEMENTS OF CASH FLOWS for the six months ended</w:t>
              </w:r>
            </w:hyperlink>
          </w:p>
        </w:tc>
        <w:tc>
          <w:tcPr>
            <w:tcW w:w="1840" w:type="dxa"/>
            <w:vAlign w:val="bottom"/>
            <w:gridSpan w:val="3"/>
          </w:tcPr>
          <w:p>
            <w:pPr>
              <w:spacing w:after="0"/>
              <w:rPr>
                <w:sz w:val="16"/>
                <w:szCs w:val="16"/>
                <w:color w:val="auto"/>
              </w:rPr>
            </w:pPr>
          </w:p>
        </w:tc>
        <w:tc>
          <w:tcPr>
            <w:tcW w:w="260" w:type="dxa"/>
            <w:vAlign w:val="bottom"/>
          </w:tcPr>
          <w:p>
            <w:pPr>
              <w:spacing w:after="0"/>
              <w:rPr>
                <w:sz w:val="16"/>
                <w:szCs w:val="16"/>
                <w:color w:val="auto"/>
              </w:rPr>
            </w:pPr>
          </w:p>
        </w:tc>
      </w:tr>
      <w:tr>
        <w:trPr>
          <w:trHeight w:val="186"/>
        </w:trPr>
        <w:tc>
          <w:tcPr>
            <w:tcW w:w="80" w:type="dxa"/>
            <w:vAlign w:val="bottom"/>
            <w:tcBorders>
              <w:bottom w:val="single" w:sz="8" w:color="0000EE"/>
            </w:tcBorders>
          </w:tcPr>
          <w:p>
            <w:pPr>
              <w:spacing w:after="0"/>
              <w:rPr>
                <w:sz w:val="16"/>
                <w:szCs w:val="16"/>
                <w:color w:val="auto"/>
              </w:rPr>
            </w:pPr>
          </w:p>
        </w:tc>
        <w:tc>
          <w:tcPr>
            <w:tcW w:w="80" w:type="dxa"/>
            <w:vAlign w:val="bottom"/>
            <w:tcBorders>
              <w:bottom w:val="single" w:sz="8" w:color="0000EE"/>
            </w:tcBorders>
          </w:tcPr>
          <w:p>
            <w:pPr>
              <w:spacing w:after="0"/>
              <w:rPr>
                <w:sz w:val="16"/>
                <w:szCs w:val="16"/>
                <w:color w:val="auto"/>
              </w:rPr>
            </w:pPr>
          </w:p>
        </w:tc>
        <w:tc>
          <w:tcPr>
            <w:tcW w:w="2920" w:type="dxa"/>
            <w:vAlign w:val="bottom"/>
            <w:tcBorders>
              <w:bottom w:val="single" w:sz="8" w:color="0000EE"/>
            </w:tcBorders>
            <w:gridSpan w:val="6"/>
          </w:tcPr>
          <w:p>
            <w:pPr>
              <w:ind w:left="180"/>
              <w:spacing w:after="0" w:line="185" w:lineRule="exact"/>
              <w:rPr>
                <w:rFonts w:ascii="Arial" w:cs="Arial" w:eastAsia="Arial" w:hAnsi="Arial"/>
                <w:sz w:val="17"/>
                <w:szCs w:val="17"/>
                <w:color w:val="0000EE"/>
                <w:w w:val="88"/>
              </w:rPr>
            </w:pPr>
            <w:hyperlink w:anchor="page4">
              <w:r>
                <w:rPr>
                  <w:rFonts w:ascii="Arial" w:cs="Arial" w:eastAsia="Arial" w:hAnsi="Arial"/>
                  <w:sz w:val="17"/>
                  <w:szCs w:val="17"/>
                  <w:color w:val="0000EE"/>
                  <w:w w:val="88"/>
                </w:rPr>
                <w:t>November 2, 2002 and October 27, 2001</w:t>
              </w:r>
            </w:hyperlink>
          </w:p>
        </w:tc>
        <w:tc>
          <w:tcPr>
            <w:tcW w:w="4380" w:type="dxa"/>
            <w:vAlign w:val="bottom"/>
            <w:gridSpan w:val="6"/>
          </w:tcPr>
          <w:p>
            <w:pPr>
              <w:spacing w:after="0"/>
              <w:rPr>
                <w:sz w:val="16"/>
                <w:szCs w:val="16"/>
                <w:color w:val="auto"/>
              </w:rPr>
            </w:pPr>
          </w:p>
        </w:tc>
        <w:tc>
          <w:tcPr>
            <w:tcW w:w="260" w:type="dxa"/>
            <w:vAlign w:val="bottom"/>
          </w:tcPr>
          <w:p>
            <w:pPr>
              <w:jc w:val="right"/>
              <w:spacing w:after="0" w:line="185" w:lineRule="exact"/>
              <w:rPr>
                <w:sz w:val="20"/>
                <w:szCs w:val="20"/>
                <w:color w:val="auto"/>
              </w:rPr>
            </w:pPr>
            <w:r>
              <w:rPr>
                <w:rFonts w:ascii="Arial" w:cs="Arial" w:eastAsia="Arial" w:hAnsi="Arial"/>
                <w:sz w:val="17"/>
                <w:szCs w:val="17"/>
                <w:color w:val="auto"/>
              </w:rPr>
              <w:t>7</w:t>
            </w:r>
          </w:p>
        </w:tc>
      </w:tr>
      <w:tr>
        <w:trPr>
          <w:trHeight w:val="186"/>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tcBorders>
              <w:bottom w:val="single" w:sz="8" w:color="0000EE"/>
            </w:tcBorders>
            <w:gridSpan w:val="7"/>
          </w:tcPr>
          <w:p>
            <w:pPr>
              <w:spacing w:after="0" w:line="185" w:lineRule="exact"/>
              <w:rPr>
                <w:rFonts w:ascii="Arial" w:cs="Arial" w:eastAsia="Arial" w:hAnsi="Arial"/>
                <w:sz w:val="17"/>
                <w:szCs w:val="17"/>
                <w:color w:val="0000EE"/>
                <w:w w:val="87"/>
              </w:rPr>
            </w:pPr>
            <w:hyperlink w:anchor="page5">
              <w:r>
                <w:rPr>
                  <w:rFonts w:ascii="Arial" w:cs="Arial" w:eastAsia="Arial" w:hAnsi="Arial"/>
                  <w:sz w:val="17"/>
                  <w:szCs w:val="17"/>
                  <w:color w:val="0000EE"/>
                  <w:w w:val="87"/>
                </w:rPr>
                <w:t>Notes to the Consolidated Financial Statements</w:t>
              </w:r>
            </w:hyperlink>
          </w:p>
        </w:tc>
        <w:tc>
          <w:tcPr>
            <w:tcW w:w="4120" w:type="dxa"/>
            <w:vAlign w:val="bottom"/>
            <w:gridSpan w:val="5"/>
          </w:tcPr>
          <w:p>
            <w:pPr>
              <w:spacing w:after="0"/>
              <w:rPr>
                <w:sz w:val="16"/>
                <w:szCs w:val="16"/>
                <w:color w:val="auto"/>
              </w:rPr>
            </w:pPr>
          </w:p>
        </w:tc>
        <w:tc>
          <w:tcPr>
            <w:tcW w:w="260" w:type="dxa"/>
            <w:vAlign w:val="bottom"/>
          </w:tcPr>
          <w:p>
            <w:pPr>
              <w:jc w:val="right"/>
              <w:spacing w:after="0" w:line="185" w:lineRule="exact"/>
              <w:rPr>
                <w:sz w:val="20"/>
                <w:szCs w:val="20"/>
                <w:color w:val="auto"/>
              </w:rPr>
            </w:pPr>
            <w:r>
              <w:rPr>
                <w:rFonts w:ascii="Arial" w:cs="Arial" w:eastAsia="Arial" w:hAnsi="Arial"/>
                <w:sz w:val="17"/>
                <w:szCs w:val="17"/>
                <w:color w:val="auto"/>
              </w:rPr>
              <w:t>8</w:t>
            </w:r>
          </w:p>
        </w:tc>
      </w:tr>
      <w:tr>
        <w:trPr>
          <w:trHeight w:val="186"/>
        </w:trPr>
        <w:tc>
          <w:tcPr>
            <w:tcW w:w="80" w:type="dxa"/>
            <w:vAlign w:val="bottom"/>
          </w:tcPr>
          <w:p>
            <w:pPr>
              <w:spacing w:after="0"/>
              <w:rPr>
                <w:sz w:val="16"/>
                <w:szCs w:val="16"/>
                <w:color w:val="auto"/>
              </w:rPr>
            </w:pPr>
          </w:p>
        </w:tc>
        <w:tc>
          <w:tcPr>
            <w:tcW w:w="500" w:type="dxa"/>
            <w:vAlign w:val="bottom"/>
            <w:tcBorders>
              <w:bottom w:val="single" w:sz="8" w:color="0000EE"/>
            </w:tcBorders>
            <w:gridSpan w:val="2"/>
          </w:tcPr>
          <w:p>
            <w:pPr>
              <w:spacing w:after="0" w:line="185" w:lineRule="exact"/>
              <w:rPr>
                <w:rFonts w:ascii="Arial" w:cs="Arial" w:eastAsia="Arial" w:hAnsi="Arial"/>
                <w:sz w:val="17"/>
                <w:szCs w:val="17"/>
                <w:color w:val="0000EE"/>
                <w:w w:val="92"/>
              </w:rPr>
            </w:pPr>
            <w:hyperlink w:anchor="page11">
              <w:r>
                <w:rPr>
                  <w:rFonts w:ascii="Arial" w:cs="Arial" w:eastAsia="Arial" w:hAnsi="Arial"/>
                  <w:sz w:val="17"/>
                  <w:szCs w:val="17"/>
                  <w:color w:val="0000EE"/>
                  <w:w w:val="92"/>
                </w:rPr>
                <w:t>Item 2.</w:t>
              </w:r>
            </w:hyperlink>
          </w:p>
        </w:tc>
        <w:tc>
          <w:tcPr>
            <w:tcW w:w="6000" w:type="dxa"/>
            <w:vAlign w:val="bottom"/>
            <w:tcBorders>
              <w:bottom w:val="single" w:sz="8" w:color="0000EE"/>
            </w:tcBorders>
            <w:gridSpan w:val="10"/>
          </w:tcPr>
          <w:p>
            <w:pPr>
              <w:ind w:left="20"/>
              <w:spacing w:after="0" w:line="185" w:lineRule="exact"/>
              <w:rPr>
                <w:rFonts w:ascii="Arial" w:cs="Arial" w:eastAsia="Arial" w:hAnsi="Arial"/>
                <w:sz w:val="17"/>
                <w:szCs w:val="17"/>
                <w:color w:val="0000EE"/>
                <w:w w:val="89"/>
              </w:rPr>
            </w:pPr>
            <w:hyperlink w:anchor="page11">
              <w:r>
                <w:rPr>
                  <w:rFonts w:ascii="Arial" w:cs="Arial" w:eastAsia="Arial" w:hAnsi="Arial"/>
                  <w:sz w:val="17"/>
                  <w:szCs w:val="17"/>
                  <w:color w:val="0000EE"/>
                  <w:w w:val="89"/>
                </w:rPr>
                <w:t>Management's Discussion and Analysis of Financial Condition and Results of Operations</w:t>
              </w:r>
            </w:hyperlink>
          </w:p>
        </w:tc>
        <w:tc>
          <w:tcPr>
            <w:tcW w:w="880" w:type="dxa"/>
            <w:vAlign w:val="bottom"/>
          </w:tcPr>
          <w:p>
            <w:pPr>
              <w:spacing w:after="0"/>
              <w:rPr>
                <w:sz w:val="16"/>
                <w:szCs w:val="16"/>
                <w:color w:val="auto"/>
              </w:rPr>
            </w:pPr>
          </w:p>
        </w:tc>
        <w:tc>
          <w:tcPr>
            <w:tcW w:w="260" w:type="dxa"/>
            <w:vAlign w:val="bottom"/>
          </w:tcPr>
          <w:p>
            <w:pPr>
              <w:jc w:val="right"/>
              <w:spacing w:after="0" w:line="185" w:lineRule="exact"/>
              <w:rPr>
                <w:sz w:val="20"/>
                <w:szCs w:val="20"/>
                <w:color w:val="auto"/>
              </w:rPr>
            </w:pPr>
            <w:r>
              <w:rPr>
                <w:rFonts w:ascii="Arial" w:cs="Arial" w:eastAsia="Arial" w:hAnsi="Arial"/>
                <w:sz w:val="17"/>
                <w:szCs w:val="17"/>
                <w:color w:val="auto"/>
              </w:rPr>
              <w:t>12</w:t>
            </w:r>
          </w:p>
        </w:tc>
      </w:tr>
      <w:tr>
        <w:trPr>
          <w:trHeight w:val="186"/>
        </w:trPr>
        <w:tc>
          <w:tcPr>
            <w:tcW w:w="80" w:type="dxa"/>
            <w:vAlign w:val="bottom"/>
          </w:tcPr>
          <w:p>
            <w:pPr>
              <w:spacing w:after="0"/>
              <w:rPr>
                <w:sz w:val="16"/>
                <w:szCs w:val="16"/>
                <w:color w:val="auto"/>
              </w:rPr>
            </w:pPr>
          </w:p>
        </w:tc>
        <w:tc>
          <w:tcPr>
            <w:tcW w:w="500" w:type="dxa"/>
            <w:vAlign w:val="bottom"/>
            <w:gridSpan w:val="2"/>
          </w:tcPr>
          <w:p>
            <w:pPr>
              <w:spacing w:after="0" w:line="185" w:lineRule="exact"/>
              <w:rPr>
                <w:rFonts w:ascii="Arial" w:cs="Arial" w:eastAsia="Arial" w:hAnsi="Arial"/>
                <w:sz w:val="17"/>
                <w:szCs w:val="17"/>
                <w:color w:val="0000EE"/>
                <w:w w:val="92"/>
              </w:rPr>
            </w:pPr>
            <w:hyperlink w:anchor="page18">
              <w:r>
                <w:rPr>
                  <w:rFonts w:ascii="Arial" w:cs="Arial" w:eastAsia="Arial" w:hAnsi="Arial"/>
                  <w:sz w:val="17"/>
                  <w:szCs w:val="17"/>
                  <w:color w:val="0000EE"/>
                  <w:w w:val="92"/>
                </w:rPr>
                <w:t>Item 3.</w:t>
              </w:r>
            </w:hyperlink>
          </w:p>
        </w:tc>
        <w:tc>
          <w:tcPr>
            <w:tcW w:w="6880" w:type="dxa"/>
            <w:vAlign w:val="bottom"/>
            <w:gridSpan w:val="11"/>
          </w:tcPr>
          <w:p>
            <w:pPr>
              <w:ind w:left="20"/>
              <w:spacing w:after="0" w:line="185" w:lineRule="exact"/>
              <w:rPr>
                <w:rFonts w:ascii="Arial" w:cs="Arial" w:eastAsia="Arial" w:hAnsi="Arial"/>
                <w:sz w:val="17"/>
                <w:szCs w:val="17"/>
                <w:color w:val="0000EE"/>
              </w:rPr>
            </w:pPr>
            <w:hyperlink w:anchor="page18">
              <w:r>
                <w:rPr>
                  <w:rFonts w:ascii="Arial" w:cs="Arial" w:eastAsia="Arial" w:hAnsi="Arial"/>
                  <w:sz w:val="17"/>
                  <w:szCs w:val="17"/>
                  <w:color w:val="0000EE"/>
                </w:rPr>
                <w:t>Quantitative and Qualitative Disclosures about Market Risk</w:t>
              </w:r>
            </w:hyperlink>
          </w:p>
        </w:tc>
        <w:tc>
          <w:tcPr>
            <w:tcW w:w="260" w:type="dxa"/>
            <w:vAlign w:val="bottom"/>
          </w:tcPr>
          <w:p>
            <w:pPr>
              <w:jc w:val="right"/>
              <w:spacing w:after="0" w:line="185" w:lineRule="exact"/>
              <w:rPr>
                <w:sz w:val="20"/>
                <w:szCs w:val="20"/>
                <w:color w:val="auto"/>
              </w:rPr>
            </w:pPr>
            <w:r>
              <w:rPr>
                <w:rFonts w:ascii="Arial" w:cs="Arial" w:eastAsia="Arial" w:hAnsi="Arial"/>
                <w:sz w:val="17"/>
                <w:szCs w:val="17"/>
                <w:color w:val="auto"/>
              </w:rPr>
              <w:t>19</w:t>
            </w:r>
          </w:p>
        </w:tc>
      </w:tr>
      <w:tr>
        <w:trPr>
          <w:trHeight w:val="20"/>
        </w:trPr>
        <w:tc>
          <w:tcPr>
            <w:tcW w:w="80" w:type="dxa"/>
            <w:vAlign w:val="bottom"/>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6"/>
        </w:trPr>
        <w:tc>
          <w:tcPr>
            <w:tcW w:w="2580" w:type="dxa"/>
            <w:vAlign w:val="bottom"/>
            <w:tcBorders>
              <w:bottom w:val="single" w:sz="8" w:color="0000EE"/>
            </w:tcBorders>
            <w:gridSpan w:val="6"/>
          </w:tcPr>
          <w:p>
            <w:pPr>
              <w:spacing w:after="0" w:line="185" w:lineRule="exact"/>
              <w:rPr>
                <w:rFonts w:ascii="Arial" w:cs="Arial" w:eastAsia="Arial" w:hAnsi="Arial"/>
                <w:sz w:val="17"/>
                <w:szCs w:val="17"/>
                <w:b w:val="1"/>
                <w:bCs w:val="1"/>
                <w:color w:val="0000EE"/>
              </w:rPr>
            </w:pPr>
            <w:hyperlink w:anchor="page20">
              <w:r>
                <w:rPr>
                  <w:rFonts w:ascii="Arial" w:cs="Arial" w:eastAsia="Arial" w:hAnsi="Arial"/>
                  <w:sz w:val="17"/>
                  <w:szCs w:val="17"/>
                  <w:b w:val="1"/>
                  <w:bCs w:val="1"/>
                  <w:color w:val="0000EE"/>
                </w:rPr>
                <w:t>PART II. OTHER INFORMATION</w:t>
              </w:r>
            </w:hyperlink>
          </w:p>
        </w:tc>
        <w:tc>
          <w:tcPr>
            <w:tcW w:w="4880" w:type="dxa"/>
            <w:vAlign w:val="bottom"/>
            <w:gridSpan w:val="8"/>
          </w:tcPr>
          <w:p>
            <w:pPr>
              <w:spacing w:after="0"/>
              <w:rPr>
                <w:sz w:val="16"/>
                <w:szCs w:val="16"/>
                <w:color w:val="auto"/>
              </w:rPr>
            </w:pPr>
          </w:p>
        </w:tc>
        <w:tc>
          <w:tcPr>
            <w:tcW w:w="260" w:type="dxa"/>
            <w:vAlign w:val="bottom"/>
          </w:tcPr>
          <w:p>
            <w:pPr>
              <w:spacing w:after="0"/>
              <w:rPr>
                <w:sz w:val="16"/>
                <w:szCs w:val="16"/>
                <w:color w:val="auto"/>
              </w:rPr>
            </w:pPr>
          </w:p>
        </w:tc>
      </w:tr>
      <w:tr>
        <w:trPr>
          <w:trHeight w:val="186"/>
        </w:trPr>
        <w:tc>
          <w:tcPr>
            <w:tcW w:w="80" w:type="dxa"/>
            <w:vAlign w:val="bottom"/>
          </w:tcPr>
          <w:p>
            <w:pPr>
              <w:spacing w:after="0"/>
              <w:rPr>
                <w:sz w:val="16"/>
                <w:szCs w:val="16"/>
                <w:color w:val="auto"/>
              </w:rPr>
            </w:pPr>
          </w:p>
        </w:tc>
        <w:tc>
          <w:tcPr>
            <w:tcW w:w="500" w:type="dxa"/>
            <w:vAlign w:val="bottom"/>
            <w:gridSpan w:val="2"/>
          </w:tcPr>
          <w:p>
            <w:pPr>
              <w:spacing w:after="0" w:line="185" w:lineRule="exact"/>
              <w:rPr>
                <w:rFonts w:ascii="Arial" w:cs="Arial" w:eastAsia="Arial" w:hAnsi="Arial"/>
                <w:sz w:val="17"/>
                <w:szCs w:val="17"/>
                <w:color w:val="0000EE"/>
                <w:w w:val="92"/>
              </w:rPr>
            </w:pPr>
            <w:hyperlink w:anchor="page20">
              <w:r>
                <w:rPr>
                  <w:rFonts w:ascii="Arial" w:cs="Arial" w:eastAsia="Arial" w:hAnsi="Arial"/>
                  <w:sz w:val="17"/>
                  <w:szCs w:val="17"/>
                  <w:color w:val="0000EE"/>
                  <w:w w:val="92"/>
                </w:rPr>
                <w:t>Item 4.</w:t>
              </w:r>
            </w:hyperlink>
          </w:p>
        </w:tc>
        <w:tc>
          <w:tcPr>
            <w:tcW w:w="6880" w:type="dxa"/>
            <w:vAlign w:val="bottom"/>
            <w:gridSpan w:val="11"/>
          </w:tcPr>
          <w:p>
            <w:pPr>
              <w:ind w:left="20"/>
              <w:spacing w:after="0" w:line="185" w:lineRule="exact"/>
              <w:rPr>
                <w:rFonts w:ascii="Arial" w:cs="Arial" w:eastAsia="Arial" w:hAnsi="Arial"/>
                <w:sz w:val="17"/>
                <w:szCs w:val="17"/>
                <w:color w:val="0000EE"/>
              </w:rPr>
            </w:pPr>
            <w:hyperlink w:anchor="page20">
              <w:r>
                <w:rPr>
                  <w:rFonts w:ascii="Arial" w:cs="Arial" w:eastAsia="Arial" w:hAnsi="Arial"/>
                  <w:sz w:val="17"/>
                  <w:szCs w:val="17"/>
                  <w:color w:val="0000EE"/>
                </w:rPr>
                <w:t>Controls and Procedures</w:t>
              </w:r>
            </w:hyperlink>
          </w:p>
        </w:tc>
        <w:tc>
          <w:tcPr>
            <w:tcW w:w="260" w:type="dxa"/>
            <w:vAlign w:val="bottom"/>
          </w:tcPr>
          <w:p>
            <w:pPr>
              <w:jc w:val="right"/>
              <w:spacing w:after="0" w:line="185" w:lineRule="exact"/>
              <w:rPr>
                <w:sz w:val="20"/>
                <w:szCs w:val="20"/>
                <w:color w:val="auto"/>
              </w:rPr>
            </w:pPr>
            <w:r>
              <w:rPr>
                <w:rFonts w:ascii="Arial" w:cs="Arial" w:eastAsia="Arial" w:hAnsi="Arial"/>
                <w:sz w:val="17"/>
                <w:szCs w:val="17"/>
                <w:color w:val="auto"/>
              </w:rPr>
              <w:t>21</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11200"/>
          </w:cols>
          <w:pgMar w:left="240" w:top="487" w:right="45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2840" w:type="dxa"/>
            <w:vAlign w:val="bottom"/>
            <w:tcBorders>
              <w:bottom w:val="single" w:sz="8" w:color="0000EE"/>
            </w:tcBorders>
            <w:gridSpan w:val="5"/>
          </w:tcPr>
          <w:p>
            <w:pPr>
              <w:spacing w:after="0"/>
              <w:rPr>
                <w:rFonts w:ascii="Arial" w:cs="Arial" w:eastAsia="Arial" w:hAnsi="Arial"/>
                <w:sz w:val="17"/>
                <w:szCs w:val="17"/>
                <w:color w:val="0000EE"/>
                <w:w w:val="90"/>
              </w:rPr>
            </w:pPr>
            <w:hyperlink w:anchor="page20">
              <w:r>
                <w:rPr>
                  <w:rFonts w:ascii="Arial" w:cs="Arial" w:eastAsia="Arial" w:hAnsi="Arial"/>
                  <w:sz w:val="17"/>
                  <w:szCs w:val="17"/>
                  <w:color w:val="0000EE"/>
                  <w:w w:val="90"/>
                </w:rPr>
                <w:t>Item 6. Exhibits and Reports on Form 8-K</w:t>
              </w:r>
            </w:hyperlink>
          </w:p>
        </w:tc>
        <w:tc>
          <w:tcPr>
            <w:tcW w:w="39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186"/>
        </w:trPr>
        <w:tc>
          <w:tcPr>
            <w:tcW w:w="1080" w:type="dxa"/>
            <w:vAlign w:val="bottom"/>
            <w:tcBorders>
              <w:bottom w:val="single" w:sz="8" w:color="0000EE"/>
            </w:tcBorders>
            <w:gridSpan w:val="5"/>
          </w:tcPr>
          <w:p>
            <w:pPr>
              <w:spacing w:after="0" w:line="185" w:lineRule="exact"/>
              <w:rPr>
                <w:rFonts w:ascii="Arial" w:cs="Arial" w:eastAsia="Arial" w:hAnsi="Arial"/>
                <w:sz w:val="17"/>
                <w:szCs w:val="17"/>
                <w:b w:val="1"/>
                <w:bCs w:val="1"/>
                <w:color w:val="0000EE"/>
                <w:w w:val="95"/>
              </w:rPr>
            </w:pPr>
            <w:hyperlink w:anchor="page21">
              <w:r>
                <w:rPr>
                  <w:rFonts w:ascii="Arial" w:cs="Arial" w:eastAsia="Arial" w:hAnsi="Arial"/>
                  <w:sz w:val="17"/>
                  <w:szCs w:val="17"/>
                  <w:b w:val="1"/>
                  <w:bCs w:val="1"/>
                  <w:color w:val="0000EE"/>
                  <w:w w:val="95"/>
                </w:rPr>
                <w:t>SIGNATURES</w:t>
              </w:r>
            </w:hyperlink>
          </w:p>
        </w:tc>
        <w:tc>
          <w:tcPr>
            <w:tcW w:w="5800" w:type="dxa"/>
            <w:vAlign w:val="bottom"/>
            <w:gridSpan w:val="2"/>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22</w:t>
            </w:r>
          </w:p>
        </w:tc>
      </w:tr>
      <w:tr>
        <w:trPr>
          <w:trHeight w:val="215"/>
        </w:trPr>
        <w:tc>
          <w:tcPr>
            <w:tcW w:w="6880" w:type="dxa"/>
            <w:vAlign w:val="bottom"/>
            <w:gridSpan w:val="7"/>
          </w:tcPr>
          <w:p>
            <w:pPr>
              <w:spacing w:after="0"/>
              <w:rPr>
                <w:sz w:val="20"/>
                <w:szCs w:val="20"/>
                <w:color w:val="auto"/>
              </w:rPr>
            </w:pPr>
            <w:r>
              <w:rPr>
                <w:rFonts w:ascii="Arial" w:cs="Arial" w:eastAsia="Arial" w:hAnsi="Arial"/>
                <w:sz w:val="17"/>
                <w:szCs w:val="17"/>
                <w:b w:val="1"/>
                <w:bCs w:val="1"/>
                <w:color w:val="auto"/>
              </w:rPr>
              <w:t>EXHIBITS</w:t>
            </w:r>
          </w:p>
        </w:tc>
        <w:tc>
          <w:tcPr>
            <w:tcW w:w="800" w:type="dxa"/>
            <w:vAlign w:val="bottom"/>
          </w:tcPr>
          <w:p>
            <w:pPr>
              <w:spacing w:after="0"/>
              <w:rPr>
                <w:sz w:val="18"/>
                <w:szCs w:val="18"/>
                <w:color w:val="auto"/>
              </w:rPr>
            </w:pPr>
          </w:p>
        </w:tc>
      </w:tr>
      <w:tr>
        <w:trPr>
          <w:trHeight w:val="176"/>
        </w:trPr>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760" w:type="dxa"/>
            <w:vAlign w:val="bottom"/>
            <w:gridSpan w:val="5"/>
          </w:tcPr>
          <w:p>
            <w:pPr>
              <w:spacing w:after="0" w:line="176" w:lineRule="exact"/>
              <w:rPr>
                <w:sz w:val="20"/>
                <w:szCs w:val="20"/>
                <w:color w:val="auto"/>
              </w:rPr>
            </w:pPr>
            <w:r>
              <w:rPr>
                <w:rFonts w:ascii="Arial" w:cs="Arial" w:eastAsia="Arial" w:hAnsi="Arial"/>
                <w:sz w:val="17"/>
                <w:szCs w:val="17"/>
                <w:color w:val="0000EE"/>
                <w:w w:val="98"/>
              </w:rPr>
              <w:t xml:space="preserve">Ex. - 10.14 </w:t>
            </w:r>
            <w:r>
              <w:rPr>
                <w:rFonts w:ascii="Arial" w:cs="Arial" w:eastAsia="Arial" w:hAnsi="Arial"/>
                <w:sz w:val="17"/>
                <w:szCs w:val="17"/>
                <w:color w:val="000000"/>
                <w:w w:val="98"/>
              </w:rPr>
              <w:t>Term note dated September 16, 2002 between First National Bank in Brookings</w:t>
            </w:r>
          </w:p>
        </w:tc>
        <w:tc>
          <w:tcPr>
            <w:tcW w:w="800" w:type="dxa"/>
            <w:vAlign w:val="bottom"/>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60" w:type="dxa"/>
            <w:vAlign w:val="bottom"/>
            <w:gridSpan w:val="5"/>
          </w:tcPr>
          <w:p>
            <w:pPr>
              <w:ind w:left="260"/>
              <w:spacing w:after="0"/>
              <w:rPr>
                <w:sz w:val="20"/>
                <w:szCs w:val="20"/>
                <w:color w:val="auto"/>
              </w:rPr>
            </w:pPr>
            <w:r>
              <w:rPr>
                <w:rFonts w:ascii="Arial" w:cs="Arial" w:eastAsia="Arial" w:hAnsi="Arial"/>
                <w:sz w:val="17"/>
                <w:szCs w:val="17"/>
                <w:color w:val="auto"/>
              </w:rPr>
              <w:t>and SportsLink, Ltd. 25</w:t>
            </w:r>
          </w:p>
        </w:tc>
        <w:tc>
          <w:tcPr>
            <w:tcW w:w="800" w:type="dxa"/>
            <w:vAlign w:val="bottom"/>
          </w:tcPr>
          <w:p>
            <w:pPr>
              <w:spacing w:after="0"/>
              <w:rPr>
                <w:sz w:val="18"/>
                <w:szCs w:val="18"/>
                <w:color w:val="auto"/>
              </w:rPr>
            </w:pPr>
          </w:p>
        </w:tc>
      </w:tr>
      <w:tr>
        <w:trPr>
          <w:trHeight w:val="176"/>
        </w:trPr>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760" w:type="dxa"/>
            <w:vAlign w:val="bottom"/>
            <w:gridSpan w:val="5"/>
          </w:tcPr>
          <w:p>
            <w:pPr>
              <w:spacing w:after="0" w:line="176" w:lineRule="exact"/>
              <w:rPr>
                <w:sz w:val="20"/>
                <w:szCs w:val="20"/>
                <w:color w:val="auto"/>
              </w:rPr>
            </w:pPr>
            <w:r>
              <w:rPr>
                <w:rFonts w:ascii="Arial" w:cs="Arial" w:eastAsia="Arial" w:hAnsi="Arial"/>
                <w:sz w:val="17"/>
                <w:szCs w:val="17"/>
                <w:color w:val="0000EE"/>
                <w:w w:val="99"/>
              </w:rPr>
              <w:t xml:space="preserve">Ex. - 99.1 </w:t>
            </w:r>
            <w:r>
              <w:rPr>
                <w:rFonts w:ascii="Arial" w:cs="Arial" w:eastAsia="Arial" w:hAnsi="Arial"/>
                <w:sz w:val="17"/>
                <w:szCs w:val="17"/>
                <w:color w:val="000000"/>
                <w:w w:val="99"/>
              </w:rPr>
              <w:t>Certificate of the Chief Executive Officer pursuant to 18 U.S.C. Section 1350, as</w:t>
            </w:r>
          </w:p>
        </w:tc>
        <w:tc>
          <w:tcPr>
            <w:tcW w:w="800" w:type="dxa"/>
            <w:vAlign w:val="bottom"/>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60" w:type="dxa"/>
            <w:vAlign w:val="bottom"/>
            <w:gridSpan w:val="5"/>
          </w:tcPr>
          <w:p>
            <w:pPr>
              <w:ind w:left="260"/>
              <w:spacing w:after="0"/>
              <w:rPr>
                <w:sz w:val="20"/>
                <w:szCs w:val="20"/>
                <w:color w:val="auto"/>
              </w:rPr>
            </w:pPr>
            <w:r>
              <w:rPr>
                <w:rFonts w:ascii="Arial" w:cs="Arial" w:eastAsia="Arial" w:hAnsi="Arial"/>
                <w:sz w:val="17"/>
                <w:szCs w:val="17"/>
                <w:color w:val="auto"/>
              </w:rPr>
              <w:t>adopted pursuant to Section 906 of the Sarbanes-Oxley Act of 2002</w:t>
            </w:r>
          </w:p>
        </w:tc>
        <w:tc>
          <w:tcPr>
            <w:tcW w:w="8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176"/>
        </w:trPr>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760" w:type="dxa"/>
            <w:vAlign w:val="bottom"/>
            <w:gridSpan w:val="5"/>
          </w:tcPr>
          <w:p>
            <w:pPr>
              <w:spacing w:after="0" w:line="176" w:lineRule="exact"/>
              <w:rPr>
                <w:sz w:val="20"/>
                <w:szCs w:val="20"/>
                <w:color w:val="auto"/>
              </w:rPr>
            </w:pPr>
            <w:r>
              <w:rPr>
                <w:rFonts w:ascii="Arial" w:cs="Arial" w:eastAsia="Arial" w:hAnsi="Arial"/>
                <w:sz w:val="17"/>
                <w:szCs w:val="17"/>
                <w:color w:val="0000EE"/>
              </w:rPr>
              <w:t xml:space="preserve">Ex. - 99.2 </w:t>
            </w:r>
            <w:r>
              <w:rPr>
                <w:rFonts w:ascii="Arial" w:cs="Arial" w:eastAsia="Arial" w:hAnsi="Arial"/>
                <w:sz w:val="17"/>
                <w:szCs w:val="17"/>
                <w:color w:val="000000"/>
              </w:rPr>
              <w:t>Certificate of the Chief Financial Officer pursuant to 18 U.S.C. Section 1350, as</w:t>
            </w:r>
          </w:p>
        </w:tc>
        <w:tc>
          <w:tcPr>
            <w:tcW w:w="800" w:type="dxa"/>
            <w:vAlign w:val="bottom"/>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60" w:type="dxa"/>
            <w:vAlign w:val="bottom"/>
            <w:gridSpan w:val="5"/>
          </w:tcPr>
          <w:p>
            <w:pPr>
              <w:ind w:left="260"/>
              <w:spacing w:after="0"/>
              <w:rPr>
                <w:sz w:val="20"/>
                <w:szCs w:val="20"/>
                <w:color w:val="auto"/>
              </w:rPr>
            </w:pPr>
            <w:r>
              <w:rPr>
                <w:rFonts w:ascii="Arial" w:cs="Arial" w:eastAsia="Arial" w:hAnsi="Arial"/>
                <w:sz w:val="17"/>
                <w:szCs w:val="17"/>
                <w:color w:val="auto"/>
              </w:rPr>
              <w:t>adopted pursuant to Section 906 of the Sarbanes-Oxley Act of 2002</w:t>
            </w:r>
          </w:p>
        </w:tc>
        <w:tc>
          <w:tcPr>
            <w:tcW w:w="800" w:type="dxa"/>
            <w:vAlign w:val="bottom"/>
          </w:tcPr>
          <w:p>
            <w:pPr>
              <w:jc w:val="right"/>
              <w:spacing w:after="0"/>
              <w:rPr>
                <w:sz w:val="20"/>
                <w:szCs w:val="20"/>
                <w:color w:val="auto"/>
              </w:rPr>
            </w:pPr>
            <w:r>
              <w:rPr>
                <w:rFonts w:ascii="Arial" w:cs="Arial" w:eastAsia="Arial" w:hAnsi="Arial"/>
                <w:sz w:val="17"/>
                <w:szCs w:val="17"/>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805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0" w:lineRule="exact"/>
        <w:rPr>
          <w:sz w:val="20"/>
          <w:szCs w:val="20"/>
          <w:color w:val="auto"/>
        </w:rPr>
      </w:pPr>
    </w:p>
    <w:p>
      <w:pPr>
        <w:ind w:firstLine="331"/>
        <w:spacing w:after="0" w:line="293" w:lineRule="auto"/>
        <w:rPr>
          <w:sz w:val="20"/>
          <w:szCs w:val="20"/>
          <w:color w:val="auto"/>
        </w:rPr>
      </w:pPr>
      <w:r>
        <w:rPr>
          <w:rFonts w:ascii="Arial" w:cs="Arial" w:eastAsia="Arial" w:hAnsi="Arial"/>
          <w:sz w:val="15"/>
          <w:szCs w:val="15"/>
          <w:color w:val="auto"/>
        </w:rPr>
        <w:t>This Quarterly Report on Form 10-Q (including exhibits and information incorporated by reference herein) contains statements which constitute forward-looking statements within the meaning of Section 27A of the Securities Act of 1933, as amended, and the Securities Exchange Act of 1934, as amended. These statements appear in a number of places in this Report and include all statements that are not historical statements of fact regarding the intent, belief or current expectations of the Company, its directors or its officers with respect to, among other things: (i) the Company’s financing plans; (ii) trends affecting the Company’s financial condition or results of operations; (iii) the Company’s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 looking statements are not guarantees of future performance and involve risks and uncertainties, many of which are beyond the Company’s ability to control, and that actual results may differ materially from those projected in the forward-looking statements as a result of various factors discussed herein and those factors discussed in detail in the Company’s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805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gridSpan w:val="8"/>
          </w:tcPr>
          <w:p>
            <w:pPr>
              <w:jc w:val="center"/>
              <w:ind w:left="3616"/>
              <w:spacing w:after="0"/>
              <w:rPr>
                <w:sz w:val="20"/>
                <w:szCs w:val="20"/>
                <w:color w:val="auto"/>
              </w:rPr>
            </w:pPr>
            <w:r>
              <w:rPr>
                <w:rFonts w:ascii="Arial" w:cs="Arial" w:eastAsia="Arial" w:hAnsi="Arial"/>
                <w:sz w:val="17"/>
                <w:szCs w:val="17"/>
                <w:b w:val="1"/>
                <w:bCs w:val="1"/>
                <w:color w:val="auto"/>
                <w:w w:val="98"/>
              </w:rPr>
              <w:t>DAKTRONICS, INC. AND SUBSIDIARIES</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3480" w:type="dxa"/>
            <w:vAlign w:val="bottom"/>
            <w:gridSpan w:val="7"/>
          </w:tcPr>
          <w:p>
            <w:pPr>
              <w:jc w:val="center"/>
              <w:ind w:right="580"/>
              <w:spacing w:after="0"/>
              <w:rPr>
                <w:sz w:val="20"/>
                <w:szCs w:val="20"/>
                <w:color w:val="auto"/>
              </w:rPr>
            </w:pPr>
            <w:r>
              <w:rPr>
                <w:rFonts w:ascii="Arial" w:cs="Arial" w:eastAsia="Arial" w:hAnsi="Arial"/>
                <w:sz w:val="17"/>
                <w:szCs w:val="17"/>
                <w:b w:val="1"/>
                <w:bCs w:val="1"/>
                <w:color w:val="auto"/>
                <w:w w:val="97"/>
              </w:rPr>
              <w:t>CONSOLIDATED BALANCE SHEETS</w:t>
            </w: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7"/>
                <w:szCs w:val="17"/>
                <w:color w:val="auto"/>
                <w:w w:val="87"/>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4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November 2,</w:t>
            </w:r>
          </w:p>
        </w:tc>
        <w:tc>
          <w:tcPr>
            <w:tcW w:w="2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April 27,</w:t>
            </w: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9"/>
              </w:rPr>
              <w:t>2002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89"/>
              </w:rPr>
              <w:t>2002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(unaudited)</w:t>
            </w:r>
          </w:p>
        </w:tc>
        <w:tc>
          <w:tcPr>
            <w:tcW w:w="2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(note 1)</w:t>
            </w:r>
          </w:p>
        </w:tc>
        <w:tc>
          <w:tcPr>
            <w:tcW w:w="0" w:type="dxa"/>
            <w:vAlign w:val="bottom"/>
          </w:tcPr>
          <w:p>
            <w:pPr>
              <w:spacing w:after="0"/>
              <w:rPr>
                <w:sz w:val="1"/>
                <w:szCs w:val="1"/>
                <w:color w:val="auto"/>
              </w:rPr>
            </w:pPr>
          </w:p>
        </w:tc>
      </w:tr>
      <w:tr>
        <w:trPr>
          <w:trHeight w:val="104"/>
        </w:trPr>
        <w:tc>
          <w:tcPr>
            <w:tcW w:w="424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2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240" w:type="dxa"/>
            <w:vAlign w:val="bottom"/>
          </w:tcPr>
          <w:p>
            <w:pPr>
              <w:spacing w:after="0"/>
              <w:rPr>
                <w:sz w:val="20"/>
                <w:szCs w:val="20"/>
                <w:color w:val="auto"/>
              </w:rPr>
            </w:pPr>
            <w:r>
              <w:rPr>
                <w:rFonts w:ascii="Arial" w:cs="Arial" w:eastAsia="Arial" w:hAnsi="Arial"/>
                <w:sz w:val="17"/>
                <w:szCs w:val="17"/>
                <w:color w:val="auto"/>
              </w:rPr>
              <w:t>CURRENT ASSETS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Cash and cash equivalents</w:t>
            </w:r>
          </w:p>
        </w:tc>
        <w:tc>
          <w:tcPr>
            <w:tcW w:w="78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8,991</w:t>
            </w:r>
          </w:p>
        </w:tc>
        <w:tc>
          <w:tcPr>
            <w:tcW w:w="220" w:type="dxa"/>
            <w:vAlign w:val="bottom"/>
            <w:shd w:val="clear" w:color="auto" w:fill="C0C0C0"/>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2,097</w:t>
            </w:r>
          </w:p>
        </w:tc>
        <w:tc>
          <w:tcPr>
            <w:tcW w:w="0" w:type="dxa"/>
            <w:vAlign w:val="bottom"/>
          </w:tcPr>
          <w:p>
            <w:pPr>
              <w:spacing w:after="0"/>
              <w:rPr>
                <w:sz w:val="1"/>
                <w:szCs w:val="1"/>
                <w:color w:val="auto"/>
              </w:rPr>
            </w:pPr>
          </w:p>
        </w:tc>
      </w:tr>
      <w:tr>
        <w:trPr>
          <w:trHeight w:val="197"/>
        </w:trPr>
        <w:tc>
          <w:tcPr>
            <w:tcW w:w="4240" w:type="dxa"/>
            <w:vAlign w:val="bottom"/>
          </w:tcPr>
          <w:p>
            <w:pPr>
              <w:ind w:left="160"/>
              <w:spacing w:after="0"/>
              <w:rPr>
                <w:sz w:val="20"/>
                <w:szCs w:val="20"/>
                <w:color w:val="auto"/>
              </w:rPr>
            </w:pPr>
            <w:r>
              <w:rPr>
                <w:rFonts w:ascii="Arial" w:cs="Arial" w:eastAsia="Arial" w:hAnsi="Arial"/>
                <w:sz w:val="17"/>
                <w:szCs w:val="17"/>
                <w:color w:val="auto"/>
                <w:w w:val="89"/>
              </w:rPr>
              <w:t>Accounts receivable, less allowance for doubtful accounts of</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40" w:type="dxa"/>
            <w:vAlign w:val="bottom"/>
          </w:tcPr>
          <w:p>
            <w:pPr>
              <w:ind w:left="380"/>
              <w:spacing w:after="0"/>
              <w:rPr>
                <w:sz w:val="20"/>
                <w:szCs w:val="20"/>
                <w:color w:val="auto"/>
              </w:rPr>
            </w:pPr>
            <w:r>
              <w:rPr>
                <w:rFonts w:ascii="Arial" w:cs="Arial" w:eastAsia="Arial" w:hAnsi="Arial"/>
                <w:sz w:val="17"/>
                <w:szCs w:val="17"/>
                <w:color w:val="auto"/>
                <w:w w:val="91"/>
              </w:rPr>
              <w:t>$656 at November 2, 2002 and $1,102 at April 27, 2002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19,410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17,878</w:t>
            </w:r>
          </w:p>
        </w:tc>
        <w:tc>
          <w:tcPr>
            <w:tcW w:w="0" w:type="dxa"/>
            <w:vAlign w:val="bottom"/>
          </w:tcPr>
          <w:p>
            <w:pPr>
              <w:spacing w:after="0"/>
              <w:rPr>
                <w:sz w:val="1"/>
                <w:szCs w:val="1"/>
                <w:color w:val="auto"/>
              </w:rPr>
            </w:pPr>
          </w:p>
        </w:tc>
      </w:tr>
      <w:tr>
        <w:trPr>
          <w:trHeight w:val="206"/>
        </w:trPr>
        <w:tc>
          <w:tcPr>
            <w:tcW w:w="42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Current maturities of long-term receivables</w:t>
            </w:r>
          </w:p>
        </w:tc>
        <w:tc>
          <w:tcPr>
            <w:tcW w:w="6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3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1,961</w:t>
            </w:r>
          </w:p>
        </w:tc>
        <w:tc>
          <w:tcPr>
            <w:tcW w:w="220" w:type="dxa"/>
            <w:vAlign w:val="bottom"/>
            <w:shd w:val="clear" w:color="auto" w:fill="C0C0C0"/>
          </w:tcPr>
          <w:p>
            <w:pPr>
              <w:spacing w:after="0"/>
              <w:rPr>
                <w:sz w:val="17"/>
                <w:szCs w:val="17"/>
                <w:color w:val="auto"/>
              </w:rPr>
            </w:pPr>
          </w:p>
        </w:tc>
        <w:tc>
          <w:tcPr>
            <w:tcW w:w="11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06"/>
        </w:trPr>
        <w:tc>
          <w:tcPr>
            <w:tcW w:w="4240" w:type="dxa"/>
            <w:vAlign w:val="bottom"/>
          </w:tcPr>
          <w:p>
            <w:pPr>
              <w:ind w:left="120"/>
              <w:spacing w:after="0"/>
              <w:rPr>
                <w:sz w:val="20"/>
                <w:szCs w:val="20"/>
                <w:color w:val="auto"/>
              </w:rPr>
            </w:pPr>
            <w:r>
              <w:rPr>
                <w:rFonts w:ascii="Arial" w:cs="Arial" w:eastAsia="Arial" w:hAnsi="Arial"/>
                <w:sz w:val="17"/>
                <w:szCs w:val="17"/>
                <w:color w:val="auto"/>
              </w:rPr>
              <w:t>Inventories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16,248</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16,472</w:t>
            </w:r>
          </w:p>
        </w:tc>
        <w:tc>
          <w:tcPr>
            <w:tcW w:w="0" w:type="dxa"/>
            <w:vAlign w:val="bottom"/>
          </w:tcPr>
          <w:p>
            <w:pPr>
              <w:spacing w:after="0"/>
              <w:rPr>
                <w:sz w:val="1"/>
                <w:szCs w:val="1"/>
                <w:color w:val="auto"/>
              </w:rPr>
            </w:pPr>
          </w:p>
        </w:tc>
      </w:tr>
      <w:tr>
        <w:trPr>
          <w:trHeight w:val="206"/>
        </w:trPr>
        <w:tc>
          <w:tcPr>
            <w:tcW w:w="42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Costs and estimated earnings in excess of billings</w:t>
            </w:r>
          </w:p>
        </w:tc>
        <w:tc>
          <w:tcPr>
            <w:tcW w:w="6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3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13,074</w:t>
            </w:r>
          </w:p>
        </w:tc>
        <w:tc>
          <w:tcPr>
            <w:tcW w:w="220" w:type="dxa"/>
            <w:vAlign w:val="bottom"/>
            <w:shd w:val="clear" w:color="auto" w:fill="C0C0C0"/>
          </w:tcPr>
          <w:p>
            <w:pPr>
              <w:spacing w:after="0"/>
              <w:rPr>
                <w:sz w:val="17"/>
                <w:szCs w:val="17"/>
                <w:color w:val="auto"/>
              </w:rPr>
            </w:pPr>
          </w:p>
        </w:tc>
        <w:tc>
          <w:tcPr>
            <w:tcW w:w="11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10,277</w:t>
            </w:r>
          </w:p>
        </w:tc>
        <w:tc>
          <w:tcPr>
            <w:tcW w:w="0" w:type="dxa"/>
            <w:vAlign w:val="bottom"/>
          </w:tcPr>
          <w:p>
            <w:pPr>
              <w:spacing w:after="0"/>
              <w:rPr>
                <w:sz w:val="1"/>
                <w:szCs w:val="1"/>
                <w:color w:val="auto"/>
              </w:rPr>
            </w:pPr>
          </w:p>
        </w:tc>
      </w:tr>
      <w:tr>
        <w:trPr>
          <w:trHeight w:val="206"/>
        </w:trPr>
        <w:tc>
          <w:tcPr>
            <w:tcW w:w="4240" w:type="dxa"/>
            <w:vAlign w:val="bottom"/>
          </w:tcPr>
          <w:p>
            <w:pPr>
              <w:ind w:left="120"/>
              <w:spacing w:after="0"/>
              <w:rPr>
                <w:sz w:val="20"/>
                <w:szCs w:val="20"/>
                <w:color w:val="auto"/>
              </w:rPr>
            </w:pPr>
            <w:r>
              <w:rPr>
                <w:rFonts w:ascii="Arial" w:cs="Arial" w:eastAsia="Arial" w:hAnsi="Arial"/>
                <w:sz w:val="17"/>
                <w:szCs w:val="17"/>
                <w:color w:val="auto"/>
              </w:rPr>
              <w:t>Prepaid expenses and other</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606</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06"/>
        </w:trPr>
        <w:tc>
          <w:tcPr>
            <w:tcW w:w="42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Deferred income taxes</w:t>
            </w:r>
          </w:p>
        </w:tc>
        <w:tc>
          <w:tcPr>
            <w:tcW w:w="6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3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2,980</w:t>
            </w:r>
          </w:p>
        </w:tc>
        <w:tc>
          <w:tcPr>
            <w:tcW w:w="220" w:type="dxa"/>
            <w:vAlign w:val="bottom"/>
            <w:shd w:val="clear" w:color="auto" w:fill="C0C0C0"/>
          </w:tcPr>
          <w:p>
            <w:pPr>
              <w:spacing w:after="0"/>
              <w:rPr>
                <w:sz w:val="17"/>
                <w:szCs w:val="17"/>
                <w:color w:val="auto"/>
              </w:rPr>
            </w:pPr>
          </w:p>
        </w:tc>
        <w:tc>
          <w:tcPr>
            <w:tcW w:w="11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2,784</w:t>
            </w:r>
          </w:p>
        </w:tc>
        <w:tc>
          <w:tcPr>
            <w:tcW w:w="0" w:type="dxa"/>
            <w:vAlign w:val="bottom"/>
          </w:tcPr>
          <w:p>
            <w:pPr>
              <w:spacing w:after="0"/>
              <w:rPr>
                <w:sz w:val="1"/>
                <w:szCs w:val="1"/>
                <w:color w:val="auto"/>
              </w:rPr>
            </w:pPr>
          </w:p>
        </w:tc>
      </w:tr>
      <w:tr>
        <w:trPr>
          <w:trHeight w:val="103"/>
        </w:trPr>
        <w:tc>
          <w:tcPr>
            <w:tcW w:w="4240" w:type="dxa"/>
            <w:vAlign w:val="bottom"/>
            <w:vMerge w:val="restart"/>
          </w:tcPr>
          <w:p>
            <w:pPr>
              <w:ind w:left="220"/>
              <w:spacing w:after="0"/>
              <w:rPr>
                <w:sz w:val="20"/>
                <w:szCs w:val="20"/>
                <w:color w:val="auto"/>
              </w:rPr>
            </w:pPr>
            <w:r>
              <w:rPr>
                <w:rFonts w:ascii="Arial" w:cs="Arial" w:eastAsia="Arial" w:hAnsi="Arial"/>
                <w:sz w:val="17"/>
                <w:szCs w:val="17"/>
                <w:b w:val="1"/>
                <w:bCs w:val="1"/>
                <w:color w:val="auto"/>
              </w:rPr>
              <w:t>Total Current Assets</w:t>
            </w: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2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63,270</w:t>
            </w:r>
          </w:p>
        </w:tc>
        <w:tc>
          <w:tcPr>
            <w:tcW w:w="2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52,547</w:t>
            </w:r>
          </w:p>
        </w:tc>
        <w:tc>
          <w:tcPr>
            <w:tcW w:w="0" w:type="dxa"/>
            <w:vAlign w:val="bottom"/>
          </w:tcPr>
          <w:p>
            <w:pPr>
              <w:spacing w:after="0"/>
              <w:rPr>
                <w:sz w:val="1"/>
                <w:szCs w:val="1"/>
                <w:color w:val="auto"/>
              </w:rPr>
            </w:pPr>
          </w:p>
        </w:tc>
      </w:tr>
      <w:tr>
        <w:trPr>
          <w:trHeight w:val="104"/>
        </w:trPr>
        <w:tc>
          <w:tcPr>
            <w:tcW w:w="4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4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Advertising rights, net</w:t>
            </w:r>
          </w:p>
        </w:tc>
        <w:tc>
          <w:tcPr>
            <w:tcW w:w="6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3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415</w:t>
            </w:r>
          </w:p>
        </w:tc>
        <w:tc>
          <w:tcPr>
            <w:tcW w:w="220" w:type="dxa"/>
            <w:vAlign w:val="bottom"/>
            <w:shd w:val="clear" w:color="auto" w:fill="C0C0C0"/>
          </w:tcPr>
          <w:p>
            <w:pPr>
              <w:spacing w:after="0"/>
              <w:rPr>
                <w:sz w:val="17"/>
                <w:szCs w:val="17"/>
                <w:color w:val="auto"/>
              </w:rPr>
            </w:pPr>
          </w:p>
        </w:tc>
        <w:tc>
          <w:tcPr>
            <w:tcW w:w="11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06"/>
        </w:trPr>
        <w:tc>
          <w:tcPr>
            <w:tcW w:w="4240" w:type="dxa"/>
            <w:vAlign w:val="bottom"/>
          </w:tcPr>
          <w:p>
            <w:pPr>
              <w:ind w:left="120"/>
              <w:spacing w:after="0"/>
              <w:rPr>
                <w:sz w:val="20"/>
                <w:szCs w:val="20"/>
                <w:color w:val="auto"/>
              </w:rPr>
            </w:pPr>
            <w:r>
              <w:rPr>
                <w:rFonts w:ascii="Arial" w:cs="Arial" w:eastAsia="Arial" w:hAnsi="Arial"/>
                <w:sz w:val="17"/>
                <w:szCs w:val="17"/>
                <w:color w:val="auto"/>
              </w:rPr>
              <w:t>Long term receivables, less current maturities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4,363</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5,366</w:t>
            </w:r>
          </w:p>
        </w:tc>
        <w:tc>
          <w:tcPr>
            <w:tcW w:w="0" w:type="dxa"/>
            <w:vAlign w:val="bottom"/>
          </w:tcPr>
          <w:p>
            <w:pPr>
              <w:spacing w:after="0"/>
              <w:rPr>
                <w:sz w:val="1"/>
                <w:szCs w:val="1"/>
                <w:color w:val="auto"/>
              </w:rPr>
            </w:pPr>
          </w:p>
        </w:tc>
      </w:tr>
      <w:tr>
        <w:trPr>
          <w:trHeight w:val="178"/>
        </w:trPr>
        <w:tc>
          <w:tcPr>
            <w:tcW w:w="424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10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102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380"/>
          </w:cols>
          <w:pgMar w:left="240" w:top="111" w:right="27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Goodwill, net</w:t>
            </w:r>
          </w:p>
        </w:tc>
        <w:tc>
          <w:tcPr>
            <w:tcW w:w="440" w:type="dxa"/>
            <w:vAlign w:val="bottom"/>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1,043</w:t>
            </w:r>
          </w:p>
        </w:tc>
        <w:tc>
          <w:tcPr>
            <w:tcW w:w="2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13"/>
        </w:trPr>
        <w:tc>
          <w:tcPr>
            <w:tcW w:w="4840" w:type="dxa"/>
            <w:vAlign w:val="bottom"/>
          </w:tcPr>
          <w:p>
            <w:pPr>
              <w:ind w:left="120"/>
              <w:spacing w:after="0"/>
              <w:rPr>
                <w:sz w:val="20"/>
                <w:szCs w:val="20"/>
                <w:color w:val="auto"/>
              </w:rPr>
            </w:pPr>
            <w:r>
              <w:rPr>
                <w:rFonts w:ascii="Arial" w:cs="Arial" w:eastAsia="Arial" w:hAnsi="Arial"/>
                <w:sz w:val="17"/>
                <w:szCs w:val="17"/>
                <w:color w:val="auto"/>
              </w:rPr>
              <w:t>Intangible and other assets, other than goodwill, net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955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1,038</w:t>
            </w:r>
          </w:p>
        </w:tc>
        <w:tc>
          <w:tcPr>
            <w:tcW w:w="0" w:type="dxa"/>
            <w:vAlign w:val="bottom"/>
          </w:tcPr>
          <w:p>
            <w:pPr>
              <w:spacing w:after="0"/>
              <w:rPr>
                <w:sz w:val="1"/>
                <w:szCs w:val="1"/>
                <w:color w:val="auto"/>
              </w:rPr>
            </w:pPr>
          </w:p>
        </w:tc>
      </w:tr>
      <w:tr>
        <w:trPr>
          <w:trHeight w:val="96"/>
        </w:trPr>
        <w:tc>
          <w:tcPr>
            <w:tcW w:w="48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6,776</w:t>
            </w:r>
          </w:p>
        </w:tc>
        <w:tc>
          <w:tcPr>
            <w:tcW w:w="2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7,954</w:t>
            </w:r>
          </w:p>
        </w:tc>
        <w:tc>
          <w:tcPr>
            <w:tcW w:w="0" w:type="dxa"/>
            <w:vAlign w:val="bottom"/>
          </w:tcPr>
          <w:p>
            <w:pPr>
              <w:spacing w:after="0"/>
              <w:rPr>
                <w:sz w:val="1"/>
                <w:szCs w:val="1"/>
                <w:color w:val="auto"/>
              </w:rPr>
            </w:pPr>
          </w:p>
        </w:tc>
      </w:tr>
      <w:tr>
        <w:trPr>
          <w:trHeight w:val="103"/>
        </w:trPr>
        <w:tc>
          <w:tcPr>
            <w:tcW w:w="4840" w:type="dxa"/>
            <w:vAlign w:val="bottom"/>
            <w:vMerge w:val="restart"/>
          </w:tcPr>
          <w:p>
            <w:pPr>
              <w:spacing w:after="0"/>
              <w:rPr>
                <w:sz w:val="20"/>
                <w:szCs w:val="20"/>
                <w:color w:val="auto"/>
              </w:rPr>
            </w:pPr>
            <w:r>
              <w:rPr>
                <w:rFonts w:ascii="Arial" w:cs="Arial" w:eastAsia="Arial" w:hAnsi="Arial"/>
                <w:sz w:val="17"/>
                <w:szCs w:val="17"/>
                <w:color w:val="auto"/>
              </w:rPr>
              <w:t>PROPERY AND EQUIPMENT, at cost</w:t>
            </w: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48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Land</w:t>
            </w:r>
          </w:p>
        </w:tc>
        <w:tc>
          <w:tcPr>
            <w:tcW w:w="440" w:type="dxa"/>
            <w:vAlign w:val="bottom"/>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654</w:t>
            </w:r>
          </w:p>
        </w:tc>
        <w:tc>
          <w:tcPr>
            <w:tcW w:w="2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06"/>
        </w:trPr>
        <w:tc>
          <w:tcPr>
            <w:tcW w:w="4840" w:type="dxa"/>
            <w:vAlign w:val="bottom"/>
          </w:tcPr>
          <w:p>
            <w:pPr>
              <w:ind w:left="120"/>
              <w:spacing w:after="0"/>
              <w:rPr>
                <w:sz w:val="20"/>
                <w:szCs w:val="20"/>
                <w:color w:val="auto"/>
              </w:rPr>
            </w:pPr>
            <w:r>
              <w:rPr>
                <w:rFonts w:ascii="Arial" w:cs="Arial" w:eastAsia="Arial" w:hAnsi="Arial"/>
                <w:sz w:val="17"/>
                <w:szCs w:val="17"/>
                <w:color w:val="auto"/>
              </w:rPr>
              <w:t>Buildings</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12,199</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12,110</w:t>
            </w:r>
          </w:p>
        </w:tc>
        <w:tc>
          <w:tcPr>
            <w:tcW w:w="0" w:type="dxa"/>
            <w:vAlign w:val="bottom"/>
          </w:tcPr>
          <w:p>
            <w:pPr>
              <w:spacing w:after="0"/>
              <w:rPr>
                <w:sz w:val="1"/>
                <w:szCs w:val="1"/>
                <w:color w:val="auto"/>
              </w:rPr>
            </w:pPr>
          </w:p>
        </w:tc>
      </w:tr>
      <w:tr>
        <w:trPr>
          <w:trHeight w:val="206"/>
        </w:trPr>
        <w:tc>
          <w:tcPr>
            <w:tcW w:w="48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Machinery and equipment</w:t>
            </w:r>
          </w:p>
        </w:tc>
        <w:tc>
          <w:tcPr>
            <w:tcW w:w="440" w:type="dxa"/>
            <w:vAlign w:val="bottom"/>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13,483</w:t>
            </w:r>
          </w:p>
        </w:tc>
        <w:tc>
          <w:tcPr>
            <w:tcW w:w="2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14,643</w:t>
            </w:r>
          </w:p>
        </w:tc>
        <w:tc>
          <w:tcPr>
            <w:tcW w:w="0" w:type="dxa"/>
            <w:vAlign w:val="bottom"/>
          </w:tcPr>
          <w:p>
            <w:pPr>
              <w:spacing w:after="0"/>
              <w:rPr>
                <w:sz w:val="1"/>
                <w:szCs w:val="1"/>
                <w:color w:val="auto"/>
              </w:rPr>
            </w:pPr>
          </w:p>
        </w:tc>
      </w:tr>
      <w:tr>
        <w:trPr>
          <w:trHeight w:val="206"/>
        </w:trPr>
        <w:tc>
          <w:tcPr>
            <w:tcW w:w="4840" w:type="dxa"/>
            <w:vAlign w:val="bottom"/>
          </w:tcPr>
          <w:p>
            <w:pPr>
              <w:ind w:left="120"/>
              <w:spacing w:after="0"/>
              <w:rPr>
                <w:sz w:val="20"/>
                <w:szCs w:val="20"/>
                <w:color w:val="auto"/>
              </w:rPr>
            </w:pPr>
            <w:r>
              <w:rPr>
                <w:rFonts w:ascii="Arial" w:cs="Arial" w:eastAsia="Arial" w:hAnsi="Arial"/>
                <w:sz w:val="17"/>
                <w:szCs w:val="17"/>
                <w:color w:val="auto"/>
              </w:rPr>
              <w:t>Office furniture and equipment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12,470</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11,862</w:t>
            </w:r>
          </w:p>
        </w:tc>
        <w:tc>
          <w:tcPr>
            <w:tcW w:w="0" w:type="dxa"/>
            <w:vAlign w:val="bottom"/>
          </w:tcPr>
          <w:p>
            <w:pPr>
              <w:spacing w:after="0"/>
              <w:rPr>
                <w:sz w:val="1"/>
                <w:szCs w:val="1"/>
                <w:color w:val="auto"/>
              </w:rPr>
            </w:pPr>
          </w:p>
        </w:tc>
      </w:tr>
      <w:tr>
        <w:trPr>
          <w:trHeight w:val="206"/>
        </w:trPr>
        <w:tc>
          <w:tcPr>
            <w:tcW w:w="48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Equipment held for rent</w:t>
            </w:r>
          </w:p>
        </w:tc>
        <w:tc>
          <w:tcPr>
            <w:tcW w:w="440" w:type="dxa"/>
            <w:vAlign w:val="bottom"/>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3,423</w:t>
            </w:r>
          </w:p>
        </w:tc>
        <w:tc>
          <w:tcPr>
            <w:tcW w:w="2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3,265</w:t>
            </w:r>
          </w:p>
        </w:tc>
        <w:tc>
          <w:tcPr>
            <w:tcW w:w="0" w:type="dxa"/>
            <w:vAlign w:val="bottom"/>
          </w:tcPr>
          <w:p>
            <w:pPr>
              <w:spacing w:after="0"/>
              <w:rPr>
                <w:sz w:val="1"/>
                <w:szCs w:val="1"/>
                <w:color w:val="auto"/>
              </w:rPr>
            </w:pPr>
          </w:p>
        </w:tc>
      </w:tr>
      <w:tr>
        <w:trPr>
          <w:trHeight w:val="213"/>
        </w:trPr>
        <w:tc>
          <w:tcPr>
            <w:tcW w:w="4840" w:type="dxa"/>
            <w:vAlign w:val="bottom"/>
          </w:tcPr>
          <w:p>
            <w:pPr>
              <w:ind w:left="120"/>
              <w:spacing w:after="0"/>
              <w:rPr>
                <w:sz w:val="20"/>
                <w:szCs w:val="20"/>
                <w:color w:val="auto"/>
              </w:rPr>
            </w:pPr>
            <w:r>
              <w:rPr>
                <w:rFonts w:ascii="Arial" w:cs="Arial" w:eastAsia="Arial" w:hAnsi="Arial"/>
                <w:sz w:val="17"/>
                <w:szCs w:val="17"/>
                <w:color w:val="auto"/>
              </w:rPr>
              <w:t>Transportation equipment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1,950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96"/>
        </w:trPr>
        <w:tc>
          <w:tcPr>
            <w:tcW w:w="48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44,179</w:t>
            </w:r>
          </w:p>
        </w:tc>
        <w:tc>
          <w:tcPr>
            <w:tcW w:w="2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44,422</w:t>
            </w:r>
          </w:p>
        </w:tc>
        <w:tc>
          <w:tcPr>
            <w:tcW w:w="0" w:type="dxa"/>
            <w:vAlign w:val="bottom"/>
          </w:tcPr>
          <w:p>
            <w:pPr>
              <w:spacing w:after="0"/>
              <w:rPr>
                <w:sz w:val="1"/>
                <w:szCs w:val="1"/>
                <w:color w:val="auto"/>
              </w:rPr>
            </w:pPr>
          </w:p>
        </w:tc>
      </w:tr>
      <w:tr>
        <w:trPr>
          <w:trHeight w:val="213"/>
        </w:trPr>
        <w:tc>
          <w:tcPr>
            <w:tcW w:w="4840" w:type="dxa"/>
            <w:vAlign w:val="bottom"/>
          </w:tcPr>
          <w:p>
            <w:pPr>
              <w:ind w:left="220"/>
              <w:spacing w:after="0"/>
              <w:rPr>
                <w:sz w:val="20"/>
                <w:szCs w:val="20"/>
                <w:color w:val="auto"/>
              </w:rPr>
            </w:pPr>
            <w:r>
              <w:rPr>
                <w:rFonts w:ascii="Arial" w:cs="Arial" w:eastAsia="Arial" w:hAnsi="Arial"/>
                <w:sz w:val="17"/>
                <w:szCs w:val="17"/>
                <w:color w:val="auto"/>
              </w:rPr>
              <w:t>Less accumulated depreciation</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19,006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17,577</w:t>
            </w:r>
          </w:p>
        </w:tc>
        <w:tc>
          <w:tcPr>
            <w:tcW w:w="0" w:type="dxa"/>
            <w:vAlign w:val="bottom"/>
          </w:tcPr>
          <w:p>
            <w:pPr>
              <w:spacing w:after="0"/>
              <w:rPr>
                <w:sz w:val="1"/>
                <w:szCs w:val="1"/>
                <w:color w:val="auto"/>
              </w:rPr>
            </w:pPr>
          </w:p>
        </w:tc>
      </w:tr>
      <w:tr>
        <w:trPr>
          <w:trHeight w:val="96"/>
        </w:trPr>
        <w:tc>
          <w:tcPr>
            <w:tcW w:w="48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25,173</w:t>
            </w:r>
          </w:p>
        </w:tc>
        <w:tc>
          <w:tcPr>
            <w:tcW w:w="2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26,845</w:t>
            </w:r>
          </w:p>
        </w:tc>
        <w:tc>
          <w:tcPr>
            <w:tcW w:w="0" w:type="dxa"/>
            <w:vAlign w:val="bottom"/>
          </w:tcPr>
          <w:p>
            <w:pPr>
              <w:spacing w:after="0"/>
              <w:rPr>
                <w:sz w:val="1"/>
                <w:szCs w:val="1"/>
                <w:color w:val="auto"/>
              </w:rPr>
            </w:pPr>
          </w:p>
        </w:tc>
      </w:tr>
      <w:tr>
        <w:trPr>
          <w:trHeight w:val="103"/>
        </w:trPr>
        <w:tc>
          <w:tcPr>
            <w:tcW w:w="4840" w:type="dxa"/>
            <w:vAlign w:val="bottom"/>
            <w:vMerge w:val="restart"/>
          </w:tcPr>
          <w:p>
            <w:pPr>
              <w:spacing w:after="0"/>
              <w:rPr>
                <w:sz w:val="20"/>
                <w:szCs w:val="20"/>
                <w:color w:val="auto"/>
              </w:rPr>
            </w:pPr>
            <w:r>
              <w:rPr>
                <w:rFonts w:ascii="Arial" w:cs="Arial" w:eastAsia="Arial" w:hAnsi="Arial"/>
                <w:sz w:val="17"/>
                <w:szCs w:val="17"/>
                <w:b w:val="1"/>
                <w:bCs w:val="1"/>
                <w:color w:val="auto"/>
              </w:rPr>
              <w:t>TOTAL ASSETS</w:t>
            </w: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840" w:type="dxa"/>
            <w:vAlign w:val="bottom"/>
            <w:vMerge w:val="continue"/>
          </w:tcPr>
          <w:p>
            <w:pPr>
              <w:spacing w:after="0"/>
              <w:rPr>
                <w:sz w:val="24"/>
                <w:szCs w:val="24"/>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95,219</w:t>
            </w:r>
          </w:p>
        </w:tc>
        <w:tc>
          <w:tcPr>
            <w:tcW w:w="240" w:type="dxa"/>
            <w:vAlign w:val="bottom"/>
          </w:tcPr>
          <w:p>
            <w:pPr>
              <w:spacing w:after="0"/>
              <w:rPr>
                <w:sz w:val="24"/>
                <w:szCs w:val="24"/>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87,346</w:t>
            </w:r>
          </w:p>
        </w:tc>
        <w:tc>
          <w:tcPr>
            <w:tcW w:w="0" w:type="dxa"/>
            <w:vAlign w:val="bottom"/>
          </w:tcPr>
          <w:p>
            <w:pPr>
              <w:spacing w:after="0"/>
              <w:rPr>
                <w:sz w:val="1"/>
                <w:szCs w:val="1"/>
                <w:color w:val="auto"/>
              </w:rPr>
            </w:pPr>
          </w:p>
        </w:tc>
      </w:tr>
      <w:tr>
        <w:trPr>
          <w:trHeight w:val="113"/>
        </w:trPr>
        <w:tc>
          <w:tcPr>
            <w:tcW w:w="48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left="256"/>
              <w:spacing w:after="0"/>
              <w:rPr>
                <w:sz w:val="20"/>
                <w:szCs w:val="20"/>
                <w:color w:val="auto"/>
              </w:rPr>
            </w:pPr>
            <w:r>
              <w:rPr>
                <w:rFonts w:ascii="Arial" w:cs="Arial" w:eastAsia="Arial" w:hAnsi="Arial"/>
                <w:sz w:val="17"/>
                <w:szCs w:val="17"/>
                <w:color w:val="auto"/>
                <w:w w:val="84"/>
              </w:rPr>
              <w:t>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180" w:type="dxa"/>
            <w:vAlign w:val="bottom"/>
            <w:shd w:val="clear" w:color="auto" w:fill="808080"/>
          </w:tcPr>
          <w:p>
            <w:pPr>
              <w:spacing w:after="0"/>
              <w:rPr>
                <w:sz w:val="6"/>
                <w:szCs w:val="6"/>
                <w:color w:val="auto"/>
              </w:rPr>
            </w:pPr>
          </w:p>
        </w:tc>
        <w:tc>
          <w:tcPr>
            <w:tcW w:w="3060" w:type="dxa"/>
            <w:vAlign w:val="bottom"/>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1100" w:type="dxa"/>
            <w:vAlign w:val="bottom"/>
            <w:shd w:val="clear" w:color="auto" w:fill="808080"/>
          </w:tcPr>
          <w:p>
            <w:pPr>
              <w:spacing w:after="0"/>
              <w:rPr>
                <w:sz w:val="6"/>
                <w:szCs w:val="6"/>
                <w:color w:val="auto"/>
              </w:rPr>
            </w:pPr>
          </w:p>
        </w:tc>
        <w:tc>
          <w:tcPr>
            <w:tcW w:w="32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102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369"/>
        </w:trPr>
        <w:tc>
          <w:tcPr>
            <w:tcW w:w="4240" w:type="dxa"/>
            <w:vAlign w:val="bottom"/>
            <w:gridSpan w:val="2"/>
          </w:tcPr>
          <w:p>
            <w:pPr>
              <w:spacing w:after="0"/>
              <w:rPr>
                <w:rFonts w:ascii="Arial" w:cs="Arial" w:eastAsia="Arial" w:hAnsi="Arial"/>
                <w:sz w:val="17"/>
                <w:szCs w:val="17"/>
                <w:color w:val="0000EE"/>
              </w:rPr>
            </w:pPr>
            <w:hyperlink w:anchor="page1">
              <w:r>
                <w:rPr>
                  <w:rFonts w:ascii="Arial" w:cs="Arial" w:eastAsia="Arial" w:hAnsi="Arial"/>
                  <w:sz w:val="17"/>
                  <w:szCs w:val="17"/>
                  <w:color w:val="0000EE"/>
                </w:rPr>
                <w:t>Table of Contents</w:t>
              </w:r>
            </w:hyperlink>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1180" w:type="dxa"/>
            <w:vAlign w:val="bottom"/>
            <w:tcBorders>
              <w:top w:val="single" w:sz="8" w:color="0000EE"/>
            </w:tcBorders>
          </w:tcPr>
          <w:p>
            <w:pPr>
              <w:spacing w:after="0"/>
              <w:rPr>
                <w:sz w:val="24"/>
                <w:szCs w:val="24"/>
                <w:color w:val="auto"/>
              </w:rPr>
            </w:pPr>
          </w:p>
        </w:tc>
        <w:tc>
          <w:tcPr>
            <w:tcW w:w="10240" w:type="dxa"/>
            <w:vAlign w:val="bottom"/>
            <w:gridSpan w:val="9"/>
          </w:tcPr>
          <w:p>
            <w:pPr>
              <w:jc w:val="center"/>
              <w:ind w:right="1220"/>
              <w:spacing w:after="0"/>
              <w:rPr>
                <w:sz w:val="20"/>
                <w:szCs w:val="20"/>
                <w:color w:val="auto"/>
              </w:rPr>
            </w:pPr>
            <w:r>
              <w:rPr>
                <w:rFonts w:ascii="Arial" w:cs="Arial" w:eastAsia="Arial" w:hAnsi="Arial"/>
                <w:sz w:val="17"/>
                <w:szCs w:val="17"/>
                <w:b w:val="1"/>
                <w:bCs w:val="1"/>
                <w:color w:val="auto"/>
                <w:w w:val="98"/>
              </w:rPr>
              <w:t>DAKTRONICS, INC. AND SUBSIDIARIES</w:t>
            </w: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180" w:type="dxa"/>
            <w:vAlign w:val="bottom"/>
            <w:gridSpan w:val="8"/>
          </w:tcPr>
          <w:p>
            <w:pPr>
              <w:jc w:val="center"/>
              <w:ind w:right="4280"/>
              <w:spacing w:after="0"/>
              <w:rPr>
                <w:sz w:val="20"/>
                <w:szCs w:val="20"/>
                <w:color w:val="auto"/>
              </w:rPr>
            </w:pPr>
            <w:r>
              <w:rPr>
                <w:rFonts w:ascii="Arial" w:cs="Arial" w:eastAsia="Arial" w:hAnsi="Arial"/>
                <w:sz w:val="17"/>
                <w:szCs w:val="17"/>
                <w:b w:val="1"/>
                <w:bCs w:val="1"/>
                <w:color w:val="auto"/>
                <w:w w:val="97"/>
              </w:rPr>
              <w:t>CONSOLIDATED BALANCE SHEETS</w:t>
            </w:r>
          </w:p>
        </w:tc>
        <w:tc>
          <w:tcPr>
            <w:tcW w:w="0" w:type="dxa"/>
            <w:vAlign w:val="bottom"/>
          </w:tcPr>
          <w:p>
            <w:pPr>
              <w:spacing w:after="0"/>
              <w:rPr>
                <w:sz w:val="1"/>
                <w:szCs w:val="1"/>
                <w:color w:val="auto"/>
              </w:rPr>
            </w:pPr>
          </w:p>
        </w:tc>
      </w:tr>
      <w:tr>
        <w:trPr>
          <w:trHeight w:val="213"/>
        </w:trPr>
        <w:tc>
          <w:tcPr>
            <w:tcW w:w="1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7"/>
                <w:szCs w:val="17"/>
                <w:color w:val="auto"/>
                <w:w w:val="87"/>
              </w:rPr>
              <w:t>(in thousands)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1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November 2,</w:t>
            </w:r>
          </w:p>
        </w:tc>
        <w:tc>
          <w:tcPr>
            <w:tcW w:w="200" w:type="dxa"/>
            <w:vAlign w:val="bottom"/>
          </w:tcPr>
          <w:p>
            <w:pPr>
              <w:spacing w:after="0"/>
              <w:rPr>
                <w:sz w:val="24"/>
                <w:szCs w:val="24"/>
                <w:color w:val="auto"/>
              </w:rPr>
            </w:pPr>
          </w:p>
        </w:tc>
        <w:tc>
          <w:tcPr>
            <w:tcW w:w="4800" w:type="dxa"/>
            <w:vAlign w:val="bottom"/>
            <w:gridSpan w:val="3"/>
          </w:tcPr>
          <w:p>
            <w:pPr>
              <w:jc w:val="center"/>
              <w:ind w:right="3920"/>
              <w:spacing w:after="0"/>
              <w:rPr>
                <w:sz w:val="20"/>
                <w:szCs w:val="20"/>
                <w:color w:val="auto"/>
              </w:rPr>
            </w:pPr>
            <w:r>
              <w:rPr>
                <w:rFonts w:ascii="Arial" w:cs="Arial" w:eastAsia="Arial" w:hAnsi="Arial"/>
                <w:sz w:val="17"/>
                <w:szCs w:val="17"/>
                <w:b w:val="1"/>
                <w:bCs w:val="1"/>
                <w:color w:val="auto"/>
                <w:w w:val="95"/>
              </w:rPr>
              <w:t>April 27,</w:t>
            </w: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left="16"/>
              <w:spacing w:after="0"/>
              <w:rPr>
                <w:sz w:val="20"/>
                <w:szCs w:val="20"/>
                <w:color w:val="auto"/>
              </w:rPr>
            </w:pPr>
            <w:r>
              <w:rPr>
                <w:rFonts w:ascii="Arial" w:cs="Arial" w:eastAsia="Arial" w:hAnsi="Arial"/>
                <w:sz w:val="17"/>
                <w:szCs w:val="17"/>
                <w:b w:val="1"/>
                <w:bCs w:val="1"/>
                <w:color w:val="auto"/>
                <w:w w:val="84"/>
              </w:rPr>
              <w:t>2002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9"/>
              </w:rPr>
              <w:t>2002</w:t>
            </w: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(unaudited)</w:t>
            </w:r>
          </w:p>
        </w:tc>
        <w:tc>
          <w:tcPr>
            <w:tcW w:w="200" w:type="dxa"/>
            <w:vAlign w:val="bottom"/>
          </w:tcPr>
          <w:p>
            <w:pPr>
              <w:spacing w:after="0"/>
              <w:rPr>
                <w:sz w:val="18"/>
                <w:szCs w:val="18"/>
                <w:color w:val="auto"/>
              </w:rPr>
            </w:pPr>
          </w:p>
        </w:tc>
        <w:tc>
          <w:tcPr>
            <w:tcW w:w="4800" w:type="dxa"/>
            <w:vAlign w:val="bottom"/>
            <w:gridSpan w:val="3"/>
          </w:tcPr>
          <w:p>
            <w:pPr>
              <w:jc w:val="center"/>
              <w:ind w:right="3900"/>
              <w:spacing w:after="0"/>
              <w:rPr>
                <w:sz w:val="20"/>
                <w:szCs w:val="20"/>
                <w:color w:val="auto"/>
              </w:rPr>
            </w:pPr>
            <w:r>
              <w:rPr>
                <w:rFonts w:ascii="Arial" w:cs="Arial" w:eastAsia="Arial" w:hAnsi="Arial"/>
                <w:sz w:val="17"/>
                <w:szCs w:val="17"/>
                <w:b w:val="1"/>
                <w:bCs w:val="1"/>
                <w:color w:val="auto"/>
                <w:w w:val="87"/>
              </w:rPr>
              <w:t>(note 1)</w:t>
            </w:r>
          </w:p>
        </w:tc>
        <w:tc>
          <w:tcPr>
            <w:tcW w:w="0" w:type="dxa"/>
            <w:vAlign w:val="bottom"/>
          </w:tcPr>
          <w:p>
            <w:pPr>
              <w:spacing w:after="0"/>
              <w:rPr>
                <w:sz w:val="1"/>
                <w:szCs w:val="1"/>
                <w:color w:val="auto"/>
              </w:rPr>
            </w:pPr>
          </w:p>
        </w:tc>
      </w:tr>
      <w:tr>
        <w:trPr>
          <w:trHeight w:val="104"/>
        </w:trPr>
        <w:tc>
          <w:tcPr>
            <w:tcW w:w="42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2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Notes payable, bank</w:t>
            </w:r>
          </w:p>
        </w:tc>
        <w:tc>
          <w:tcPr>
            <w:tcW w:w="7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173</w:t>
            </w:r>
          </w:p>
        </w:tc>
        <w:tc>
          <w:tcPr>
            <w:tcW w:w="32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51</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tcPr>
          <w:p>
            <w:pPr>
              <w:ind w:left="120"/>
              <w:spacing w:after="0"/>
              <w:rPr>
                <w:sz w:val="20"/>
                <w:szCs w:val="20"/>
                <w:color w:val="auto"/>
              </w:rPr>
            </w:pPr>
            <w:r>
              <w:rPr>
                <w:rFonts w:ascii="Arial" w:cs="Arial" w:eastAsia="Arial" w:hAnsi="Arial"/>
                <w:sz w:val="17"/>
                <w:szCs w:val="17"/>
                <w:color w:val="auto"/>
              </w:rPr>
              <w:t>Accounts payable</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8,229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6,690</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Accrued expenses</w:t>
            </w: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7,008</w:t>
            </w:r>
          </w:p>
        </w:tc>
        <w:tc>
          <w:tcPr>
            <w:tcW w:w="3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0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7,337</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tcPr>
          <w:p>
            <w:pPr>
              <w:ind w:left="120"/>
              <w:spacing w:after="0"/>
              <w:rPr>
                <w:sz w:val="20"/>
                <w:szCs w:val="20"/>
                <w:color w:val="auto"/>
              </w:rPr>
            </w:pPr>
            <w:r>
              <w:rPr>
                <w:rFonts w:ascii="Arial" w:cs="Arial" w:eastAsia="Arial" w:hAnsi="Arial"/>
                <w:sz w:val="17"/>
                <w:szCs w:val="17"/>
                <w:color w:val="auto"/>
              </w:rPr>
              <w:t>Current maturities of long-term debt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3,997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4,254</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Billings in excess of costs and estimated earnings</w:t>
            </w: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4,465</w:t>
            </w:r>
          </w:p>
        </w:tc>
        <w:tc>
          <w:tcPr>
            <w:tcW w:w="3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0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2,944</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tcPr>
          <w:p>
            <w:pPr>
              <w:ind w:left="120"/>
              <w:spacing w:after="0"/>
              <w:rPr>
                <w:sz w:val="20"/>
                <w:szCs w:val="20"/>
                <w:color w:val="auto"/>
              </w:rPr>
            </w:pPr>
            <w:r>
              <w:rPr>
                <w:rFonts w:ascii="Arial" w:cs="Arial" w:eastAsia="Arial" w:hAnsi="Arial"/>
                <w:sz w:val="17"/>
                <w:szCs w:val="17"/>
                <w:color w:val="auto"/>
              </w:rPr>
              <w:t>Customer deposits</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1,245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2,185</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Income taxes payable</w:t>
            </w: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1,074</w:t>
            </w:r>
          </w:p>
        </w:tc>
        <w:tc>
          <w:tcPr>
            <w:tcW w:w="3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0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733</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424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Total current liabilities</w:t>
            </w:r>
          </w:p>
        </w:tc>
        <w:tc>
          <w:tcPr>
            <w:tcW w:w="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2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26,191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24,194</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Long-term debt, less current maturities</w:t>
            </w: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7,631</w:t>
            </w:r>
          </w:p>
        </w:tc>
        <w:tc>
          <w:tcPr>
            <w:tcW w:w="3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0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9,574</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tcPr>
          <w:p>
            <w:pPr>
              <w:spacing w:after="0"/>
              <w:rPr>
                <w:sz w:val="20"/>
                <w:szCs w:val="20"/>
                <w:color w:val="auto"/>
              </w:rPr>
            </w:pPr>
            <w:r>
              <w:rPr>
                <w:rFonts w:ascii="Arial" w:cs="Arial" w:eastAsia="Arial" w:hAnsi="Arial"/>
                <w:sz w:val="17"/>
                <w:szCs w:val="17"/>
                <w:color w:val="auto"/>
              </w:rPr>
              <w:t>Deferred income</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1,296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711</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Deferred income taxes</w:t>
            </w: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20" w:type="dxa"/>
            <w:vAlign w:val="bottom"/>
            <w:gridSpan w:val="2"/>
            <w:shd w:val="clear" w:color="auto" w:fill="C0C0C0"/>
          </w:tcPr>
          <w:p>
            <w:pPr>
              <w:jc w:val="right"/>
              <w:ind w:right="320"/>
              <w:spacing w:after="0"/>
              <w:rPr>
                <w:sz w:val="20"/>
                <w:szCs w:val="20"/>
                <w:color w:val="auto"/>
              </w:rPr>
            </w:pPr>
            <w:r>
              <w:rPr>
                <w:rFonts w:ascii="Arial" w:cs="Arial" w:eastAsia="Arial" w:hAnsi="Arial"/>
                <w:sz w:val="17"/>
                <w:szCs w:val="17"/>
                <w:color w:val="auto"/>
              </w:rPr>
              <w:t>1,117</w:t>
            </w:r>
          </w:p>
        </w:tc>
        <w:tc>
          <w:tcPr>
            <w:tcW w:w="200" w:type="dxa"/>
            <w:vAlign w:val="bottom"/>
            <w:shd w:val="clear" w:color="auto" w:fill="C0C0C0"/>
          </w:tcPr>
          <w:p>
            <w:pPr>
              <w:spacing w:after="0"/>
              <w:rPr>
                <w:sz w:val="17"/>
                <w:szCs w:val="17"/>
                <w:color w:val="auto"/>
              </w:rPr>
            </w:pPr>
          </w:p>
        </w:tc>
        <w:tc>
          <w:tcPr>
            <w:tcW w:w="110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1,282</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1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10,044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11,567</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0C0C0"/>
          </w:tcPr>
          <w:p>
            <w:pPr>
              <w:spacing w:after="0"/>
              <w:rPr>
                <w:sz w:val="20"/>
                <w:szCs w:val="20"/>
                <w:color w:val="auto"/>
              </w:rPr>
            </w:pPr>
            <w:r>
              <w:rPr>
                <w:rFonts w:ascii="Arial" w:cs="Arial" w:eastAsia="Arial" w:hAnsi="Arial"/>
                <w:sz w:val="17"/>
                <w:szCs w:val="17"/>
                <w:b w:val="1"/>
                <w:bCs w:val="1"/>
                <w:color w:val="auto"/>
              </w:rPr>
              <w:t>TOTAL LIABILITIES</w:t>
            </w: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36,235</w:t>
            </w:r>
          </w:p>
        </w:tc>
        <w:tc>
          <w:tcPr>
            <w:tcW w:w="3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0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35,761</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4240" w:type="dxa"/>
            <w:vAlign w:val="bottom"/>
            <w:gridSpan w:val="2"/>
          </w:tcPr>
          <w:p>
            <w:pPr>
              <w:spacing w:after="0"/>
              <w:rPr>
                <w:sz w:val="20"/>
                <w:szCs w:val="20"/>
                <w:color w:val="auto"/>
              </w:rPr>
            </w:pPr>
            <w:r>
              <w:rPr>
                <w:rFonts w:ascii="Arial" w:cs="Arial" w:eastAsia="Arial" w:hAnsi="Arial"/>
                <w:sz w:val="17"/>
                <w:szCs w:val="17"/>
                <w:color w:val="auto"/>
              </w:rPr>
              <w:t>MINORITY INTEREST IN SUBSIDIARY</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240" w:type="dxa"/>
            <w:vAlign w:val="bottom"/>
            <w:gridSpan w:val="2"/>
            <w:vMerge w:val="restart"/>
          </w:tcPr>
          <w:p>
            <w:pPr>
              <w:spacing w:after="0"/>
              <w:rPr>
                <w:sz w:val="20"/>
                <w:szCs w:val="20"/>
                <w:color w:val="auto"/>
              </w:rPr>
            </w:pPr>
            <w:r>
              <w:rPr>
                <w:rFonts w:ascii="Arial" w:cs="Arial" w:eastAsia="Arial" w:hAnsi="Arial"/>
                <w:sz w:val="17"/>
                <w:szCs w:val="17"/>
                <w:color w:val="auto"/>
              </w:rPr>
              <w:t>SHAREHOLDERS' EQUITY</w:t>
            </w: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2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40" w:type="dxa"/>
            <w:vAlign w:val="bottom"/>
            <w:gridSpan w:val="2"/>
          </w:tcPr>
          <w:p>
            <w:pPr>
              <w:ind w:left="120"/>
              <w:spacing w:after="0"/>
              <w:rPr>
                <w:sz w:val="20"/>
                <w:szCs w:val="20"/>
                <w:color w:val="auto"/>
              </w:rPr>
            </w:pPr>
            <w:r>
              <w:rPr>
                <w:rFonts w:ascii="Arial" w:cs="Arial" w:eastAsia="Arial" w:hAnsi="Arial"/>
                <w:sz w:val="17"/>
                <w:szCs w:val="17"/>
                <w:color w:val="auto"/>
              </w:rPr>
              <w:t>Common stock, no par value, authorized 60,000</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4"/>
          </w:tcPr>
          <w:p>
            <w:pPr>
              <w:ind w:left="260"/>
              <w:spacing w:after="0"/>
              <w:rPr>
                <w:sz w:val="20"/>
                <w:szCs w:val="20"/>
                <w:color w:val="auto"/>
              </w:rPr>
            </w:pPr>
            <w:r>
              <w:rPr>
                <w:rFonts w:ascii="Arial" w:cs="Arial" w:eastAsia="Arial" w:hAnsi="Arial"/>
                <w:sz w:val="17"/>
                <w:szCs w:val="17"/>
                <w:color w:val="auto"/>
                <w:w w:val="99"/>
              </w:rPr>
              <w:t>shares, 18,320 and 18,271 shares issued at November 2, 2002</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ind w:left="260"/>
              <w:spacing w:after="0"/>
              <w:rPr>
                <w:sz w:val="20"/>
                <w:szCs w:val="20"/>
                <w:color w:val="auto"/>
              </w:rPr>
            </w:pPr>
            <w:r>
              <w:rPr>
                <w:rFonts w:ascii="Arial" w:cs="Arial" w:eastAsia="Arial" w:hAnsi="Arial"/>
                <w:sz w:val="17"/>
                <w:szCs w:val="17"/>
                <w:color w:val="auto"/>
              </w:rPr>
              <w:t>and April 27, 2002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13,716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13,533</w:t>
            </w: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Additional paid-in capital</w:t>
            </w: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561</w:t>
            </w:r>
          </w:p>
        </w:tc>
        <w:tc>
          <w:tcPr>
            <w:tcW w:w="3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0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505</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tcPr>
          <w:p>
            <w:pPr>
              <w:ind w:left="120"/>
              <w:spacing w:after="0"/>
              <w:rPr>
                <w:sz w:val="20"/>
                <w:szCs w:val="20"/>
                <w:color w:val="auto"/>
              </w:rPr>
            </w:pPr>
            <w:r>
              <w:rPr>
                <w:rFonts w:ascii="Arial" w:cs="Arial" w:eastAsia="Arial" w:hAnsi="Arial"/>
                <w:sz w:val="17"/>
                <w:szCs w:val="17"/>
                <w:color w:val="auto"/>
              </w:rPr>
              <w:t>Retained earnings</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44,650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37,492</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0C0C0"/>
          </w:tcPr>
          <w:p>
            <w:pPr>
              <w:ind w:left="120"/>
              <w:spacing w:after="0"/>
              <w:rPr>
                <w:sz w:val="20"/>
                <w:szCs w:val="20"/>
                <w:color w:val="auto"/>
              </w:rPr>
            </w:pPr>
            <w:r>
              <w:rPr>
                <w:rFonts w:ascii="Arial" w:cs="Arial" w:eastAsia="Arial" w:hAnsi="Arial"/>
                <w:sz w:val="17"/>
                <w:szCs w:val="17"/>
                <w:color w:val="auto"/>
              </w:rPr>
              <w:t>Less cost of treasury stock, 19,680 shares</w:t>
            </w: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0C0C0"/>
          </w:tcPr>
          <w:p>
            <w:pPr>
              <w:spacing w:after="0"/>
              <w:rPr>
                <w:sz w:val="17"/>
                <w:szCs w:val="17"/>
                <w:color w:val="auto"/>
              </w:rPr>
            </w:pPr>
          </w:p>
        </w:tc>
        <w:tc>
          <w:tcPr>
            <w:tcW w:w="11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(9)</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40" w:type="dxa"/>
            <w:vAlign w:val="bottom"/>
            <w:gridSpan w:val="2"/>
          </w:tcPr>
          <w:p>
            <w:pPr>
              <w:spacing w:after="0"/>
              <w:rPr>
                <w:sz w:val="20"/>
                <w:szCs w:val="20"/>
                <w:color w:val="auto"/>
              </w:rPr>
            </w:pPr>
            <w:r>
              <w:rPr>
                <w:rFonts w:ascii="Arial" w:cs="Arial" w:eastAsia="Arial" w:hAnsi="Arial"/>
                <w:sz w:val="17"/>
                <w:szCs w:val="17"/>
                <w:color w:val="auto"/>
                <w:w w:val="93"/>
              </w:rPr>
              <w:t>Accumulated other comprehensive income, foreign currency</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ind w:left="160"/>
              <w:spacing w:after="0"/>
              <w:rPr>
                <w:sz w:val="20"/>
                <w:szCs w:val="20"/>
                <w:color w:val="auto"/>
              </w:rPr>
            </w:pPr>
            <w:r>
              <w:rPr>
                <w:rFonts w:ascii="Arial" w:cs="Arial" w:eastAsia="Arial" w:hAnsi="Arial"/>
                <w:sz w:val="17"/>
                <w:szCs w:val="17"/>
                <w:color w:val="auto"/>
              </w:rPr>
              <w:t>translation adjustment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240" w:type="dxa"/>
            <w:vAlign w:val="bottom"/>
            <w:gridSpan w:val="2"/>
            <w:shd w:val="clear" w:color="auto" w:fill="C0C0C0"/>
          </w:tcPr>
          <w:p>
            <w:pPr>
              <w:spacing w:after="0"/>
              <w:rPr>
                <w:sz w:val="20"/>
                <w:szCs w:val="20"/>
                <w:color w:val="auto"/>
              </w:rPr>
            </w:pPr>
            <w:r>
              <w:rPr>
                <w:rFonts w:ascii="Arial" w:cs="Arial" w:eastAsia="Arial" w:hAnsi="Arial"/>
                <w:sz w:val="17"/>
                <w:szCs w:val="17"/>
                <w:b w:val="1"/>
                <w:bCs w:val="1"/>
                <w:color w:val="auto"/>
              </w:rPr>
              <w:t>TOTAL SHAREHOLDERS' EQUITY</w:t>
            </w: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58,900</w:t>
            </w:r>
          </w:p>
        </w:tc>
        <w:tc>
          <w:tcPr>
            <w:tcW w:w="3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10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51,501</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42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240" w:type="dxa"/>
            <w:vAlign w:val="bottom"/>
            <w:gridSpan w:val="2"/>
            <w:vMerge w:val="continue"/>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95,219</w:t>
            </w:r>
          </w:p>
        </w:tc>
        <w:tc>
          <w:tcPr>
            <w:tcW w:w="32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87,346</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0" w:right="239" w:bottom="18"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5"/>
          </w:tcPr>
          <w:p>
            <w:pPr>
              <w:jc w:val="center"/>
              <w:ind w:right="356"/>
              <w:spacing w:after="0"/>
              <w:rPr>
                <w:sz w:val="20"/>
                <w:szCs w:val="20"/>
                <w:color w:val="auto"/>
              </w:rPr>
            </w:pPr>
            <w:r>
              <w:rPr>
                <w:rFonts w:ascii="Arial" w:cs="Arial" w:eastAsia="Arial" w:hAnsi="Arial"/>
                <w:sz w:val="17"/>
                <w:szCs w:val="17"/>
                <w:color w:val="auto"/>
                <w:w w:val="84"/>
              </w:rPr>
              <w:t>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180" w:type="dxa"/>
            <w:vAlign w:val="bottom"/>
            <w:shd w:val="clear" w:color="auto" w:fill="808080"/>
          </w:tcPr>
          <w:p>
            <w:pPr>
              <w:spacing w:after="0"/>
              <w:rPr>
                <w:sz w:val="6"/>
                <w:szCs w:val="6"/>
                <w:color w:val="auto"/>
              </w:rPr>
            </w:pPr>
          </w:p>
        </w:tc>
        <w:tc>
          <w:tcPr>
            <w:tcW w:w="240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2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840" w:type="dxa"/>
            <w:vAlign w:val="bottom"/>
            <w:shd w:val="clear" w:color="auto" w:fill="808080"/>
          </w:tcPr>
          <w:p>
            <w:pPr>
              <w:spacing w:after="0"/>
              <w:rPr>
                <w:sz w:val="6"/>
                <w:szCs w:val="6"/>
                <w:color w:val="auto"/>
              </w:rPr>
            </w:pPr>
          </w:p>
        </w:tc>
        <w:tc>
          <w:tcPr>
            <w:tcW w:w="120" w:type="dxa"/>
            <w:vAlign w:val="bottom"/>
            <w:shd w:val="clear" w:color="auto" w:fill="808080"/>
          </w:tcPr>
          <w:p>
            <w:pPr>
              <w:spacing w:after="0"/>
              <w:rPr>
                <w:sz w:val="6"/>
                <w:szCs w:val="6"/>
                <w:color w:val="auto"/>
              </w:rPr>
            </w:pPr>
          </w:p>
        </w:tc>
        <w:tc>
          <w:tcPr>
            <w:tcW w:w="40" w:type="dxa"/>
            <w:vAlign w:val="bottom"/>
            <w:tcBorders>
              <w:right w:val="single" w:sz="8" w:color="808080"/>
            </w:tcBorders>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369"/>
        </w:trPr>
        <w:tc>
          <w:tcPr>
            <w:tcW w:w="3580" w:type="dxa"/>
            <w:vAlign w:val="bottom"/>
            <w:gridSpan w:val="2"/>
          </w:tcPr>
          <w:p>
            <w:pPr>
              <w:spacing w:after="0"/>
              <w:rPr>
                <w:rFonts w:ascii="Arial" w:cs="Arial" w:eastAsia="Arial" w:hAnsi="Arial"/>
                <w:sz w:val="17"/>
                <w:szCs w:val="17"/>
                <w:color w:val="0000EE"/>
              </w:rPr>
            </w:pPr>
            <w:hyperlink w:anchor="page1">
              <w:r>
                <w:rPr>
                  <w:rFonts w:ascii="Arial" w:cs="Arial" w:eastAsia="Arial" w:hAnsi="Arial"/>
                  <w:sz w:val="17"/>
                  <w:szCs w:val="17"/>
                  <w:color w:val="0000EE"/>
                </w:rPr>
                <w:t>Table of Contents</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118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740" w:type="dxa"/>
            <w:vAlign w:val="bottom"/>
            <w:gridSpan w:val="19"/>
          </w:tcPr>
          <w:p>
            <w:pPr>
              <w:jc w:val="center"/>
              <w:ind w:right="3720"/>
              <w:spacing w:after="0"/>
              <w:rPr>
                <w:sz w:val="20"/>
                <w:szCs w:val="20"/>
                <w:color w:val="auto"/>
              </w:rPr>
            </w:pPr>
            <w:r>
              <w:rPr>
                <w:rFonts w:ascii="Arial" w:cs="Arial" w:eastAsia="Arial" w:hAnsi="Arial"/>
                <w:sz w:val="17"/>
                <w:szCs w:val="17"/>
                <w:b w:val="1"/>
                <w:bCs w:val="1"/>
                <w:color w:val="auto"/>
                <w:w w:val="98"/>
              </w:rPr>
              <w:t>DAKTRONICS, INC. AND SUBSIDIARIES</w:t>
            </w: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40" w:type="dxa"/>
            <w:vAlign w:val="bottom"/>
            <w:gridSpan w:val="19"/>
          </w:tcPr>
          <w:p>
            <w:pPr>
              <w:jc w:val="center"/>
              <w:ind w:right="3700"/>
              <w:spacing w:after="0"/>
              <w:rPr>
                <w:sz w:val="20"/>
                <w:szCs w:val="20"/>
                <w:color w:val="auto"/>
              </w:rPr>
            </w:pPr>
            <w:r>
              <w:rPr>
                <w:rFonts w:ascii="Arial" w:cs="Arial" w:eastAsia="Arial" w:hAnsi="Arial"/>
                <w:sz w:val="17"/>
                <w:szCs w:val="17"/>
                <w:b w:val="1"/>
                <w:bCs w:val="1"/>
                <w:color w:val="auto"/>
                <w:w w:val="98"/>
              </w:rPr>
              <w:t>CONSOLIDATED STATEMENTS OF INCOME</w:t>
            </w: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40" w:type="dxa"/>
            <w:vAlign w:val="bottom"/>
            <w:gridSpan w:val="18"/>
          </w:tcPr>
          <w:p>
            <w:pPr>
              <w:jc w:val="center"/>
              <w:ind w:right="4260"/>
              <w:spacing w:after="0"/>
              <w:rPr>
                <w:sz w:val="20"/>
                <w:szCs w:val="20"/>
                <w:color w:val="auto"/>
              </w:rPr>
            </w:pPr>
            <w:r>
              <w:rPr>
                <w:rFonts w:ascii="Arial" w:cs="Arial" w:eastAsia="Arial" w:hAnsi="Arial"/>
                <w:sz w:val="17"/>
                <w:szCs w:val="17"/>
                <w:color w:val="auto"/>
                <w:w w:val="86"/>
              </w:rPr>
              <w:t>(in thousands, except per share data)</w:t>
            </w:r>
          </w:p>
        </w:tc>
        <w:tc>
          <w:tcPr>
            <w:tcW w:w="0" w:type="dxa"/>
            <w:vAlign w:val="bottom"/>
          </w:tcPr>
          <w:p>
            <w:pPr>
              <w:spacing w:after="0"/>
              <w:rPr>
                <w:sz w:val="1"/>
                <w:szCs w:val="1"/>
                <w:color w:val="auto"/>
              </w:rPr>
            </w:pPr>
          </w:p>
        </w:tc>
      </w:tr>
      <w:tr>
        <w:trPr>
          <w:trHeight w:val="213"/>
        </w:trPr>
        <w:tc>
          <w:tcPr>
            <w:tcW w:w="1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7"/>
          </w:tcPr>
          <w:p>
            <w:pPr>
              <w:jc w:val="center"/>
              <w:ind w:right="480"/>
              <w:spacing w:after="0"/>
              <w:rPr>
                <w:sz w:val="20"/>
                <w:szCs w:val="20"/>
                <w:color w:val="auto"/>
              </w:rPr>
            </w:pPr>
            <w:r>
              <w:rPr>
                <w:rFonts w:ascii="Arial" w:cs="Arial" w:eastAsia="Arial" w:hAnsi="Arial"/>
                <w:sz w:val="17"/>
                <w:szCs w:val="17"/>
                <w:color w:val="auto"/>
                <w:w w:val="90"/>
              </w:rPr>
              <w:t>(unaudited)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6"/>
          </w:tcPr>
          <w:p>
            <w:pPr>
              <w:jc w:val="right"/>
              <w:ind w:right="136"/>
              <w:spacing w:after="0"/>
              <w:rPr>
                <w:sz w:val="20"/>
                <w:szCs w:val="20"/>
                <w:color w:val="auto"/>
              </w:rPr>
            </w:pPr>
            <w:r>
              <w:rPr>
                <w:rFonts w:ascii="Arial" w:cs="Arial" w:eastAsia="Arial" w:hAnsi="Arial"/>
                <w:sz w:val="17"/>
                <w:szCs w:val="17"/>
                <w:b w:val="1"/>
                <w:bCs w:val="1"/>
                <w:color w:val="auto"/>
                <w:w w:val="97"/>
              </w:rPr>
              <w:t>Three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9"/>
          </w:tcPr>
          <w:p>
            <w:pPr>
              <w:jc w:val="center"/>
              <w:ind w:right="3820"/>
              <w:spacing w:after="0"/>
              <w:rPr>
                <w:sz w:val="20"/>
                <w:szCs w:val="20"/>
                <w:color w:val="auto"/>
              </w:rPr>
            </w:pPr>
            <w:r>
              <w:rPr>
                <w:rFonts w:ascii="Arial" w:cs="Arial" w:eastAsia="Arial" w:hAnsi="Arial"/>
                <w:sz w:val="17"/>
                <w:szCs w:val="17"/>
                <w:b w:val="1"/>
                <w:bCs w:val="1"/>
                <w:color w:val="auto"/>
                <w:w w:val="89"/>
              </w:rPr>
              <w:t>Six Months Ended</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November 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October 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88"/>
              </w:rPr>
              <w:t>November 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4"/>
          </w:tcPr>
          <w:p>
            <w:pPr>
              <w:jc w:val="center"/>
              <w:ind w:right="3820"/>
              <w:spacing w:after="0"/>
              <w:rPr>
                <w:sz w:val="20"/>
                <w:szCs w:val="20"/>
                <w:color w:val="auto"/>
              </w:rPr>
            </w:pPr>
            <w:r>
              <w:rPr>
                <w:rFonts w:ascii="Arial" w:cs="Arial" w:eastAsia="Arial" w:hAnsi="Arial"/>
                <w:sz w:val="17"/>
                <w:szCs w:val="17"/>
                <w:b w:val="1"/>
                <w:bCs w:val="1"/>
                <w:color w:val="auto"/>
                <w:w w:val="89"/>
              </w:rPr>
              <w:t>October 27,</w:t>
            </w: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center"/>
              <w:ind w:left="116"/>
              <w:spacing w:after="0"/>
              <w:rPr>
                <w:sz w:val="20"/>
                <w:szCs w:val="20"/>
                <w:color w:val="auto"/>
              </w:rPr>
            </w:pPr>
            <w:r>
              <w:rPr>
                <w:rFonts w:ascii="Arial" w:cs="Arial" w:eastAsia="Arial" w:hAnsi="Arial"/>
                <w:sz w:val="17"/>
                <w:szCs w:val="17"/>
                <w:b w:val="1"/>
                <w:bCs w:val="1"/>
                <w:color w:val="auto"/>
                <w:w w:val="84"/>
              </w:rPr>
              <w:t>2002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center"/>
              <w:ind w:left="136"/>
              <w:spacing w:after="0"/>
              <w:rPr>
                <w:sz w:val="20"/>
                <w:szCs w:val="20"/>
                <w:color w:val="auto"/>
              </w:rPr>
            </w:pPr>
            <w:r>
              <w:rPr>
                <w:rFonts w:ascii="Arial" w:cs="Arial" w:eastAsia="Arial" w:hAnsi="Arial"/>
                <w:sz w:val="17"/>
                <w:szCs w:val="17"/>
                <w:b w:val="1"/>
                <w:bCs w:val="1"/>
                <w:color w:val="auto"/>
                <w:w w:val="84"/>
              </w:rPr>
              <w:t>2001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center"/>
              <w:ind w:left="96"/>
              <w:spacing w:after="0"/>
              <w:rPr>
                <w:sz w:val="20"/>
                <w:szCs w:val="20"/>
                <w:color w:val="auto"/>
              </w:rPr>
            </w:pPr>
            <w:r>
              <w:rPr>
                <w:rFonts w:ascii="Arial" w:cs="Arial" w:eastAsia="Arial" w:hAnsi="Arial"/>
                <w:sz w:val="17"/>
                <w:szCs w:val="17"/>
                <w:b w:val="1"/>
                <w:bCs w:val="1"/>
                <w:color w:val="auto"/>
                <w:w w:val="89"/>
              </w:rPr>
              <w:t>2002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89"/>
              </w:rPr>
              <w:t>2001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center"/>
              <w:ind w:right="16"/>
              <w:spacing w:after="0"/>
              <w:rPr>
                <w:sz w:val="20"/>
                <w:szCs w:val="20"/>
                <w:color w:val="auto"/>
              </w:rPr>
            </w:pPr>
            <w:r>
              <w:rPr>
                <w:rFonts w:ascii="Arial" w:cs="Arial" w:eastAsia="Arial" w:hAnsi="Arial"/>
                <w:sz w:val="17"/>
                <w:szCs w:val="17"/>
                <w:b w:val="1"/>
                <w:bCs w:val="1"/>
                <w:color w:val="auto"/>
                <w:w w:val="88"/>
              </w:rPr>
              <w:t>(13 weeks)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(13 weeks)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(27 weeks)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00" w:type="dxa"/>
            <w:vAlign w:val="bottom"/>
            <w:gridSpan w:val="4"/>
          </w:tcPr>
          <w:p>
            <w:pPr>
              <w:jc w:val="center"/>
              <w:ind w:right="3800"/>
              <w:spacing w:after="0"/>
              <w:rPr>
                <w:sz w:val="20"/>
                <w:szCs w:val="20"/>
                <w:color w:val="auto"/>
              </w:rPr>
            </w:pPr>
            <w:r>
              <w:rPr>
                <w:rFonts w:ascii="Arial" w:cs="Arial" w:eastAsia="Arial" w:hAnsi="Arial"/>
                <w:sz w:val="17"/>
                <w:szCs w:val="17"/>
                <w:b w:val="1"/>
                <w:bCs w:val="1"/>
                <w:color w:val="auto"/>
                <w:w w:val="86"/>
              </w:rPr>
              <w:t>(26 weeks)</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Net sales</w:t>
            </w:r>
          </w:p>
        </w:tc>
        <w:tc>
          <w:tcPr>
            <w:tcW w:w="100" w:type="dxa"/>
            <w:vAlign w:val="bottom"/>
            <w:gridSpan w:val="2"/>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48,074</w:t>
            </w:r>
          </w:p>
        </w:tc>
        <w:tc>
          <w:tcPr>
            <w:tcW w:w="300" w:type="dxa"/>
            <w:vAlign w:val="bottom"/>
            <w:shd w:val="clear" w:color="auto" w:fill="C0C0C0"/>
          </w:tcPr>
          <w:p>
            <w:pPr>
              <w:spacing w:after="0"/>
              <w:rPr>
                <w:sz w:val="17"/>
                <w:szCs w:val="17"/>
                <w:color w:val="auto"/>
              </w:rPr>
            </w:pPr>
          </w:p>
        </w:tc>
        <w:tc>
          <w:tcPr>
            <w:tcW w:w="1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41,572</w:t>
            </w:r>
          </w:p>
        </w:tc>
        <w:tc>
          <w:tcPr>
            <w:tcW w:w="260" w:type="dxa"/>
            <w:vAlign w:val="bottom"/>
            <w:shd w:val="clear" w:color="auto" w:fill="C0C0C0"/>
          </w:tcPr>
          <w:p>
            <w:pPr>
              <w:spacing w:after="0"/>
              <w:rPr>
                <w:sz w:val="17"/>
                <w:szCs w:val="17"/>
                <w:color w:val="auto"/>
              </w:rPr>
            </w:pPr>
          </w:p>
        </w:tc>
        <w:tc>
          <w:tcPr>
            <w:tcW w:w="1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92,181</w:t>
            </w:r>
          </w:p>
        </w:tc>
        <w:tc>
          <w:tcPr>
            <w:tcW w:w="280" w:type="dxa"/>
            <w:vAlign w:val="bottom"/>
            <w:shd w:val="clear" w:color="auto" w:fill="C0C0C0"/>
          </w:tcPr>
          <w:p>
            <w:pPr>
              <w:spacing w:after="0"/>
              <w:rPr>
                <w:sz w:val="17"/>
                <w:szCs w:val="17"/>
                <w:color w:val="auto"/>
              </w:rPr>
            </w:pPr>
          </w:p>
        </w:tc>
        <w:tc>
          <w:tcPr>
            <w:tcW w:w="120" w:type="dxa"/>
            <w:vAlign w:val="bottom"/>
            <w:gridSpan w:val="3"/>
            <w:shd w:val="clear" w:color="auto" w:fill="C0C0C0"/>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81,819</w:t>
            </w:r>
          </w:p>
        </w:tc>
        <w:tc>
          <w:tcPr>
            <w:tcW w:w="40" w:type="dxa"/>
            <w:vAlign w:val="bottom"/>
            <w:tcBorders>
              <w:right w:val="single" w:sz="8" w:color="C0C0C0"/>
            </w:tcBorders>
            <w:shd w:val="clear" w:color="auto" w:fill="C0C0C0"/>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7"/>
                <w:szCs w:val="17"/>
                <w:color w:val="auto"/>
              </w:rPr>
              <w:t>Cost of goods sold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32,288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28,993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61,071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58,012</w:t>
            </w:r>
          </w:p>
        </w:tc>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0C0C0"/>
          </w:tcPr>
          <w:p>
            <w:pPr>
              <w:ind w:left="120"/>
              <w:spacing w:after="0"/>
              <w:rPr>
                <w:sz w:val="20"/>
                <w:szCs w:val="20"/>
                <w:color w:val="auto"/>
              </w:rPr>
            </w:pPr>
            <w:r>
              <w:rPr>
                <w:rFonts w:ascii="Arial" w:cs="Arial" w:eastAsia="Arial" w:hAnsi="Arial"/>
                <w:sz w:val="17"/>
                <w:szCs w:val="17"/>
                <w:b w:val="1"/>
                <w:bCs w:val="1"/>
                <w:color w:val="auto"/>
              </w:rPr>
              <w:t>Gross profit</w:t>
            </w:r>
          </w:p>
        </w:tc>
        <w:tc>
          <w:tcPr>
            <w:tcW w:w="4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15,786</w:t>
            </w:r>
          </w:p>
        </w:tc>
        <w:tc>
          <w:tcPr>
            <w:tcW w:w="30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12,579</w:t>
            </w:r>
          </w:p>
        </w:tc>
        <w:tc>
          <w:tcPr>
            <w:tcW w:w="26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31,110</w:t>
            </w:r>
          </w:p>
        </w:tc>
        <w:tc>
          <w:tcPr>
            <w:tcW w:w="28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23,807</w:t>
            </w:r>
          </w:p>
        </w:tc>
        <w:tc>
          <w:tcPr>
            <w:tcW w:w="40" w:type="dxa"/>
            <w:vAlign w:val="bottom"/>
            <w:tcBorders>
              <w:right w:val="single" w:sz="8" w:color="C0C0C0"/>
            </w:tcBorders>
            <w:shd w:val="clear" w:color="auto" w:fill="C0C0C0"/>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580" w:type="dxa"/>
            <w:vAlign w:val="bottom"/>
            <w:gridSpan w:val="2"/>
            <w:vMerge w:val="restart"/>
          </w:tcPr>
          <w:p>
            <w:pPr>
              <w:spacing w:after="0"/>
              <w:rPr>
                <w:sz w:val="20"/>
                <w:szCs w:val="20"/>
                <w:color w:val="auto"/>
              </w:rPr>
            </w:pPr>
            <w:r>
              <w:rPr>
                <w:rFonts w:ascii="Arial" w:cs="Arial" w:eastAsia="Arial" w:hAnsi="Arial"/>
                <w:sz w:val="17"/>
                <w:szCs w:val="17"/>
                <w:color w:val="auto"/>
              </w:rPr>
              <w:t>Operating expenses</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35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80" w:type="dxa"/>
            <w:vAlign w:val="bottom"/>
            <w:gridSpan w:val="2"/>
          </w:tcPr>
          <w:p>
            <w:pPr>
              <w:ind w:left="80"/>
              <w:spacing w:after="0"/>
              <w:rPr>
                <w:sz w:val="20"/>
                <w:szCs w:val="20"/>
                <w:color w:val="auto"/>
              </w:rPr>
            </w:pPr>
            <w:r>
              <w:rPr>
                <w:rFonts w:ascii="Arial" w:cs="Arial" w:eastAsia="Arial" w:hAnsi="Arial"/>
                <w:sz w:val="17"/>
                <w:szCs w:val="17"/>
                <w:color w:val="auto"/>
              </w:rPr>
              <w:t>Selling</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5,974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5,495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12,781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10,817</w:t>
            </w:r>
          </w:p>
        </w:tc>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0C0C0"/>
          </w:tcPr>
          <w:p>
            <w:pPr>
              <w:ind w:left="80"/>
              <w:spacing w:after="0"/>
              <w:rPr>
                <w:sz w:val="20"/>
                <w:szCs w:val="20"/>
                <w:color w:val="auto"/>
              </w:rPr>
            </w:pPr>
            <w:r>
              <w:rPr>
                <w:rFonts w:ascii="Arial" w:cs="Arial" w:eastAsia="Arial" w:hAnsi="Arial"/>
                <w:sz w:val="17"/>
                <w:szCs w:val="17"/>
                <w:color w:val="auto"/>
              </w:rPr>
              <w:t>General and administrative</w:t>
            </w:r>
          </w:p>
        </w:tc>
        <w:tc>
          <w:tcPr>
            <w:tcW w:w="4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1,683</w:t>
            </w:r>
          </w:p>
        </w:tc>
        <w:tc>
          <w:tcPr>
            <w:tcW w:w="30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1,772</w:t>
            </w:r>
          </w:p>
        </w:tc>
        <w:tc>
          <w:tcPr>
            <w:tcW w:w="26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3,335</w:t>
            </w:r>
          </w:p>
        </w:tc>
        <w:tc>
          <w:tcPr>
            <w:tcW w:w="28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3,339</w:t>
            </w:r>
          </w:p>
        </w:tc>
        <w:tc>
          <w:tcPr>
            <w:tcW w:w="40" w:type="dxa"/>
            <w:vAlign w:val="bottom"/>
            <w:tcBorders>
              <w:right w:val="single" w:sz="8" w:color="C0C0C0"/>
            </w:tcBorders>
            <w:shd w:val="clear" w:color="auto" w:fill="C0C0C0"/>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ind w:left="80"/>
              <w:spacing w:after="0"/>
              <w:rPr>
                <w:sz w:val="20"/>
                <w:szCs w:val="20"/>
                <w:color w:val="auto"/>
              </w:rPr>
            </w:pPr>
            <w:r>
              <w:rPr>
                <w:rFonts w:ascii="Arial" w:cs="Arial" w:eastAsia="Arial" w:hAnsi="Arial"/>
                <w:sz w:val="17"/>
                <w:szCs w:val="17"/>
                <w:color w:val="auto"/>
              </w:rPr>
              <w:t>Product design and development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1,764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3,551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3,422</w:t>
            </w:r>
          </w:p>
        </w:tc>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180" w:type="dxa"/>
            <w:vAlign w:val="bottom"/>
            <w:shd w:val="clear" w:color="auto" w:fill="C0C0C0"/>
          </w:tcPr>
          <w:p>
            <w:pPr>
              <w:spacing w:after="0"/>
              <w:rPr>
                <w:sz w:val="17"/>
                <w:szCs w:val="17"/>
                <w:color w:val="auto"/>
              </w:rPr>
            </w:pPr>
          </w:p>
        </w:tc>
        <w:tc>
          <w:tcPr>
            <w:tcW w:w="240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9,378</w:t>
            </w:r>
          </w:p>
        </w:tc>
        <w:tc>
          <w:tcPr>
            <w:tcW w:w="30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9,031</w:t>
            </w:r>
          </w:p>
        </w:tc>
        <w:tc>
          <w:tcPr>
            <w:tcW w:w="26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19,667</w:t>
            </w:r>
          </w:p>
        </w:tc>
        <w:tc>
          <w:tcPr>
            <w:tcW w:w="28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17,578</w:t>
            </w:r>
          </w:p>
        </w:tc>
        <w:tc>
          <w:tcPr>
            <w:tcW w:w="40" w:type="dxa"/>
            <w:vAlign w:val="bottom"/>
            <w:tcBorders>
              <w:right w:val="single" w:sz="8" w:color="C0C0C0"/>
            </w:tcBorders>
            <w:shd w:val="clear" w:color="auto" w:fill="C0C0C0"/>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Operating income</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5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6,408</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3,548</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11,443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6,229</w:t>
            </w: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580" w:type="dxa"/>
            <w:vAlign w:val="bottom"/>
            <w:gridSpan w:val="2"/>
          </w:tcPr>
          <w:p>
            <w:pPr>
              <w:spacing w:after="0"/>
              <w:rPr>
                <w:sz w:val="20"/>
                <w:szCs w:val="20"/>
                <w:color w:val="auto"/>
              </w:rPr>
            </w:pPr>
            <w:r>
              <w:rPr>
                <w:rFonts w:ascii="Arial" w:cs="Arial" w:eastAsia="Arial" w:hAnsi="Arial"/>
                <w:sz w:val="17"/>
                <w:szCs w:val="17"/>
                <w:color w:val="auto"/>
              </w:rPr>
              <w:t>Nonoperating income (expense)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0C0C0"/>
          </w:tcPr>
          <w:p>
            <w:pPr>
              <w:ind w:left="80"/>
              <w:spacing w:after="0"/>
              <w:rPr>
                <w:sz w:val="20"/>
                <w:szCs w:val="20"/>
                <w:color w:val="auto"/>
              </w:rPr>
            </w:pPr>
            <w:r>
              <w:rPr>
                <w:rFonts w:ascii="Arial" w:cs="Arial" w:eastAsia="Arial" w:hAnsi="Arial"/>
                <w:sz w:val="17"/>
                <w:szCs w:val="17"/>
                <w:color w:val="auto"/>
              </w:rPr>
              <w:t>Interest income</w:t>
            </w:r>
          </w:p>
        </w:tc>
        <w:tc>
          <w:tcPr>
            <w:tcW w:w="4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148</w:t>
            </w:r>
          </w:p>
        </w:tc>
        <w:tc>
          <w:tcPr>
            <w:tcW w:w="30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190</w:t>
            </w:r>
          </w:p>
        </w:tc>
        <w:tc>
          <w:tcPr>
            <w:tcW w:w="26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332</w:t>
            </w:r>
          </w:p>
        </w:tc>
        <w:tc>
          <w:tcPr>
            <w:tcW w:w="28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364</w:t>
            </w:r>
          </w:p>
        </w:tc>
        <w:tc>
          <w:tcPr>
            <w:tcW w:w="40" w:type="dxa"/>
            <w:vAlign w:val="bottom"/>
            <w:tcBorders>
              <w:right w:val="single" w:sz="8" w:color="C0C0C0"/>
            </w:tcBorders>
            <w:shd w:val="clear" w:color="auto" w:fill="C0C0C0"/>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80" w:type="dxa"/>
            <w:vAlign w:val="bottom"/>
            <w:gridSpan w:val="2"/>
          </w:tcPr>
          <w:p>
            <w:pPr>
              <w:ind w:left="80"/>
              <w:spacing w:after="0"/>
              <w:rPr>
                <w:sz w:val="20"/>
                <w:szCs w:val="20"/>
                <w:color w:val="auto"/>
              </w:rPr>
            </w:pPr>
            <w:r>
              <w:rPr>
                <w:rFonts w:ascii="Arial" w:cs="Arial" w:eastAsia="Arial" w:hAnsi="Arial"/>
                <w:sz w:val="17"/>
                <w:szCs w:val="17"/>
                <w:color w:val="auto"/>
              </w:rPr>
              <w:t>Interest expense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ind w:right="156"/>
              <w:spacing w:after="0"/>
              <w:rPr>
                <w:sz w:val="20"/>
                <w:szCs w:val="20"/>
                <w:color w:val="auto"/>
              </w:rPr>
            </w:pPr>
            <w:r>
              <w:rPr>
                <w:rFonts w:ascii="Arial" w:cs="Arial" w:eastAsia="Arial" w:hAnsi="Arial"/>
                <w:sz w:val="17"/>
                <w:szCs w:val="17"/>
                <w:color w:val="auto"/>
              </w:rPr>
              <w:t>(226)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16"/>
              <w:spacing w:after="0"/>
              <w:rPr>
                <w:sz w:val="20"/>
                <w:szCs w:val="20"/>
                <w:color w:val="auto"/>
              </w:rPr>
            </w:pPr>
            <w:r>
              <w:rPr>
                <w:rFonts w:ascii="Arial" w:cs="Arial" w:eastAsia="Arial" w:hAnsi="Arial"/>
                <w:sz w:val="17"/>
                <w:szCs w:val="17"/>
                <w:color w:val="auto"/>
              </w:rPr>
              <w:t>(442)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(481)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(843)</w:t>
            </w:r>
          </w:p>
        </w:tc>
        <w:tc>
          <w:tcPr>
            <w:tcW w:w="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0C0C0"/>
          </w:tcPr>
          <w:p>
            <w:pPr>
              <w:ind w:left="80"/>
              <w:spacing w:after="0"/>
              <w:rPr>
                <w:sz w:val="20"/>
                <w:szCs w:val="20"/>
                <w:color w:val="auto"/>
              </w:rPr>
            </w:pPr>
            <w:r>
              <w:rPr>
                <w:rFonts w:ascii="Arial" w:cs="Arial" w:eastAsia="Arial" w:hAnsi="Arial"/>
                <w:sz w:val="17"/>
                <w:szCs w:val="17"/>
                <w:color w:val="auto"/>
              </w:rPr>
              <w:t>Other income (expense), net</w:t>
            </w:r>
          </w:p>
        </w:tc>
        <w:tc>
          <w:tcPr>
            <w:tcW w:w="4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71</w:t>
            </w:r>
          </w:p>
        </w:tc>
        <w:tc>
          <w:tcPr>
            <w:tcW w:w="30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116"/>
              <w:spacing w:after="0"/>
              <w:rPr>
                <w:sz w:val="20"/>
                <w:szCs w:val="20"/>
                <w:color w:val="auto"/>
              </w:rPr>
            </w:pPr>
            <w:r>
              <w:rPr>
                <w:rFonts w:ascii="Arial" w:cs="Arial" w:eastAsia="Arial" w:hAnsi="Arial"/>
                <w:sz w:val="17"/>
                <w:szCs w:val="17"/>
                <w:color w:val="auto"/>
              </w:rPr>
              <w:t>(9)</w:t>
            </w:r>
          </w:p>
        </w:tc>
        <w:tc>
          <w:tcPr>
            <w:tcW w:w="4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70</w:t>
            </w:r>
          </w:p>
        </w:tc>
        <w:tc>
          <w:tcPr>
            <w:tcW w:w="40" w:type="dxa"/>
            <w:vAlign w:val="bottom"/>
            <w:tcBorders>
              <w:right w:val="single" w:sz="8" w:color="C0C0C0"/>
            </w:tcBorders>
            <w:shd w:val="clear" w:color="auto" w:fill="C0C0C0"/>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Income before income taxes and</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80" w:type="dxa"/>
            <w:vAlign w:val="bottom"/>
            <w:gridSpan w:val="2"/>
          </w:tcPr>
          <w:p>
            <w:pPr>
              <w:ind w:left="220"/>
              <w:spacing w:after="0"/>
              <w:rPr>
                <w:sz w:val="20"/>
                <w:szCs w:val="20"/>
                <w:color w:val="auto"/>
              </w:rPr>
            </w:pPr>
            <w:r>
              <w:rPr>
                <w:rFonts w:ascii="Arial" w:cs="Arial" w:eastAsia="Arial" w:hAnsi="Arial"/>
                <w:sz w:val="17"/>
                <w:szCs w:val="17"/>
                <w:b w:val="1"/>
                <w:bCs w:val="1"/>
                <w:color w:val="auto"/>
              </w:rPr>
              <w:t>minority interest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6,401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3,287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11,559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5,820</w:t>
            </w:r>
          </w:p>
        </w:tc>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0C0C0"/>
          </w:tcPr>
          <w:p>
            <w:pPr>
              <w:ind w:left="80"/>
              <w:spacing w:after="0"/>
              <w:rPr>
                <w:sz w:val="20"/>
                <w:szCs w:val="20"/>
                <w:color w:val="auto"/>
              </w:rPr>
            </w:pPr>
            <w:r>
              <w:rPr>
                <w:rFonts w:ascii="Arial" w:cs="Arial" w:eastAsia="Arial" w:hAnsi="Arial"/>
                <w:sz w:val="17"/>
                <w:szCs w:val="17"/>
                <w:color w:val="auto"/>
              </w:rPr>
              <w:t>Income tax expense</w:t>
            </w:r>
          </w:p>
        </w:tc>
        <w:tc>
          <w:tcPr>
            <w:tcW w:w="4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2,376</w:t>
            </w:r>
          </w:p>
        </w:tc>
        <w:tc>
          <w:tcPr>
            <w:tcW w:w="30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1,238</w:t>
            </w:r>
          </w:p>
        </w:tc>
        <w:tc>
          <w:tcPr>
            <w:tcW w:w="26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4,400</w:t>
            </w:r>
          </w:p>
        </w:tc>
        <w:tc>
          <w:tcPr>
            <w:tcW w:w="28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2,202</w:t>
            </w:r>
          </w:p>
        </w:tc>
        <w:tc>
          <w:tcPr>
            <w:tcW w:w="40" w:type="dxa"/>
            <w:vAlign w:val="bottom"/>
            <w:tcBorders>
              <w:right w:val="single" w:sz="8" w:color="C0C0C0"/>
            </w:tcBorders>
            <w:shd w:val="clear" w:color="auto" w:fill="C0C0C0"/>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Income before minority interest</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5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4,025</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2,049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7,159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3,618</w:t>
            </w: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580" w:type="dxa"/>
            <w:vAlign w:val="bottom"/>
            <w:gridSpan w:val="2"/>
          </w:tcPr>
          <w:p>
            <w:pPr>
              <w:ind w:left="80"/>
              <w:spacing w:after="0"/>
              <w:rPr>
                <w:sz w:val="20"/>
                <w:szCs w:val="20"/>
                <w:color w:val="auto"/>
              </w:rPr>
            </w:pPr>
            <w:r>
              <w:rPr>
                <w:rFonts w:ascii="Arial" w:cs="Arial" w:eastAsia="Arial" w:hAnsi="Arial"/>
                <w:sz w:val="17"/>
                <w:szCs w:val="17"/>
                <w:color w:val="auto"/>
              </w:rPr>
              <w:t>Minority interest in income of</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0C0C0"/>
          </w:tcPr>
          <w:p>
            <w:pPr>
              <w:ind w:left="160"/>
              <w:spacing w:after="0"/>
              <w:rPr>
                <w:sz w:val="20"/>
                <w:szCs w:val="20"/>
                <w:color w:val="auto"/>
              </w:rPr>
            </w:pPr>
            <w:r>
              <w:rPr>
                <w:rFonts w:ascii="Arial" w:cs="Arial" w:eastAsia="Arial" w:hAnsi="Arial"/>
                <w:sz w:val="17"/>
                <w:szCs w:val="17"/>
                <w:color w:val="auto"/>
              </w:rPr>
              <w:t>subsidiary</w:t>
            </w:r>
          </w:p>
        </w:tc>
        <w:tc>
          <w:tcPr>
            <w:tcW w:w="4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116"/>
              <w:spacing w:after="0"/>
              <w:rPr>
                <w:sz w:val="20"/>
                <w:szCs w:val="20"/>
                <w:color w:val="auto"/>
              </w:rPr>
            </w:pPr>
            <w:r>
              <w:rPr>
                <w:rFonts w:ascii="Arial" w:cs="Arial" w:eastAsia="Arial" w:hAnsi="Arial"/>
                <w:sz w:val="17"/>
                <w:szCs w:val="17"/>
                <w:color w:val="auto"/>
              </w:rPr>
              <w:t>(33)</w:t>
            </w:r>
          </w:p>
        </w:tc>
        <w:tc>
          <w:tcPr>
            <w:tcW w:w="4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6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(28)</w:t>
            </w:r>
          </w:p>
        </w:tc>
        <w:tc>
          <w:tcPr>
            <w:tcW w:w="40" w:type="dxa"/>
            <w:vAlign w:val="bottom"/>
            <w:tcBorders>
              <w:right w:val="single" w:sz="8" w:color="C0C0C0"/>
            </w:tcBorders>
            <w:shd w:val="clear" w:color="auto" w:fill="C0C0C0"/>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58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Net income</w:t>
            </w:r>
          </w:p>
        </w:tc>
        <w:tc>
          <w:tcPr>
            <w:tcW w:w="10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gridSpan w:val="3"/>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580" w:type="dxa"/>
            <w:vAlign w:val="bottom"/>
            <w:gridSpan w:val="2"/>
            <w:vMerge w:val="continue"/>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4,025</w:t>
            </w:r>
          </w:p>
        </w:tc>
        <w:tc>
          <w:tcPr>
            <w:tcW w:w="3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24"/>
                <w:szCs w:val="24"/>
                <w:color w:val="auto"/>
              </w:rPr>
            </w:pPr>
          </w:p>
        </w:tc>
        <w:tc>
          <w:tcPr>
            <w:tcW w:w="1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7,159</w:t>
            </w:r>
          </w:p>
        </w:tc>
        <w:tc>
          <w:tcPr>
            <w:tcW w:w="280" w:type="dxa"/>
            <w:vAlign w:val="bottom"/>
          </w:tcPr>
          <w:p>
            <w:pPr>
              <w:spacing w:after="0"/>
              <w:rPr>
                <w:sz w:val="24"/>
                <w:szCs w:val="24"/>
                <w:color w:val="auto"/>
              </w:rPr>
            </w:pPr>
          </w:p>
        </w:tc>
        <w:tc>
          <w:tcPr>
            <w:tcW w:w="120" w:type="dxa"/>
            <w:vAlign w:val="bottom"/>
            <w:gridSpan w:val="3"/>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3,590</w:t>
            </w: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580" w:type="dxa"/>
            <w:vAlign w:val="bottom"/>
            <w:gridSpan w:val="2"/>
            <w:vMerge w:val="restart"/>
          </w:tcPr>
          <w:p>
            <w:pPr>
              <w:spacing w:after="0"/>
              <w:rPr>
                <w:sz w:val="20"/>
                <w:szCs w:val="20"/>
                <w:color w:val="auto"/>
              </w:rPr>
            </w:pPr>
            <w:r>
              <w:rPr>
                <w:rFonts w:ascii="Arial" w:cs="Arial" w:eastAsia="Arial" w:hAnsi="Arial"/>
                <w:sz w:val="17"/>
                <w:szCs w:val="17"/>
                <w:color w:val="auto"/>
              </w:rPr>
              <w:t>Earnings per share</w:t>
            </w: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5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580" w:type="dxa"/>
            <w:vAlign w:val="bottom"/>
            <w:gridSpan w:val="2"/>
            <w:shd w:val="clear" w:color="auto" w:fill="C0C0C0"/>
          </w:tcPr>
          <w:p>
            <w:pPr>
              <w:ind w:left="80"/>
              <w:spacing w:after="0"/>
              <w:rPr>
                <w:sz w:val="20"/>
                <w:szCs w:val="20"/>
                <w:color w:val="auto"/>
              </w:rPr>
            </w:pPr>
            <w:r>
              <w:rPr>
                <w:rFonts w:ascii="Arial" w:cs="Arial" w:eastAsia="Arial" w:hAnsi="Arial"/>
                <w:sz w:val="17"/>
                <w:szCs w:val="17"/>
                <w:color w:val="auto"/>
              </w:rPr>
              <w:t>Basic</w:t>
            </w:r>
          </w:p>
        </w:tc>
        <w:tc>
          <w:tcPr>
            <w:tcW w:w="100" w:type="dxa"/>
            <w:vAlign w:val="bottom"/>
            <w:gridSpan w:val="2"/>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w:t>
            </w:r>
          </w:p>
        </w:tc>
        <w:tc>
          <w:tcPr>
            <w:tcW w:w="300" w:type="dxa"/>
            <w:vAlign w:val="bottom"/>
            <w:shd w:val="clear" w:color="auto" w:fill="C0C0C0"/>
          </w:tcPr>
          <w:p>
            <w:pPr>
              <w:spacing w:after="0"/>
              <w:rPr>
                <w:sz w:val="17"/>
                <w:szCs w:val="17"/>
                <w:color w:val="auto"/>
              </w:rPr>
            </w:pPr>
          </w:p>
        </w:tc>
        <w:tc>
          <w:tcPr>
            <w:tcW w:w="1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0.11</w:t>
            </w:r>
          </w:p>
        </w:tc>
        <w:tc>
          <w:tcPr>
            <w:tcW w:w="260" w:type="dxa"/>
            <w:vAlign w:val="bottom"/>
            <w:shd w:val="clear" w:color="auto" w:fill="C0C0C0"/>
          </w:tcPr>
          <w:p>
            <w:pPr>
              <w:spacing w:after="0"/>
              <w:rPr>
                <w:sz w:val="17"/>
                <w:szCs w:val="17"/>
                <w:color w:val="auto"/>
              </w:rPr>
            </w:pPr>
          </w:p>
        </w:tc>
        <w:tc>
          <w:tcPr>
            <w:tcW w:w="1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w:t>
            </w:r>
          </w:p>
        </w:tc>
        <w:tc>
          <w:tcPr>
            <w:tcW w:w="280" w:type="dxa"/>
            <w:vAlign w:val="bottom"/>
            <w:shd w:val="clear" w:color="auto" w:fill="C0C0C0"/>
          </w:tcPr>
          <w:p>
            <w:pPr>
              <w:spacing w:after="0"/>
              <w:rPr>
                <w:sz w:val="17"/>
                <w:szCs w:val="17"/>
                <w:color w:val="auto"/>
              </w:rPr>
            </w:pPr>
          </w:p>
        </w:tc>
        <w:tc>
          <w:tcPr>
            <w:tcW w:w="120" w:type="dxa"/>
            <w:vAlign w:val="bottom"/>
            <w:gridSpan w:val="3"/>
            <w:shd w:val="clear" w:color="auto" w:fill="C0C0C0"/>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0.20</w:t>
            </w:r>
          </w:p>
        </w:tc>
        <w:tc>
          <w:tcPr>
            <w:tcW w:w="40" w:type="dxa"/>
            <w:vAlign w:val="bottom"/>
            <w:tcBorders>
              <w:right w:val="single" w:sz="8" w:color="C0C0C0"/>
            </w:tcBorders>
            <w:shd w:val="clear" w:color="auto" w:fill="C0C0C0"/>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gridSpan w:val="3"/>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580" w:type="dxa"/>
            <w:vAlign w:val="bottom"/>
            <w:gridSpan w:val="2"/>
          </w:tcPr>
          <w:p>
            <w:pPr>
              <w:ind w:left="80"/>
              <w:spacing w:after="0"/>
              <w:rPr>
                <w:sz w:val="20"/>
                <w:szCs w:val="20"/>
                <w:color w:val="auto"/>
              </w:rPr>
            </w:pPr>
            <w:r>
              <w:rPr>
                <w:rFonts w:ascii="Arial" w:cs="Arial" w:eastAsia="Arial" w:hAnsi="Arial"/>
                <w:sz w:val="17"/>
                <w:szCs w:val="17"/>
                <w:color w:val="auto"/>
              </w:rPr>
              <w:t>Diluted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.21</w:t>
            </w:r>
          </w:p>
        </w:tc>
        <w:tc>
          <w:tcPr>
            <w:tcW w:w="3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0.10</w:t>
            </w:r>
          </w:p>
        </w:tc>
        <w:tc>
          <w:tcPr>
            <w:tcW w:w="260" w:type="dxa"/>
            <w:vAlign w:val="bottom"/>
          </w:tcPr>
          <w:p>
            <w:pPr>
              <w:spacing w:after="0"/>
              <w:rPr>
                <w:sz w:val="24"/>
                <w:szCs w:val="24"/>
                <w:color w:val="auto"/>
              </w:rPr>
            </w:pPr>
          </w:p>
        </w:tc>
        <w:tc>
          <w:tcPr>
            <w:tcW w:w="1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.37</w:t>
            </w:r>
          </w:p>
        </w:tc>
        <w:tc>
          <w:tcPr>
            <w:tcW w:w="280" w:type="dxa"/>
            <w:vAlign w:val="bottom"/>
          </w:tcPr>
          <w:p>
            <w:pPr>
              <w:spacing w:after="0"/>
              <w:rPr>
                <w:sz w:val="24"/>
                <w:szCs w:val="24"/>
                <w:color w:val="auto"/>
              </w:rPr>
            </w:pPr>
          </w:p>
        </w:tc>
        <w:tc>
          <w:tcPr>
            <w:tcW w:w="120" w:type="dxa"/>
            <w:vAlign w:val="bottom"/>
            <w:gridSpan w:val="3"/>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0.19</w:t>
            </w: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-699135</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-699135</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-699135</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-699135</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-699135</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-699135</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-699135</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-699135</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-291465</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-291465</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-291465</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-291465</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-291465</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-291465</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-291465</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-291465</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8050" cy="45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DAKTRONICS,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(in thousands)</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(unaudited)</w:t>
      </w:r>
    </w:p>
    <w:p>
      <w:pPr>
        <w:sectPr>
          <w:pgSz w:w="11900" w:h="16838"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7"/>
        </w:trPr>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8"/>
          </w:tcPr>
          <w:p>
            <w:pPr>
              <w:jc w:val="center"/>
              <w:ind w:right="140"/>
              <w:spacing w:after="0"/>
              <w:rPr>
                <w:sz w:val="20"/>
                <w:szCs w:val="20"/>
                <w:color w:val="auto"/>
              </w:rPr>
            </w:pPr>
            <w:r>
              <w:rPr>
                <w:rFonts w:ascii="Arial" w:cs="Arial" w:eastAsia="Arial" w:hAnsi="Arial"/>
                <w:sz w:val="17"/>
                <w:szCs w:val="17"/>
                <w:b w:val="1"/>
                <w:bCs w:val="1"/>
                <w:color w:val="auto"/>
                <w:w w:val="89"/>
              </w:rPr>
              <w:t>Six Months Ended</w:t>
            </w:r>
          </w:p>
        </w:tc>
        <w:tc>
          <w:tcPr>
            <w:tcW w:w="0" w:type="dxa"/>
            <w:vAlign w:val="bottom"/>
          </w:tcPr>
          <w:p>
            <w:pPr>
              <w:spacing w:after="0"/>
              <w:rPr>
                <w:sz w:val="1"/>
                <w:szCs w:val="1"/>
                <w:color w:val="auto"/>
              </w:rPr>
            </w:pPr>
          </w:p>
        </w:tc>
      </w:tr>
      <w:tr>
        <w:trPr>
          <w:trHeight w:val="104"/>
        </w:trPr>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88"/>
              </w:rPr>
              <w:t>November 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89"/>
              </w:rPr>
              <w:t>October 27,</w:t>
            </w:r>
          </w:p>
        </w:tc>
        <w:tc>
          <w:tcPr>
            <w:tcW w:w="0" w:type="dxa"/>
            <w:vAlign w:val="bottom"/>
          </w:tcPr>
          <w:p>
            <w:pPr>
              <w:spacing w:after="0"/>
              <w:rPr>
                <w:sz w:val="1"/>
                <w:szCs w:val="1"/>
                <w:color w:val="auto"/>
              </w:rPr>
            </w:pPr>
          </w:p>
        </w:tc>
      </w:tr>
      <w:tr>
        <w:trPr>
          <w:trHeight w:val="206"/>
        </w:trPr>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left="116"/>
              <w:spacing w:after="0"/>
              <w:rPr>
                <w:sz w:val="20"/>
                <w:szCs w:val="20"/>
                <w:color w:val="auto"/>
              </w:rPr>
            </w:pPr>
            <w:r>
              <w:rPr>
                <w:rFonts w:ascii="Arial" w:cs="Arial" w:eastAsia="Arial" w:hAnsi="Arial"/>
                <w:sz w:val="17"/>
                <w:szCs w:val="17"/>
                <w:b w:val="1"/>
                <w:bCs w:val="1"/>
                <w:color w:val="auto"/>
                <w:w w:val="89"/>
              </w:rPr>
              <w:t>2002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89"/>
              </w:rPr>
              <w:t>2001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(27 weeks)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86"/>
              </w:rPr>
              <w:t>(26 weeks)</w:t>
            </w:r>
          </w:p>
        </w:tc>
        <w:tc>
          <w:tcPr>
            <w:tcW w:w="0" w:type="dxa"/>
            <w:vAlign w:val="bottom"/>
          </w:tcPr>
          <w:p>
            <w:pPr>
              <w:spacing w:after="0"/>
              <w:rPr>
                <w:sz w:val="1"/>
                <w:szCs w:val="1"/>
                <w:color w:val="auto"/>
              </w:rPr>
            </w:pPr>
          </w:p>
        </w:tc>
      </w:tr>
      <w:tr>
        <w:trPr>
          <w:trHeight w:val="104"/>
        </w:trPr>
        <w:tc>
          <w:tcPr>
            <w:tcW w:w="5580" w:type="dxa"/>
            <w:vAlign w:val="bottom"/>
            <w:vMerge w:val="restart"/>
          </w:tcPr>
          <w:p>
            <w:pPr>
              <w:spacing w:after="0"/>
              <w:rPr>
                <w:sz w:val="20"/>
                <w:szCs w:val="20"/>
                <w:color w:val="auto"/>
              </w:rPr>
            </w:pPr>
            <w:r>
              <w:rPr>
                <w:rFonts w:ascii="Arial" w:cs="Arial" w:eastAsia="Arial" w:hAnsi="Arial"/>
                <w:sz w:val="17"/>
                <w:szCs w:val="17"/>
                <w:color w:val="auto"/>
              </w:rPr>
              <w:t>CASH FLOWS FROM OPERATING ACTIVITIES</w:t>
            </w: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5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80"/>
              <w:spacing w:after="0"/>
              <w:rPr>
                <w:sz w:val="20"/>
                <w:szCs w:val="20"/>
                <w:color w:val="auto"/>
              </w:rPr>
            </w:pPr>
            <w:r>
              <w:rPr>
                <w:rFonts w:ascii="Arial" w:cs="Arial" w:eastAsia="Arial" w:hAnsi="Arial"/>
                <w:sz w:val="17"/>
                <w:szCs w:val="17"/>
                <w:color w:val="auto"/>
              </w:rPr>
              <w:t>Net income</w:t>
            </w:r>
          </w:p>
        </w:tc>
        <w:tc>
          <w:tcPr>
            <w:tcW w:w="120" w:type="dxa"/>
            <w:vAlign w:val="bottom"/>
            <w:gridSpan w:val="3"/>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7,159</w:t>
            </w:r>
          </w:p>
        </w:tc>
        <w:tc>
          <w:tcPr>
            <w:tcW w:w="120" w:type="dxa"/>
            <w:vAlign w:val="bottom"/>
            <w:gridSpan w:val="2"/>
            <w:shd w:val="clear" w:color="auto" w:fill="C0C0C0"/>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3,590</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80"/>
              <w:spacing w:after="0"/>
              <w:rPr>
                <w:sz w:val="20"/>
                <w:szCs w:val="20"/>
                <w:color w:val="auto"/>
              </w:rPr>
            </w:pPr>
            <w:r>
              <w:rPr>
                <w:rFonts w:ascii="Arial" w:cs="Arial" w:eastAsia="Arial" w:hAnsi="Arial"/>
                <w:sz w:val="17"/>
                <w:szCs w:val="17"/>
                <w:color w:val="auto"/>
              </w:rPr>
              <w:t>Adjustments to reconcile net income to net cash provided by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580" w:type="dxa"/>
            <w:vAlign w:val="bottom"/>
          </w:tcPr>
          <w:p>
            <w:pPr>
              <w:ind w:left="260"/>
              <w:spacing w:after="0"/>
              <w:rPr>
                <w:sz w:val="20"/>
                <w:szCs w:val="20"/>
                <w:color w:val="auto"/>
              </w:rPr>
            </w:pPr>
            <w:r>
              <w:rPr>
                <w:rFonts w:ascii="Arial" w:cs="Arial" w:eastAsia="Arial" w:hAnsi="Arial"/>
                <w:sz w:val="17"/>
                <w:szCs w:val="17"/>
                <w:color w:val="auto"/>
              </w:rPr>
              <w:t>operating activities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Depreciation</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2,746</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1,821</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tcPr>
          <w:p>
            <w:pPr>
              <w:ind w:left="240"/>
              <w:spacing w:after="0"/>
              <w:rPr>
                <w:sz w:val="20"/>
                <w:szCs w:val="20"/>
                <w:color w:val="auto"/>
              </w:rPr>
            </w:pPr>
            <w:r>
              <w:rPr>
                <w:rFonts w:ascii="Arial" w:cs="Arial" w:eastAsia="Arial" w:hAnsi="Arial"/>
                <w:sz w:val="17"/>
                <w:szCs w:val="17"/>
                <w:color w:val="auto"/>
              </w:rPr>
              <w:t>Amortization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147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Minority interest in income of subsidiary</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28</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tcPr>
          <w:p>
            <w:pPr>
              <w:ind w:left="260"/>
              <w:spacing w:after="0"/>
              <w:rPr>
                <w:sz w:val="20"/>
                <w:szCs w:val="20"/>
                <w:color w:val="auto"/>
              </w:rPr>
            </w:pPr>
            <w:r>
              <w:rPr>
                <w:rFonts w:ascii="Arial" w:cs="Arial" w:eastAsia="Arial" w:hAnsi="Arial"/>
                <w:sz w:val="17"/>
                <w:szCs w:val="17"/>
                <w:color w:val="auto"/>
              </w:rPr>
              <w:t>Provision for doubtful accounts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(446)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Loss on sale of property and equipment</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616</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tcPr>
          <w:p>
            <w:pPr>
              <w:ind w:left="260"/>
              <w:spacing w:after="0"/>
              <w:rPr>
                <w:sz w:val="20"/>
                <w:szCs w:val="20"/>
                <w:color w:val="auto"/>
              </w:rPr>
            </w:pPr>
            <w:r>
              <w:rPr>
                <w:rFonts w:ascii="Arial" w:cs="Arial" w:eastAsia="Arial" w:hAnsi="Arial"/>
                <w:sz w:val="17"/>
                <w:szCs w:val="17"/>
                <w:color w:val="auto"/>
              </w:rPr>
              <w:t>Deferred income taxes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(361)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Change in operating assets and liabilities</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615</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(2,881)</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558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Net cash provided by operating activities</w:t>
            </w: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5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10,476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3,138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580" w:type="dxa"/>
            <w:vAlign w:val="bottom"/>
            <w:vMerge w:val="restart"/>
          </w:tcPr>
          <w:p>
            <w:pPr>
              <w:spacing w:after="0"/>
              <w:rPr>
                <w:sz w:val="20"/>
                <w:szCs w:val="20"/>
                <w:color w:val="auto"/>
              </w:rPr>
            </w:pPr>
            <w:r>
              <w:rPr>
                <w:rFonts w:ascii="Arial" w:cs="Arial" w:eastAsia="Arial" w:hAnsi="Arial"/>
                <w:sz w:val="17"/>
                <w:szCs w:val="17"/>
                <w:color w:val="auto"/>
              </w:rPr>
              <w:t>CASH FLOWS FROM INVESTING ACTIVITIES</w:t>
            </w: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5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80"/>
              <w:spacing w:after="0"/>
              <w:rPr>
                <w:sz w:val="20"/>
                <w:szCs w:val="20"/>
                <w:color w:val="auto"/>
              </w:rPr>
            </w:pPr>
            <w:r>
              <w:rPr>
                <w:rFonts w:ascii="Arial" w:cs="Arial" w:eastAsia="Arial" w:hAnsi="Arial"/>
                <w:sz w:val="17"/>
                <w:szCs w:val="17"/>
                <w:color w:val="auto"/>
              </w:rPr>
              <w:t>Purchase of property and equipment</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(2,370)</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(5,641)</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80"/>
              <w:spacing w:after="0"/>
              <w:rPr>
                <w:sz w:val="20"/>
                <w:szCs w:val="20"/>
                <w:color w:val="auto"/>
              </w:rPr>
            </w:pPr>
            <w:r>
              <w:rPr>
                <w:rFonts w:ascii="Arial" w:cs="Arial" w:eastAsia="Arial" w:hAnsi="Arial"/>
                <w:sz w:val="17"/>
                <w:szCs w:val="17"/>
                <w:color w:val="auto"/>
              </w:rPr>
              <w:t>Proceeds from sale of property and equipment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681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5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160"/>
              <w:spacing w:after="0"/>
              <w:rPr>
                <w:sz w:val="20"/>
                <w:szCs w:val="20"/>
                <w:color w:val="auto"/>
              </w:rPr>
            </w:pPr>
            <w:r>
              <w:rPr>
                <w:rFonts w:ascii="Arial" w:cs="Arial" w:eastAsia="Arial" w:hAnsi="Arial"/>
                <w:sz w:val="17"/>
                <w:szCs w:val="17"/>
                <w:b w:val="1"/>
                <w:bCs w:val="1"/>
                <w:color w:val="auto"/>
              </w:rPr>
              <w:t>Net cash used in investing activities</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(1,689)</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(5,641)</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5580" w:type="dxa"/>
            <w:vAlign w:val="bottom"/>
            <w:vMerge w:val="restart"/>
          </w:tcPr>
          <w:p>
            <w:pPr>
              <w:spacing w:after="0"/>
              <w:rPr>
                <w:sz w:val="20"/>
                <w:szCs w:val="20"/>
                <w:color w:val="auto"/>
              </w:rPr>
            </w:pPr>
            <w:r>
              <w:rPr>
                <w:rFonts w:ascii="Arial" w:cs="Arial" w:eastAsia="Arial" w:hAnsi="Arial"/>
                <w:sz w:val="17"/>
                <w:szCs w:val="17"/>
                <w:color w:val="auto"/>
              </w:rPr>
              <w:t>CASH FLOWS FROM FINANCING ACTIVITIES</w:t>
            </w: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5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580" w:type="dxa"/>
            <w:vAlign w:val="bottom"/>
          </w:tcPr>
          <w:p>
            <w:pPr>
              <w:ind w:left="80"/>
              <w:spacing w:after="0"/>
              <w:rPr>
                <w:sz w:val="20"/>
                <w:szCs w:val="20"/>
                <w:color w:val="auto"/>
              </w:rPr>
            </w:pPr>
            <w:r>
              <w:rPr>
                <w:rFonts w:ascii="Arial" w:cs="Arial" w:eastAsia="Arial" w:hAnsi="Arial"/>
                <w:sz w:val="17"/>
                <w:szCs w:val="17"/>
                <w:color w:val="auto"/>
              </w:rPr>
              <w:t>Net borrowings on notes payable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2,639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80"/>
              <w:spacing w:after="0"/>
              <w:rPr>
                <w:sz w:val="20"/>
                <w:szCs w:val="20"/>
                <w:color w:val="auto"/>
              </w:rPr>
            </w:pPr>
            <w:r>
              <w:rPr>
                <w:rFonts w:ascii="Arial" w:cs="Arial" w:eastAsia="Arial" w:hAnsi="Arial"/>
                <w:sz w:val="17"/>
                <w:szCs w:val="17"/>
                <w:color w:val="auto"/>
              </w:rPr>
              <w:t>Principal payments on long-term debt</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(2,200)</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(1,818)</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80"/>
              <w:spacing w:after="0"/>
              <w:rPr>
                <w:sz w:val="20"/>
                <w:szCs w:val="20"/>
                <w:color w:val="auto"/>
              </w:rPr>
            </w:pPr>
            <w:r>
              <w:rPr>
                <w:rFonts w:ascii="Arial" w:cs="Arial" w:eastAsia="Arial" w:hAnsi="Arial"/>
                <w:sz w:val="17"/>
                <w:szCs w:val="17"/>
                <w:color w:val="auto"/>
              </w:rPr>
              <w:t>Proceeds from exercise of stock options and warrants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5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16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(1,895)</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1,223</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55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5580" w:type="dxa"/>
            <w:vAlign w:val="bottom"/>
          </w:tcPr>
          <w:p>
            <w:pPr>
              <w:ind w:left="80"/>
              <w:spacing w:after="0"/>
              <w:rPr>
                <w:sz w:val="20"/>
                <w:szCs w:val="20"/>
                <w:color w:val="auto"/>
              </w:rPr>
            </w:pPr>
            <w:r>
              <w:rPr>
                <w:rFonts w:ascii="Arial" w:cs="Arial" w:eastAsia="Arial" w:hAnsi="Arial"/>
                <w:sz w:val="17"/>
                <w:szCs w:val="17"/>
                <w:color w:val="auto"/>
              </w:rPr>
              <w:t>Effect of exchange rate changes on cash</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5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Increase (decrease) in cash and cash equivalents</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6,894</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(1,289)</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55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160"/>
              <w:spacing w:after="0"/>
              <w:rPr>
                <w:sz w:val="20"/>
                <w:szCs w:val="20"/>
                <w:color w:val="auto"/>
              </w:rPr>
            </w:pPr>
            <w:r>
              <w:rPr>
                <w:rFonts w:ascii="Arial" w:cs="Arial" w:eastAsia="Arial" w:hAnsi="Arial"/>
                <w:sz w:val="17"/>
                <w:szCs w:val="17"/>
                <w:color w:val="auto"/>
              </w:rPr>
              <w:t>Beginning</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2,097</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2,896</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5580" w:type="dxa"/>
            <w:vAlign w:val="bottom"/>
          </w:tcPr>
          <w:p>
            <w:pPr>
              <w:spacing w:after="0"/>
              <w:rPr>
                <w:sz w:val="8"/>
                <w:szCs w:val="8"/>
                <w:color w:val="auto"/>
              </w:rPr>
            </w:pPr>
          </w:p>
        </w:tc>
        <w:tc>
          <w:tcPr>
            <w:tcW w:w="120" w:type="dxa"/>
            <w:vAlign w:val="bottom"/>
            <w:tcBorders>
              <w:bottom w:val="single" w:sz="8" w:color="auto"/>
            </w:tcBorders>
            <w:gridSpan w:val="3"/>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5580" w:type="dxa"/>
            <w:vAlign w:val="bottom"/>
          </w:tcPr>
          <w:p>
            <w:pPr>
              <w:ind w:left="160"/>
              <w:spacing w:after="0"/>
              <w:rPr>
                <w:sz w:val="20"/>
                <w:szCs w:val="20"/>
                <w:color w:val="auto"/>
              </w:rPr>
            </w:pPr>
            <w:r>
              <w:rPr>
                <w:rFonts w:ascii="Arial" w:cs="Arial" w:eastAsia="Arial" w:hAnsi="Arial"/>
                <w:sz w:val="17"/>
                <w:szCs w:val="17"/>
                <w:color w:val="auto"/>
              </w:rPr>
              <w:t>Ending</w:t>
            </w:r>
          </w:p>
        </w:tc>
        <w:tc>
          <w:tcPr>
            <w:tcW w:w="120" w:type="dxa"/>
            <w:vAlign w:val="bottom"/>
            <w:gridSpan w:val="3"/>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8,991</w:t>
            </w:r>
          </w:p>
        </w:tc>
        <w:tc>
          <w:tcPr>
            <w:tcW w:w="12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1,607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580" w:type="dxa"/>
            <w:vAlign w:val="bottom"/>
            <w:vMerge w:val="restart"/>
          </w:tcPr>
          <w:p>
            <w:pPr>
              <w:spacing w:after="0"/>
              <w:rPr>
                <w:sz w:val="20"/>
                <w:szCs w:val="20"/>
                <w:color w:val="auto"/>
              </w:rPr>
            </w:pPr>
            <w:r>
              <w:rPr>
                <w:rFonts w:ascii="Arial" w:cs="Arial" w:eastAsia="Arial" w:hAnsi="Arial"/>
                <w:sz w:val="17"/>
                <w:szCs w:val="17"/>
                <w:color w:val="auto"/>
              </w:rPr>
              <w:t>SUPPLEMENTAL DISCLOSURE OF CASH FLOW INFORMATION</w:t>
            </w: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5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580" w:type="dxa"/>
            <w:vAlign w:val="bottom"/>
          </w:tcPr>
          <w:p>
            <w:pPr>
              <w:ind w:left="120"/>
              <w:spacing w:after="0"/>
              <w:rPr>
                <w:sz w:val="20"/>
                <w:szCs w:val="20"/>
                <w:color w:val="auto"/>
              </w:rPr>
            </w:pPr>
            <w:r>
              <w:rPr>
                <w:rFonts w:ascii="Arial" w:cs="Arial" w:eastAsia="Arial" w:hAnsi="Arial"/>
                <w:sz w:val="17"/>
                <w:szCs w:val="17"/>
                <w:color w:val="auto"/>
              </w:rPr>
              <w:t>Cash payments for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Interest</w:t>
            </w:r>
          </w:p>
        </w:tc>
        <w:tc>
          <w:tcPr>
            <w:tcW w:w="120" w:type="dxa"/>
            <w:vAlign w:val="bottom"/>
            <w:gridSpan w:val="3"/>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459</w:t>
            </w:r>
          </w:p>
        </w:tc>
        <w:tc>
          <w:tcPr>
            <w:tcW w:w="120" w:type="dxa"/>
            <w:vAlign w:val="bottom"/>
            <w:gridSpan w:val="2"/>
            <w:shd w:val="clear" w:color="auto" w:fill="C0C0C0"/>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806</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260"/>
              <w:spacing w:after="0"/>
              <w:rPr>
                <w:sz w:val="20"/>
                <w:szCs w:val="20"/>
                <w:color w:val="auto"/>
              </w:rPr>
            </w:pPr>
            <w:r>
              <w:rPr>
                <w:rFonts w:ascii="Arial" w:cs="Arial" w:eastAsia="Arial" w:hAnsi="Arial"/>
                <w:sz w:val="17"/>
                <w:szCs w:val="17"/>
                <w:color w:val="auto"/>
              </w:rPr>
              <w:t>Income taxes, net of refunds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4,373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1,590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tcPr>
          <w:p>
            <w:pPr>
              <w:spacing w:after="0"/>
              <w:rPr>
                <w:sz w:val="20"/>
                <w:szCs w:val="20"/>
                <w:color w:val="auto"/>
              </w:rPr>
            </w:pPr>
            <w:r>
              <w:rPr>
                <w:rFonts w:ascii="Arial" w:cs="Arial" w:eastAsia="Arial" w:hAnsi="Arial"/>
                <w:sz w:val="17"/>
                <w:szCs w:val="17"/>
                <w:color w:val="auto"/>
              </w:rPr>
              <w:t>SUPPLEMENTAL SCHEDULE OF NONCASH INVESTING AND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580" w:type="dxa"/>
            <w:vAlign w:val="bottom"/>
          </w:tcPr>
          <w:p>
            <w:pPr>
              <w:ind w:left="80"/>
              <w:spacing w:after="0"/>
              <w:rPr>
                <w:sz w:val="20"/>
                <w:szCs w:val="20"/>
                <w:color w:val="auto"/>
              </w:rPr>
            </w:pPr>
            <w:r>
              <w:rPr>
                <w:rFonts w:ascii="Arial" w:cs="Arial" w:eastAsia="Arial" w:hAnsi="Arial"/>
                <w:sz w:val="17"/>
                <w:szCs w:val="17"/>
                <w:color w:val="auto"/>
              </w:rPr>
              <w:t>FINANCING ACTIVITIES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C0C0C0"/>
          </w:tcPr>
          <w:p>
            <w:pPr>
              <w:ind w:left="80"/>
              <w:spacing w:after="0"/>
              <w:rPr>
                <w:sz w:val="20"/>
                <w:szCs w:val="20"/>
                <w:color w:val="auto"/>
              </w:rPr>
            </w:pPr>
            <w:r>
              <w:rPr>
                <w:rFonts w:ascii="Arial" w:cs="Arial" w:eastAsia="Arial" w:hAnsi="Arial"/>
                <w:sz w:val="17"/>
                <w:szCs w:val="17"/>
                <w:color w:val="auto"/>
              </w:rPr>
              <w:t>Property and equipment acquired through long term debt</w:t>
            </w:r>
          </w:p>
        </w:tc>
        <w:tc>
          <w:tcPr>
            <w:tcW w:w="120" w:type="dxa"/>
            <w:vAlign w:val="bottom"/>
            <w:gridSpan w:val="3"/>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0C0C0"/>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2,150</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80"/>
              <w:spacing w:after="0"/>
              <w:rPr>
                <w:sz w:val="20"/>
                <w:szCs w:val="20"/>
                <w:color w:val="auto"/>
              </w:rPr>
            </w:pPr>
            <w:r>
              <w:rPr>
                <w:rFonts w:ascii="Arial" w:cs="Arial" w:eastAsia="Arial" w:hAnsi="Arial"/>
                <w:sz w:val="17"/>
                <w:szCs w:val="17"/>
                <w:color w:val="auto"/>
              </w:rPr>
              <w:t>Tax benefits related to exercise of stock options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-1125855</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3540760</wp:posOffset>
            </wp:positionH>
            <wp:positionV relativeFrom="paragraph">
              <wp:posOffset>-1125855</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-1125855</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-1125855</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8050" cy="45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DAKTRONICS,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thousands, except share and per share amounts)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(unaudited)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220" w:lineRule="exact"/>
        <w:rPr>
          <w:sz w:val="20"/>
          <w:szCs w:val="20"/>
          <w:color w:val="auto"/>
        </w:rPr>
      </w:pPr>
    </w:p>
    <w:p>
      <w:pPr>
        <w:ind w:firstLine="334"/>
        <w:spacing w:after="0" w:line="259" w:lineRule="auto"/>
        <w:rPr>
          <w:sz w:val="20"/>
          <w:szCs w:val="20"/>
          <w:color w:val="auto"/>
        </w:rPr>
      </w:pPr>
      <w:r>
        <w:rPr>
          <w:rFonts w:ascii="Arial" w:cs="Arial" w:eastAsia="Arial" w:hAnsi="Arial"/>
          <w:sz w:val="17"/>
          <w:szCs w:val="17"/>
          <w:color w:val="auto"/>
        </w:rPr>
        <w:t>In the opinion of management, the accompanying unaudited financial statements contain all adjustments necessary to fairly present the Company’s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ectPr>
          <w:pgSz w:w="11900" w:h="16838" w:orient="portrait"/>
          <w:cols w:equalWidth="0" w:num="1">
            <w:col w:w="11400"/>
          </w:cols>
          <w:pgMar w:left="240" w:top="127" w:right="259" w:bottom="125" w:gutter="0" w:footer="0" w:header="0"/>
        </w:sectPr>
      </w:pPr>
    </w:p>
    <w:bookmarkStart w:id="5" w:name="page6"/>
    <w:bookmarkEnd w:id="5"/>
    <w:p>
      <w:pPr>
        <w:ind w:right="40" w:firstLine="334"/>
        <w:spacing w:after="0" w:line="275"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27, 2002, has been derived from the audited financial statements at that date but does not include all of the information and footnotes required by generally accepted accounting principles for complete financial statements. These financial statements should be read in conjunction with the Company’s financial statements and notes thereto for the year ended April 27, 2002, which are contained in the Company’s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ind w:right="340" w:firstLine="331"/>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and its wholly owned and greater than 50% owned subsidiaries. All significant inter-company accounts and transactions have been eliminated.</w:t>
      </w:r>
    </w:p>
    <w:p>
      <w:pPr>
        <w:spacing w:after="0" w:line="172" w:lineRule="exact"/>
        <w:rPr>
          <w:sz w:val="20"/>
          <w:szCs w:val="20"/>
          <w:color w:val="auto"/>
        </w:rPr>
      </w:pPr>
    </w:p>
    <w:p>
      <w:pPr>
        <w:ind w:right="140" w:firstLine="334"/>
        <w:spacing w:after="0" w:line="273" w:lineRule="auto"/>
        <w:rPr>
          <w:sz w:val="20"/>
          <w:szCs w:val="20"/>
          <w:color w:val="auto"/>
        </w:rPr>
      </w:pPr>
      <w:r>
        <w:rPr>
          <w:rFonts w:ascii="Arial" w:cs="Arial" w:eastAsia="Arial" w:hAnsi="Arial"/>
          <w:sz w:val="17"/>
          <w:szCs w:val="17"/>
          <w:color w:val="auto"/>
        </w:rPr>
        <w:t>Certain reclassifications have been made to the fiscal year 2002 financial statements to conform to the presentation used in the fiscal 2003 financial statements. The reclassifications had no effect on shareholders’ equity or net income as previously reported.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Recently Issued Accounting Pronouncements</w:t>
      </w:r>
    </w:p>
    <w:p>
      <w:pPr>
        <w:spacing w:after="0" w:line="220" w:lineRule="exact"/>
        <w:rPr>
          <w:sz w:val="20"/>
          <w:szCs w:val="20"/>
          <w:color w:val="auto"/>
        </w:rPr>
      </w:pPr>
    </w:p>
    <w:p>
      <w:pPr>
        <w:ind w:right="60" w:firstLine="334"/>
        <w:spacing w:after="0" w:line="314" w:lineRule="auto"/>
        <w:rPr>
          <w:sz w:val="20"/>
          <w:szCs w:val="20"/>
          <w:color w:val="auto"/>
        </w:rPr>
      </w:pPr>
      <w:r>
        <w:rPr>
          <w:rFonts w:ascii="Arial" w:cs="Arial" w:eastAsia="Arial" w:hAnsi="Arial"/>
          <w:sz w:val="15"/>
          <w:szCs w:val="15"/>
          <w:color w:val="auto"/>
        </w:rPr>
        <w:t>In June 2001, the FASB issued SFAS No. 143, “Accounting for Asset Retirement Obligations.” This statement, which is effective for fiscal years beginning after June 15, 2002, covers the accounting for closure or removal-type costs that are incurred with respect to long-lived assets. The nature of the Company’s business and long-lived assets is such that adoption of this new standard should have no significant impact on the Company’s financial position or results of operations.</w:t>
      </w:r>
    </w:p>
    <w:p>
      <w:pPr>
        <w:spacing w:after="0" w:line="145" w:lineRule="exact"/>
        <w:rPr>
          <w:sz w:val="20"/>
          <w:szCs w:val="20"/>
          <w:color w:val="auto"/>
        </w:rPr>
      </w:pPr>
    </w:p>
    <w:p>
      <w:pPr>
        <w:ind w:firstLine="334"/>
        <w:spacing w:after="0" w:line="295" w:lineRule="auto"/>
        <w:rPr>
          <w:sz w:val="20"/>
          <w:szCs w:val="20"/>
          <w:color w:val="auto"/>
        </w:rPr>
      </w:pPr>
      <w:r>
        <w:rPr>
          <w:rFonts w:ascii="Arial" w:cs="Arial" w:eastAsia="Arial" w:hAnsi="Arial"/>
          <w:sz w:val="15"/>
          <w:szCs w:val="15"/>
          <w:color w:val="auto"/>
        </w:rPr>
        <w:t>In August 2001, the FASB issued SFAS No. 144, “Accounting for the Impairment or Disposal of Long-Lived Assets,” which supersedes FASB No. 121, “Accounting for the Impairment of Long-Lived Assets and for Long-Lived Assets to be Disposed of.” The new statement also supersedes certain aspects of APB 30, “Reporting the Results of Operations-Reporting the Effects of Disposal of a Segment of a Business, and Extraordinary, Unusual and Infrequently Occurring Events and Transactions,” with regard to reporting the effects of a disposal of a segment of a business and will require expected future operating losses from discontinued operations to be reported in discontinued operations in the period incurred rather than as of the measurement date as presently required by APB 30. Additionally, certain dispositions may now qualify for discontinued operations treatment. The provisions of the statement are required to be applied for fiscal years beginning after December 15, 2001 and interim periods within those fiscal years. The adoption of SFAS No.144 had no impact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31" w:right="239" w:bottom="1440" w:gutter="0" w:footer="0" w:header="0"/>
        </w:sectPr>
      </w:pPr>
    </w:p>
    <w:bookmarkStart w:id="6" w:name="page7"/>
    <w:bookmarkEnd w:id="6"/>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p>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Revenue Recognition</w:t>
      </w:r>
    </w:p>
    <w:p>
      <w:pPr>
        <w:spacing w:after="0" w:line="220" w:lineRule="exact"/>
        <w:rPr>
          <w:sz w:val="20"/>
          <w:szCs w:val="20"/>
          <w:color w:val="auto"/>
        </w:rPr>
      </w:pPr>
    </w:p>
    <w:p>
      <w:pPr>
        <w:jc w:val="both"/>
        <w:ind w:right="100" w:firstLine="334"/>
        <w:spacing w:after="0" w:line="263" w:lineRule="auto"/>
        <w:rPr>
          <w:sz w:val="20"/>
          <w:szCs w:val="20"/>
          <w:color w:val="auto"/>
        </w:rPr>
      </w:pPr>
      <w:r>
        <w:rPr>
          <w:rFonts w:ascii="Arial" w:cs="Arial" w:eastAsia="Arial" w:hAnsi="Arial"/>
          <w:sz w:val="17"/>
          <w:szCs w:val="17"/>
          <w:i w:val="1"/>
          <w:iCs w:val="1"/>
          <w:color w:val="auto"/>
        </w:rPr>
        <w:t xml:space="preserve">Long-term contracts: </w:t>
      </w:r>
      <w:r>
        <w:rPr>
          <w:rFonts w:ascii="Arial" w:cs="Arial" w:eastAsia="Arial" w:hAnsi="Arial"/>
          <w:sz w:val="17"/>
          <w:szCs w:val="17"/>
          <w:color w:val="auto"/>
        </w:rPr>
        <w:t>Earnings on long-term contacts are recognized on the percentage-of-completion method, measured by the percentage of costs incurred to date</w:t>
      </w:r>
      <w:r>
        <w:rPr>
          <w:rFonts w:ascii="Arial" w:cs="Arial" w:eastAsia="Arial" w:hAnsi="Arial"/>
          <w:sz w:val="17"/>
          <w:szCs w:val="17"/>
          <w:i w:val="1"/>
          <w:iCs w:val="1"/>
          <w:color w:val="auto"/>
        </w:rPr>
        <w:t xml:space="preserve"> </w:t>
      </w:r>
      <w:r>
        <w:rPr>
          <w:rFonts w:ascii="Arial" w:cs="Arial" w:eastAsia="Arial" w:hAnsi="Arial"/>
          <w:sz w:val="17"/>
          <w:szCs w:val="17"/>
          <w:color w:val="auto"/>
        </w:rPr>
        <w:t>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80" w:lineRule="exact"/>
        <w:rPr>
          <w:sz w:val="20"/>
          <w:szCs w:val="20"/>
          <w:color w:val="auto"/>
        </w:rPr>
      </w:pPr>
    </w:p>
    <w:p>
      <w:pPr>
        <w:ind w:right="60" w:firstLine="334"/>
        <w:spacing w:after="0" w:line="273" w:lineRule="auto"/>
        <w:rPr>
          <w:sz w:val="20"/>
          <w:szCs w:val="20"/>
          <w:color w:val="auto"/>
        </w:rPr>
      </w:pPr>
      <w:r>
        <w:rPr>
          <w:rFonts w:ascii="Arial" w:cs="Arial" w:eastAsia="Arial" w:hAnsi="Arial"/>
          <w:sz w:val="17"/>
          <w:szCs w:val="17"/>
          <w:i w:val="1"/>
          <w:iCs w:val="1"/>
          <w:color w:val="auto"/>
        </w:rPr>
        <w:t xml:space="preserve">Equipment other than long-term contracts: </w:t>
      </w:r>
      <w:r>
        <w:rPr>
          <w:rFonts w:ascii="Arial" w:cs="Arial" w:eastAsia="Arial" w:hAnsi="Arial"/>
          <w:sz w:val="17"/>
          <w:szCs w:val="17"/>
          <w:color w:val="auto"/>
        </w:rPr>
        <w:t>The Company recognizes revenue on equipment sales, other than long-term contracts, when title passes, which is usually</w:t>
      </w:r>
      <w:r>
        <w:rPr>
          <w:rFonts w:ascii="Arial" w:cs="Arial" w:eastAsia="Arial" w:hAnsi="Arial"/>
          <w:sz w:val="17"/>
          <w:szCs w:val="17"/>
          <w:i w:val="1"/>
          <w:iCs w:val="1"/>
          <w:color w:val="auto"/>
        </w:rPr>
        <w:t xml:space="preserve"> </w:t>
      </w:r>
      <w:r>
        <w:rPr>
          <w:rFonts w:ascii="Arial" w:cs="Arial" w:eastAsia="Arial" w:hAnsi="Arial"/>
          <w:sz w:val="17"/>
          <w:szCs w:val="17"/>
          <w:color w:val="auto"/>
        </w:rPr>
        <w:t>upon shipment.</w:t>
      </w:r>
    </w:p>
    <w:p>
      <w:pPr>
        <w:spacing w:after="0" w:line="172" w:lineRule="exact"/>
        <w:rPr>
          <w:sz w:val="20"/>
          <w:szCs w:val="20"/>
          <w:color w:val="auto"/>
        </w:rPr>
      </w:pPr>
    </w:p>
    <w:p>
      <w:pPr>
        <w:ind w:right="100" w:firstLine="334"/>
        <w:spacing w:after="0" w:line="263" w:lineRule="auto"/>
        <w:rPr>
          <w:sz w:val="20"/>
          <w:szCs w:val="20"/>
          <w:color w:val="auto"/>
        </w:rPr>
      </w:pPr>
      <w:r>
        <w:rPr>
          <w:rFonts w:ascii="Arial" w:cs="Arial" w:eastAsia="Arial" w:hAnsi="Arial"/>
          <w:sz w:val="17"/>
          <w:szCs w:val="17"/>
          <w:i w:val="1"/>
          <w:iCs w:val="1"/>
          <w:color w:val="auto"/>
        </w:rPr>
        <w:t xml:space="preserve">Advertising rights: </w:t>
      </w:r>
      <w:r>
        <w:rPr>
          <w:rFonts w:ascii="Arial" w:cs="Arial" w:eastAsia="Arial" w:hAnsi="Arial"/>
          <w:sz w:val="17"/>
          <w:szCs w:val="17"/>
          <w:color w:val="auto"/>
        </w:rPr>
        <w:t>The Company occasionally sells and installs its products at facilities in exchange for the rights to sell and retain future advertising revenues. It</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revenue for the amount of the present value of the future advertising payments at such time that all such advertising is sold for the full term of the contract for the advertising rights.</w:t>
      </w:r>
    </w:p>
    <w:p>
      <w:pPr>
        <w:spacing w:after="0" w:line="180" w:lineRule="exact"/>
        <w:rPr>
          <w:sz w:val="20"/>
          <w:szCs w:val="20"/>
          <w:color w:val="auto"/>
        </w:rPr>
      </w:pPr>
    </w:p>
    <w:p>
      <w:pPr>
        <w:ind w:right="60" w:firstLine="334"/>
        <w:spacing w:after="0" w:line="259" w:lineRule="auto"/>
        <w:rPr>
          <w:sz w:val="20"/>
          <w:szCs w:val="20"/>
          <w:color w:val="auto"/>
        </w:rPr>
      </w:pPr>
      <w:r>
        <w:rPr>
          <w:rFonts w:ascii="Arial" w:cs="Arial" w:eastAsia="Arial" w:hAnsi="Arial"/>
          <w:sz w:val="17"/>
          <w:szCs w:val="17"/>
          <w:color w:val="auto"/>
        </w:rPr>
        <w:t>On those transactions where the Company has not sold the advertising for the full term of the rights, it records the related cost of equipment as advertising rights and amortizes that cost over the term of the rights. Revenue is recognized when it is earned under the provisions of applicable advertising contracts. Advance collections of advertising revenues are recorded as deferred income. The cost of capitalized advertising rights, net of amortization, was $415 as of November 2, 2002 and $489 as of April 27, 2002.</w:t>
      </w:r>
    </w:p>
    <w:p>
      <w:pPr>
        <w:spacing w:after="0" w:line="184" w:lineRule="exact"/>
        <w:rPr>
          <w:sz w:val="20"/>
          <w:szCs w:val="20"/>
          <w:color w:val="auto"/>
        </w:rPr>
      </w:pPr>
    </w:p>
    <w:p>
      <w:pPr>
        <w:ind w:right="140" w:firstLine="334"/>
        <w:spacing w:after="0" w:line="383" w:lineRule="auto"/>
        <w:rPr>
          <w:sz w:val="20"/>
          <w:szCs w:val="20"/>
          <w:color w:val="auto"/>
        </w:rPr>
      </w:pPr>
      <w:r>
        <w:rPr>
          <w:rFonts w:ascii="Arial" w:cs="Arial" w:eastAsia="Arial" w:hAnsi="Arial"/>
          <w:sz w:val="14"/>
          <w:szCs w:val="14"/>
          <w:i w:val="1"/>
          <w:iCs w:val="1"/>
          <w:color w:val="auto"/>
        </w:rPr>
        <w:t xml:space="preserve">Product maintenance: </w:t>
      </w:r>
      <w:r>
        <w:rPr>
          <w:rFonts w:ascii="Arial" w:cs="Arial" w:eastAsia="Arial" w:hAnsi="Arial"/>
          <w:sz w:val="14"/>
          <w:szCs w:val="14"/>
          <w:color w:val="auto"/>
        </w:rPr>
        <w:t>In connection with the sale of the Company’s products, it also occasionally sells separately priced extended warranties and product</w:t>
      </w:r>
      <w:r>
        <w:rPr>
          <w:rFonts w:ascii="Arial" w:cs="Arial" w:eastAsia="Arial" w:hAnsi="Arial"/>
          <w:sz w:val="14"/>
          <w:szCs w:val="14"/>
          <w:i w:val="1"/>
          <w:iCs w:val="1"/>
          <w:color w:val="auto"/>
        </w:rPr>
        <w:t xml:space="preserve"> </w:t>
      </w:r>
      <w:r>
        <w:rPr>
          <w:rFonts w:ascii="Arial" w:cs="Arial" w:eastAsia="Arial" w:hAnsi="Arial"/>
          <w:sz w:val="14"/>
          <w:szCs w:val="14"/>
          <w:color w:val="auto"/>
        </w:rPr>
        <w:t>maintenance contracts. The revenue related to such contracts are deferred and recognized as net sales over the term of the agreement which varies from two to ten years.</w:t>
      </w:r>
    </w:p>
    <w:p>
      <w:pPr>
        <w:spacing w:after="0" w:line="103" w:lineRule="exact"/>
        <w:rPr>
          <w:sz w:val="20"/>
          <w:szCs w:val="20"/>
          <w:color w:val="auto"/>
        </w:rPr>
      </w:pPr>
    </w:p>
    <w:p>
      <w:pPr>
        <w:ind w:right="20" w:firstLine="334"/>
        <w:spacing w:after="0" w:line="275"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The Company typically sells its proprietary software bundled with its video displays and certain other products. Pursuant to American Institute of Certified</w:t>
      </w:r>
      <w:r>
        <w:rPr>
          <w:rFonts w:ascii="Arial" w:cs="Arial" w:eastAsia="Arial" w:hAnsi="Arial"/>
          <w:sz w:val="16"/>
          <w:szCs w:val="16"/>
          <w:i w:val="1"/>
          <w:iCs w:val="1"/>
          <w:color w:val="auto"/>
        </w:rPr>
        <w:t xml:space="preserve"> </w:t>
      </w:r>
      <w:r>
        <w:rPr>
          <w:rFonts w:ascii="Arial" w:cs="Arial" w:eastAsia="Arial" w:hAnsi="Arial"/>
          <w:sz w:val="16"/>
          <w:szCs w:val="16"/>
          <w:color w:val="auto"/>
        </w:rPr>
        <w:t>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or determinable and collection is probable. For sales of software, included in long-term contracts, the revenue is recognized under the percentage-of-completion method for long-term contracts starting when the above-mentioned criteria have been meet.</w:t>
      </w:r>
    </w:p>
    <w:p>
      <w:pPr>
        <w:spacing w:after="0" w:line="174" w:lineRule="exact"/>
        <w:rPr>
          <w:sz w:val="20"/>
          <w:szCs w:val="20"/>
          <w:color w:val="auto"/>
        </w:rPr>
      </w:pPr>
    </w:p>
    <w:p>
      <w:pPr>
        <w:ind w:firstLine="334"/>
        <w:spacing w:after="0" w:line="273" w:lineRule="auto"/>
        <w:rPr>
          <w:sz w:val="20"/>
          <w:szCs w:val="20"/>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Revenues generated by the Company for services, event support, control room design, on-site training, and continuing technical support for operators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equipment are recognized as net sales as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8050" cy="450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Earnings Per Share</w:t>
      </w:r>
    </w:p>
    <w:p>
      <w:pPr>
        <w:spacing w:after="0" w:line="220" w:lineRule="exact"/>
        <w:rPr>
          <w:sz w:val="20"/>
          <w:szCs w:val="20"/>
          <w:color w:val="auto"/>
        </w:rPr>
      </w:pPr>
    </w:p>
    <w:p>
      <w:pPr>
        <w:ind w:right="480" w:firstLine="334"/>
        <w:spacing w:after="0" w:line="263" w:lineRule="auto"/>
        <w:rPr>
          <w:sz w:val="20"/>
          <w:szCs w:val="20"/>
          <w:color w:val="auto"/>
        </w:rPr>
      </w:pPr>
      <w:r>
        <w:rPr>
          <w:rFonts w:ascii="Arial" w:cs="Arial" w:eastAsia="Arial" w:hAnsi="Arial"/>
          <w:sz w:val="17"/>
          <w:szCs w:val="17"/>
          <w:color w:val="auto"/>
        </w:rPr>
        <w:t>Earnings per common share have been computed on the basis of the weighted-average number of common shares outstanding during each period presented. A reconciliation of the income and common share amounts used in the calculation of basic and diluted earnings per share (EPS) for the three and six months ended November 2, 2002 and October 27, 2001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0"/>
              </w:rPr>
              <w:t>Per Share</w:t>
            </w:r>
          </w:p>
        </w:tc>
        <w:tc>
          <w:tcPr>
            <w:tcW w:w="0" w:type="dxa"/>
            <w:vAlign w:val="bottom"/>
          </w:tcPr>
          <w:p>
            <w:pPr>
              <w:spacing w:after="0"/>
              <w:rPr>
                <w:sz w:val="1"/>
                <w:szCs w:val="1"/>
                <w:color w:val="auto"/>
              </w:rPr>
            </w:pPr>
          </w:p>
        </w:tc>
      </w:tr>
      <w:tr>
        <w:trPr>
          <w:trHeight w:val="217"/>
        </w:trPr>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Arial" w:cs="Arial" w:eastAsia="Arial" w:hAnsi="Arial"/>
                <w:sz w:val="17"/>
                <w:szCs w:val="17"/>
                <w:b w:val="1"/>
                <w:bCs w:val="1"/>
                <w:color w:val="auto"/>
              </w:rPr>
              <w:t>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ind w:left="100"/>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104"/>
        </w:trPr>
        <w:tc>
          <w:tcPr>
            <w:tcW w:w="4520" w:type="dxa"/>
            <w:vAlign w:val="bottom"/>
            <w:vMerge w:val="restart"/>
          </w:tcPr>
          <w:p>
            <w:pPr>
              <w:spacing w:after="0"/>
              <w:rPr>
                <w:sz w:val="20"/>
                <w:szCs w:val="20"/>
                <w:color w:val="auto"/>
              </w:rPr>
            </w:pPr>
            <w:r>
              <w:rPr>
                <w:rFonts w:ascii="Arial" w:cs="Arial" w:eastAsia="Arial" w:hAnsi="Arial"/>
                <w:sz w:val="17"/>
                <w:szCs w:val="17"/>
                <w:color w:val="auto"/>
              </w:rPr>
              <w:t>For the three months ended November 2, 2002:</w:t>
            </w: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20" w:type="dxa"/>
            <w:vAlign w:val="bottom"/>
          </w:tcPr>
          <w:p>
            <w:pPr>
              <w:ind w:left="260"/>
              <w:spacing w:after="0"/>
              <w:rPr>
                <w:sz w:val="20"/>
                <w:szCs w:val="20"/>
                <w:color w:val="auto"/>
              </w:rPr>
            </w:pPr>
            <w:r>
              <w:rPr>
                <w:rFonts w:ascii="Arial" w:cs="Arial" w:eastAsia="Arial" w:hAnsi="Arial"/>
                <w:sz w:val="17"/>
                <w:szCs w:val="17"/>
                <w:color w:val="auto"/>
              </w:rPr>
              <w:t>Basic earnings per share</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4,025</w:t>
            </w:r>
          </w:p>
        </w:tc>
        <w:tc>
          <w:tcPr>
            <w:tcW w:w="22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w w:val="98"/>
              </w:rPr>
              <w:t>18,335,181</w:t>
            </w:r>
          </w:p>
        </w:tc>
        <w:tc>
          <w:tcPr>
            <w:tcW w:w="22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260"/>
              <w:spacing w:after="0"/>
              <w:rPr>
                <w:sz w:val="20"/>
                <w:szCs w:val="20"/>
                <w:color w:val="auto"/>
              </w:rPr>
            </w:pPr>
            <w:r>
              <w:rPr>
                <w:rFonts w:ascii="Arial" w:cs="Arial" w:eastAsia="Arial" w:hAnsi="Arial"/>
                <w:sz w:val="17"/>
                <w:szCs w:val="17"/>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0C0C0"/>
          </w:tcPr>
          <w:p>
            <w:pPr>
              <w:ind w:left="340"/>
              <w:spacing w:after="0"/>
              <w:rPr>
                <w:sz w:val="20"/>
                <w:szCs w:val="20"/>
                <w:color w:val="auto"/>
              </w:rPr>
            </w:pPr>
            <w:r>
              <w:rPr>
                <w:rFonts w:ascii="Arial" w:cs="Arial" w:eastAsia="Arial" w:hAnsi="Arial"/>
                <w:sz w:val="17"/>
                <w:szCs w:val="17"/>
                <w:color w:val="auto"/>
              </w:rPr>
              <w:t>Exercise of stock options</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spacing w:after="0"/>
              <w:rPr>
                <w:sz w:val="17"/>
                <w:szCs w:val="17"/>
                <w:color w:val="auto"/>
              </w:rPr>
            </w:pPr>
          </w:p>
        </w:tc>
        <w:tc>
          <w:tcPr>
            <w:tcW w:w="86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973,286</w:t>
            </w:r>
          </w:p>
        </w:tc>
        <w:tc>
          <w:tcPr>
            <w:tcW w:w="2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0.01</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45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520" w:type="dxa"/>
            <w:vAlign w:val="bottom"/>
          </w:tcPr>
          <w:p>
            <w:pPr>
              <w:ind w:left="260"/>
              <w:spacing w:after="0"/>
              <w:rPr>
                <w:sz w:val="20"/>
                <w:szCs w:val="20"/>
                <w:color w:val="auto"/>
              </w:rPr>
            </w:pPr>
            <w:r>
              <w:rPr>
                <w:rFonts w:ascii="Arial" w:cs="Arial" w:eastAsia="Arial" w:hAnsi="Arial"/>
                <w:sz w:val="17"/>
                <w:szCs w:val="17"/>
                <w:color w:val="auto"/>
              </w:rPr>
              <w:t>Diluted earnings per share</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4,025</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w w:val="98"/>
              </w:rPr>
              <w:t>19,308,467</w:t>
            </w:r>
          </w:p>
        </w:tc>
        <w:tc>
          <w:tcPr>
            <w:tcW w:w="22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20" w:type="dxa"/>
            <w:vAlign w:val="bottom"/>
            <w:vMerge w:val="restart"/>
          </w:tcPr>
          <w:p>
            <w:pPr>
              <w:spacing w:after="0"/>
              <w:rPr>
                <w:sz w:val="20"/>
                <w:szCs w:val="20"/>
                <w:color w:val="auto"/>
              </w:rPr>
            </w:pPr>
            <w:r>
              <w:rPr>
                <w:rFonts w:ascii="Arial" w:cs="Arial" w:eastAsia="Arial" w:hAnsi="Arial"/>
                <w:sz w:val="17"/>
                <w:szCs w:val="17"/>
                <w:color w:val="auto"/>
              </w:rPr>
              <w:t>For the three months ended October 27, 2001:</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4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20" w:type="dxa"/>
            <w:vAlign w:val="bottom"/>
          </w:tcPr>
          <w:p>
            <w:pPr>
              <w:ind w:left="260"/>
              <w:spacing w:after="0"/>
              <w:rPr>
                <w:sz w:val="20"/>
                <w:szCs w:val="20"/>
                <w:color w:val="auto"/>
              </w:rPr>
            </w:pPr>
            <w:r>
              <w:rPr>
                <w:rFonts w:ascii="Arial" w:cs="Arial" w:eastAsia="Arial" w:hAnsi="Arial"/>
                <w:sz w:val="17"/>
                <w:szCs w:val="17"/>
                <w:color w:val="auto"/>
              </w:rPr>
              <w:t>Basic earnings per share</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w w:val="98"/>
              </w:rPr>
              <w:t>18,126,256</w:t>
            </w:r>
          </w:p>
        </w:tc>
        <w:tc>
          <w:tcPr>
            <w:tcW w:w="22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260"/>
              <w:spacing w:after="0"/>
              <w:rPr>
                <w:sz w:val="20"/>
                <w:szCs w:val="20"/>
                <w:color w:val="auto"/>
              </w:rPr>
            </w:pPr>
            <w:r>
              <w:rPr>
                <w:rFonts w:ascii="Arial" w:cs="Arial" w:eastAsia="Arial" w:hAnsi="Arial"/>
                <w:sz w:val="17"/>
                <w:szCs w:val="17"/>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0C0C0"/>
          </w:tcPr>
          <w:p>
            <w:pPr>
              <w:ind w:left="340"/>
              <w:spacing w:after="0"/>
              <w:rPr>
                <w:sz w:val="20"/>
                <w:szCs w:val="20"/>
                <w:color w:val="auto"/>
              </w:rPr>
            </w:pPr>
            <w:r>
              <w:rPr>
                <w:rFonts w:ascii="Arial" w:cs="Arial" w:eastAsia="Arial" w:hAnsi="Arial"/>
                <w:sz w:val="17"/>
                <w:szCs w:val="17"/>
                <w:color w:val="auto"/>
              </w:rPr>
              <w:t>Exercise of stock options and warrants</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spacing w:after="0"/>
              <w:rPr>
                <w:sz w:val="17"/>
                <w:szCs w:val="17"/>
                <w:color w:val="auto"/>
              </w:rPr>
            </w:pPr>
          </w:p>
        </w:tc>
        <w:tc>
          <w:tcPr>
            <w:tcW w:w="86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1,087,822</w:t>
            </w:r>
          </w:p>
        </w:tc>
        <w:tc>
          <w:tcPr>
            <w:tcW w:w="2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0.01</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45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520" w:type="dxa"/>
            <w:vAlign w:val="bottom"/>
          </w:tcPr>
          <w:p>
            <w:pPr>
              <w:ind w:left="260"/>
              <w:spacing w:after="0"/>
              <w:rPr>
                <w:sz w:val="20"/>
                <w:szCs w:val="20"/>
                <w:color w:val="auto"/>
              </w:rPr>
            </w:pPr>
            <w:r>
              <w:rPr>
                <w:rFonts w:ascii="Arial" w:cs="Arial" w:eastAsia="Arial" w:hAnsi="Arial"/>
                <w:sz w:val="17"/>
                <w:szCs w:val="17"/>
                <w:color w:val="auto"/>
              </w:rPr>
              <w:t>Diluted earnings per share</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w w:val="98"/>
              </w:rPr>
              <w:t>19,214,078</w:t>
            </w:r>
          </w:p>
        </w:tc>
        <w:tc>
          <w:tcPr>
            <w:tcW w:w="22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0.10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20" w:type="dxa"/>
            <w:vAlign w:val="bottom"/>
            <w:vMerge w:val="restart"/>
          </w:tcPr>
          <w:p>
            <w:pPr>
              <w:spacing w:after="0"/>
              <w:rPr>
                <w:sz w:val="20"/>
                <w:szCs w:val="20"/>
                <w:color w:val="auto"/>
              </w:rPr>
            </w:pPr>
            <w:r>
              <w:rPr>
                <w:rFonts w:ascii="Arial" w:cs="Arial" w:eastAsia="Arial" w:hAnsi="Arial"/>
                <w:sz w:val="17"/>
                <w:szCs w:val="17"/>
                <w:color w:val="auto"/>
              </w:rPr>
              <w:t>For the six months ended November 2, 2002:</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4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20" w:type="dxa"/>
            <w:vAlign w:val="bottom"/>
          </w:tcPr>
          <w:p>
            <w:pPr>
              <w:ind w:left="260"/>
              <w:spacing w:after="0"/>
              <w:rPr>
                <w:sz w:val="20"/>
                <w:szCs w:val="20"/>
                <w:color w:val="auto"/>
              </w:rPr>
            </w:pPr>
            <w:r>
              <w:rPr>
                <w:rFonts w:ascii="Arial" w:cs="Arial" w:eastAsia="Arial" w:hAnsi="Arial"/>
                <w:sz w:val="17"/>
                <w:szCs w:val="17"/>
                <w:color w:val="auto"/>
              </w:rPr>
              <w:t>Basic earnings per share</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7,159</w:t>
            </w:r>
          </w:p>
        </w:tc>
        <w:tc>
          <w:tcPr>
            <w:tcW w:w="22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w w:val="98"/>
              </w:rPr>
              <w:t>18,308,850</w:t>
            </w:r>
          </w:p>
        </w:tc>
        <w:tc>
          <w:tcPr>
            <w:tcW w:w="22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0.39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260"/>
              <w:spacing w:after="0"/>
              <w:rPr>
                <w:sz w:val="20"/>
                <w:szCs w:val="20"/>
                <w:color w:val="auto"/>
              </w:rPr>
            </w:pPr>
            <w:r>
              <w:rPr>
                <w:rFonts w:ascii="Arial" w:cs="Arial" w:eastAsia="Arial" w:hAnsi="Arial"/>
                <w:sz w:val="17"/>
                <w:szCs w:val="17"/>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0C0C0"/>
          </w:tcPr>
          <w:p>
            <w:pPr>
              <w:ind w:left="340"/>
              <w:spacing w:after="0"/>
              <w:rPr>
                <w:sz w:val="20"/>
                <w:szCs w:val="20"/>
                <w:color w:val="auto"/>
              </w:rPr>
            </w:pPr>
            <w:r>
              <w:rPr>
                <w:rFonts w:ascii="Arial" w:cs="Arial" w:eastAsia="Arial" w:hAnsi="Arial"/>
                <w:sz w:val="17"/>
                <w:szCs w:val="17"/>
                <w:color w:val="auto"/>
              </w:rPr>
              <w:t>Exercise of stock options</w:t>
            </w:r>
          </w:p>
        </w:tc>
        <w:tc>
          <w:tcPr>
            <w:tcW w:w="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spacing w:after="0"/>
              <w:rPr>
                <w:sz w:val="17"/>
                <w:szCs w:val="17"/>
                <w:color w:val="auto"/>
              </w:rPr>
            </w:pPr>
          </w:p>
        </w:tc>
        <w:tc>
          <w:tcPr>
            <w:tcW w:w="86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995,777</w:t>
            </w:r>
          </w:p>
        </w:tc>
        <w:tc>
          <w:tcPr>
            <w:tcW w:w="2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0.02</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45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520" w:type="dxa"/>
            <w:vAlign w:val="bottom"/>
          </w:tcPr>
          <w:p>
            <w:pPr>
              <w:ind w:left="260"/>
              <w:spacing w:after="0"/>
              <w:rPr>
                <w:sz w:val="20"/>
                <w:szCs w:val="20"/>
                <w:color w:val="auto"/>
              </w:rPr>
            </w:pPr>
            <w:r>
              <w:rPr>
                <w:rFonts w:ascii="Arial" w:cs="Arial" w:eastAsia="Arial" w:hAnsi="Arial"/>
                <w:sz w:val="17"/>
                <w:szCs w:val="17"/>
                <w:color w:val="auto"/>
              </w:rPr>
              <w:t>Diluted earnings per share</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7,159</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w w:val="98"/>
              </w:rPr>
              <w:t>19,304,627</w:t>
            </w:r>
          </w:p>
        </w:tc>
        <w:tc>
          <w:tcPr>
            <w:tcW w:w="22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0.37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-1890395</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2871470</wp:posOffset>
            </wp:positionH>
            <wp:positionV relativeFrom="paragraph">
              <wp:posOffset>-1890395</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-1890395</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-1890395</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-1890395</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-1890395</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-951865</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2871470</wp:posOffset>
            </wp:positionH>
            <wp:positionV relativeFrom="paragraph">
              <wp:posOffset>-951865</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-951865</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-951865</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-951865</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-951865</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2871470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67" w:orient="portrait"/>
          <w:cols w:equalWidth="0" w:num="1">
            <w:col w:w="11400"/>
          </w:cols>
          <w:pgMar w:left="240" w:top="1043" w:right="25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For the six months ended October 27, 2001:</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4520" w:type="dxa"/>
            <w:vAlign w:val="bottom"/>
          </w:tcPr>
          <w:p>
            <w:pPr>
              <w:ind w:left="260"/>
              <w:spacing w:after="0"/>
              <w:rPr>
                <w:sz w:val="20"/>
                <w:szCs w:val="20"/>
                <w:color w:val="auto"/>
              </w:rPr>
            </w:pPr>
            <w:r>
              <w:rPr>
                <w:rFonts w:ascii="Arial" w:cs="Arial" w:eastAsia="Arial" w:hAnsi="Arial"/>
                <w:sz w:val="17"/>
                <w:szCs w:val="17"/>
                <w:color w:val="auto"/>
              </w:rPr>
              <w:t>Basic earnings per share</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3,590</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18,087,794</w:t>
            </w: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0.20</w:t>
            </w:r>
          </w:p>
        </w:tc>
      </w:tr>
      <w:tr>
        <w:trPr>
          <w:trHeight w:val="214"/>
        </w:trPr>
        <w:tc>
          <w:tcPr>
            <w:tcW w:w="4520" w:type="dxa"/>
            <w:vAlign w:val="bottom"/>
          </w:tcPr>
          <w:p>
            <w:pPr>
              <w:ind w:left="260"/>
              <w:spacing w:after="0"/>
              <w:rPr>
                <w:sz w:val="20"/>
                <w:szCs w:val="20"/>
                <w:color w:val="auto"/>
              </w:rPr>
            </w:pPr>
            <w:r>
              <w:rPr>
                <w:rFonts w:ascii="Arial" w:cs="Arial" w:eastAsia="Arial" w:hAnsi="Arial"/>
                <w:sz w:val="17"/>
                <w:szCs w:val="17"/>
                <w:color w:val="auto"/>
              </w:rPr>
              <w:t>Effect of dilutive securities:</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4520" w:type="dxa"/>
            <w:vAlign w:val="bottom"/>
            <w:shd w:val="clear" w:color="auto" w:fill="C0C0C0"/>
          </w:tcPr>
          <w:p>
            <w:pPr>
              <w:ind w:left="340"/>
              <w:spacing w:after="0"/>
              <w:rPr>
                <w:sz w:val="20"/>
                <w:szCs w:val="20"/>
                <w:color w:val="auto"/>
              </w:rPr>
            </w:pPr>
            <w:r>
              <w:rPr>
                <w:rFonts w:ascii="Arial" w:cs="Arial" w:eastAsia="Arial" w:hAnsi="Arial"/>
                <w:sz w:val="17"/>
                <w:szCs w:val="17"/>
                <w:color w:val="auto"/>
              </w:rPr>
              <w:t>Exercise of stock options and warrants</w:t>
            </w:r>
          </w:p>
        </w:tc>
        <w:tc>
          <w:tcPr>
            <w:tcW w:w="30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spacing w:after="0"/>
              <w:rPr>
                <w:sz w:val="17"/>
                <w:szCs w:val="17"/>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1,175,888</w:t>
            </w:r>
          </w:p>
        </w:tc>
        <w:tc>
          <w:tcPr>
            <w:tcW w:w="24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0.01</w:t>
            </w:r>
          </w:p>
        </w:tc>
      </w:tr>
      <w:tr>
        <w:trPr>
          <w:trHeight w:val="103"/>
        </w:trPr>
        <w:tc>
          <w:tcPr>
            <w:tcW w:w="45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300"/>
        </w:trPr>
        <w:tc>
          <w:tcPr>
            <w:tcW w:w="4520" w:type="dxa"/>
            <w:vAlign w:val="bottom"/>
          </w:tcPr>
          <w:p>
            <w:pPr>
              <w:ind w:left="260"/>
              <w:spacing w:after="0"/>
              <w:rPr>
                <w:sz w:val="20"/>
                <w:szCs w:val="20"/>
                <w:color w:val="auto"/>
              </w:rPr>
            </w:pPr>
            <w:r>
              <w:rPr>
                <w:rFonts w:ascii="Arial" w:cs="Arial" w:eastAsia="Arial" w:hAnsi="Arial"/>
                <w:sz w:val="17"/>
                <w:szCs w:val="17"/>
                <w:color w:val="auto"/>
              </w:rPr>
              <w:t>Diluted earnings per share</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3,590</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19,263,682</w:t>
            </w: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0.19</w:t>
            </w:r>
          </w:p>
        </w:tc>
      </w:tr>
      <w:tr>
        <w:trPr>
          <w:trHeight w:val="113"/>
        </w:trPr>
        <w:tc>
          <w:tcPr>
            <w:tcW w:w="45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2871470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Goodwill and Other Intangible Assets — Adoption of SFAS No. 142</w:t>
      </w:r>
    </w:p>
    <w:p>
      <w:pPr>
        <w:spacing w:after="0" w:line="220" w:lineRule="exact"/>
        <w:rPr>
          <w:sz w:val="20"/>
          <w:szCs w:val="20"/>
          <w:color w:val="auto"/>
        </w:rPr>
      </w:pPr>
    </w:p>
    <w:p>
      <w:pPr>
        <w:ind w:firstLine="334"/>
        <w:spacing w:after="0" w:line="259" w:lineRule="auto"/>
        <w:rPr>
          <w:sz w:val="20"/>
          <w:szCs w:val="20"/>
          <w:color w:val="auto"/>
        </w:rPr>
      </w:pPr>
      <w:r>
        <w:rPr>
          <w:rFonts w:ascii="Arial" w:cs="Arial" w:eastAsia="Arial" w:hAnsi="Arial"/>
          <w:sz w:val="17"/>
          <w:szCs w:val="17"/>
          <w:color w:val="auto"/>
        </w:rPr>
        <w:t>Effective April 28, 2002, in accordance with SFAS No. 142, the Company ceased amortizing goodwill with a net book value of approximately $1,061 as of April 27, 2002. The adoption of SFAS No. 142 is expected to reduce fiscal 2003 annual amortization expense by approximately $108. Instead goodwill will be reviewed for impairment at least annually. The transitional impairment review was performed during the quarter ended November 2, 2002 and the carrying value of goodwill was not impaired.</w:t>
      </w:r>
    </w:p>
    <w:p>
      <w:pPr>
        <w:spacing w:after="0" w:line="184" w:lineRule="exact"/>
        <w:rPr>
          <w:sz w:val="20"/>
          <w:szCs w:val="20"/>
          <w:color w:val="auto"/>
        </w:rPr>
      </w:pPr>
    </w:p>
    <w:p>
      <w:pPr>
        <w:ind w:right="80" w:firstLine="334"/>
        <w:spacing w:after="0" w:line="342" w:lineRule="auto"/>
        <w:rPr>
          <w:sz w:val="20"/>
          <w:szCs w:val="20"/>
          <w:color w:val="auto"/>
        </w:rPr>
      </w:pPr>
      <w:r>
        <w:rPr>
          <w:rFonts w:ascii="Arial" w:cs="Arial" w:eastAsia="Arial" w:hAnsi="Arial"/>
          <w:sz w:val="15"/>
          <w:szCs w:val="15"/>
          <w:color w:val="auto"/>
        </w:rPr>
        <w:t>For the three and six months ended October 27, 2001, $29 and $58 of goodwill amortization expense, net of tax benefits was recorded. The following table presents the impact of SFAS 142 on net income and the related per share amounts as if it had been in effect for the three and six months ended October 27, 2001.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182"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3120" w:type="dxa"/>
            <w:vAlign w:val="bottom"/>
            <w:gridSpan w:val="2"/>
          </w:tcPr>
          <w:p>
            <w:pPr>
              <w:spacing w:after="0"/>
              <w:rPr>
                <w:rFonts w:ascii="Arial" w:cs="Arial" w:eastAsia="Arial" w:hAnsi="Arial"/>
                <w:sz w:val="17"/>
                <w:szCs w:val="17"/>
                <w:color w:val="0000EE"/>
              </w:rPr>
            </w:pPr>
            <w:hyperlink w:anchor="page1">
              <w:r>
                <w:rPr>
                  <w:rFonts w:ascii="Arial" w:cs="Arial" w:eastAsia="Arial" w:hAnsi="Arial"/>
                  <w:sz w:val="17"/>
                  <w:szCs w:val="17"/>
                  <w:color w:val="0000EE"/>
                </w:rPr>
                <w:t>Table of Contents</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0"/>
        </w:trPr>
        <w:tc>
          <w:tcPr>
            <w:tcW w:w="118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7"/>
          </w:tcPr>
          <w:p>
            <w:pPr>
              <w:ind w:left="300"/>
              <w:spacing w:after="0"/>
              <w:rPr>
                <w:sz w:val="20"/>
                <w:szCs w:val="20"/>
                <w:color w:val="auto"/>
              </w:rPr>
            </w:pPr>
            <w:r>
              <w:rPr>
                <w:rFonts w:ascii="Arial" w:cs="Arial" w:eastAsia="Arial" w:hAnsi="Arial"/>
                <w:sz w:val="17"/>
                <w:szCs w:val="17"/>
                <w:b w:val="1"/>
                <w:bCs w:val="1"/>
                <w:color w:val="auto"/>
              </w:rPr>
              <w:t>Three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9"/>
          </w:tcPr>
          <w:p>
            <w:pPr>
              <w:ind w:left="36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7"/>
                <w:szCs w:val="17"/>
                <w:b w:val="1"/>
                <w:bCs w:val="1"/>
                <w:color w:val="auto"/>
                <w:w w:val="97"/>
              </w:rPr>
              <w:t>November 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7"/>
                <w:szCs w:val="17"/>
                <w:b w:val="1"/>
                <w:bCs w:val="1"/>
                <w:color w:val="auto"/>
              </w:rPr>
              <w:t>October 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November 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4"/>
          </w:tcPr>
          <w:p>
            <w:pPr>
              <w:ind w:left="20"/>
              <w:spacing w:after="0"/>
              <w:rPr>
                <w:sz w:val="20"/>
                <w:szCs w:val="20"/>
                <w:color w:val="auto"/>
              </w:rPr>
            </w:pPr>
            <w:r>
              <w:rPr>
                <w:rFonts w:ascii="Arial" w:cs="Arial" w:eastAsia="Arial" w:hAnsi="Arial"/>
                <w:sz w:val="17"/>
                <w:szCs w:val="17"/>
                <w:b w:val="1"/>
                <w:bCs w:val="1"/>
                <w:color w:val="auto"/>
              </w:rPr>
              <w:t>October 27,</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ind w:right="116"/>
              <w:spacing w:after="0"/>
              <w:rPr>
                <w:sz w:val="20"/>
                <w:szCs w:val="20"/>
                <w:color w:val="auto"/>
              </w:rPr>
            </w:pPr>
            <w:r>
              <w:rPr>
                <w:rFonts w:ascii="Arial" w:cs="Arial" w:eastAsia="Arial" w:hAnsi="Arial"/>
                <w:sz w:val="17"/>
                <w:szCs w:val="17"/>
                <w:b w:val="1"/>
                <w:bCs w:val="1"/>
                <w:color w:val="auto"/>
              </w:rPr>
              <w:t>2002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96"/>
              <w:spacing w:after="0"/>
              <w:rPr>
                <w:sz w:val="20"/>
                <w:szCs w:val="20"/>
                <w:color w:val="auto"/>
              </w:rPr>
            </w:pPr>
            <w:r>
              <w:rPr>
                <w:rFonts w:ascii="Arial" w:cs="Arial" w:eastAsia="Arial" w:hAnsi="Arial"/>
                <w:sz w:val="17"/>
                <w:szCs w:val="17"/>
                <w:b w:val="1"/>
                <w:bCs w:val="1"/>
                <w:color w:val="auto"/>
              </w:rPr>
              <w:t>2001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96"/>
              <w:spacing w:after="0"/>
              <w:rPr>
                <w:sz w:val="20"/>
                <w:szCs w:val="20"/>
                <w:color w:val="auto"/>
              </w:rPr>
            </w:pPr>
            <w:r>
              <w:rPr>
                <w:rFonts w:ascii="Arial" w:cs="Arial" w:eastAsia="Arial" w:hAnsi="Arial"/>
                <w:sz w:val="17"/>
                <w:szCs w:val="17"/>
                <w:b w:val="1"/>
                <w:bCs w:val="1"/>
                <w:color w:val="auto"/>
              </w:rPr>
              <w:t>2002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36"/>
              <w:spacing w:after="0"/>
              <w:rPr>
                <w:sz w:val="20"/>
                <w:szCs w:val="20"/>
                <w:color w:val="auto"/>
              </w:rPr>
            </w:pPr>
            <w:r>
              <w:rPr>
                <w:rFonts w:ascii="Arial" w:cs="Arial" w:eastAsia="Arial" w:hAnsi="Arial"/>
                <w:sz w:val="17"/>
                <w:szCs w:val="17"/>
                <w:b w:val="1"/>
                <w:bCs w:val="1"/>
                <w:color w:val="auto"/>
              </w:rPr>
              <w:t>2001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3120" w:type="dxa"/>
            <w:vAlign w:val="bottom"/>
            <w:gridSpan w:val="2"/>
          </w:tcPr>
          <w:p>
            <w:pPr>
              <w:spacing w:after="0"/>
              <w:rPr>
                <w:sz w:val="20"/>
                <w:szCs w:val="20"/>
                <w:color w:val="auto"/>
              </w:rPr>
            </w:pPr>
            <w:r>
              <w:rPr>
                <w:rFonts w:ascii="Arial" w:cs="Arial" w:eastAsia="Arial" w:hAnsi="Arial"/>
                <w:sz w:val="17"/>
                <w:szCs w:val="17"/>
                <w:color w:val="auto"/>
              </w:rPr>
              <w:t>Reported net income per share</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4,025</w:t>
            </w:r>
          </w:p>
        </w:tc>
        <w:tc>
          <w:tcPr>
            <w:tcW w:w="1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2,016</w:t>
            </w:r>
          </w:p>
        </w:tc>
        <w:tc>
          <w:tcPr>
            <w:tcW w:w="1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7,159</w:t>
            </w:r>
          </w:p>
        </w:tc>
        <w:tc>
          <w:tcPr>
            <w:tcW w:w="120" w:type="dxa"/>
            <w:vAlign w:val="bottom"/>
            <w:gridSpan w:val="3"/>
          </w:tcPr>
          <w:p>
            <w:pPr>
              <w:jc w:val="right"/>
              <w:ind w:right="20"/>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3,590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120" w:type="dxa"/>
            <w:vAlign w:val="bottom"/>
            <w:gridSpan w:val="2"/>
          </w:tcPr>
          <w:p>
            <w:pPr>
              <w:spacing w:after="0"/>
              <w:rPr>
                <w:sz w:val="20"/>
                <w:szCs w:val="20"/>
                <w:color w:val="auto"/>
              </w:rPr>
            </w:pPr>
            <w:r>
              <w:rPr>
                <w:rFonts w:ascii="Arial" w:cs="Arial" w:eastAsia="Arial" w:hAnsi="Arial"/>
                <w:sz w:val="17"/>
                <w:szCs w:val="17"/>
                <w:color w:val="auto"/>
              </w:rPr>
              <w:t>Addback: Goodwill amortization,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gridSpan w:val="2"/>
          </w:tcPr>
          <w:p>
            <w:pPr>
              <w:ind w:left="80"/>
              <w:spacing w:after="0"/>
              <w:rPr>
                <w:sz w:val="20"/>
                <w:szCs w:val="20"/>
                <w:color w:val="auto"/>
              </w:rPr>
            </w:pPr>
            <w:r>
              <w:rPr>
                <w:rFonts w:ascii="Arial" w:cs="Arial" w:eastAsia="Arial" w:hAnsi="Arial"/>
                <w:sz w:val="17"/>
                <w:szCs w:val="17"/>
                <w:color w:val="auto"/>
              </w:rPr>
              <w:t>net of tax effects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gridSpan w:val="3"/>
          </w:tcPr>
          <w:p>
            <w:pPr>
              <w:jc w:val="right"/>
              <w:ind w:right="20"/>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1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Adjusted net income per share</w:t>
            </w:r>
          </w:p>
        </w:tc>
        <w:tc>
          <w:tcPr>
            <w:tcW w:w="100" w:type="dxa"/>
            <w:vAlign w:val="bottom"/>
            <w:gridSpan w:val="2"/>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4,025</w:t>
            </w:r>
          </w:p>
        </w:tc>
        <w:tc>
          <w:tcPr>
            <w:tcW w:w="16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2,045</w:t>
            </w:r>
          </w:p>
        </w:tc>
        <w:tc>
          <w:tcPr>
            <w:tcW w:w="160" w:type="dxa"/>
            <w:vAlign w:val="bottom"/>
            <w:gridSpan w:val="4"/>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7,159</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3,648</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3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Basic earnings per share:</w:t>
            </w: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31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120" w:type="dxa"/>
            <w:vAlign w:val="bottom"/>
            <w:gridSpan w:val="2"/>
          </w:tcPr>
          <w:p>
            <w:pPr>
              <w:spacing w:after="0"/>
              <w:rPr>
                <w:sz w:val="20"/>
                <w:szCs w:val="20"/>
                <w:color w:val="auto"/>
              </w:rPr>
            </w:pPr>
            <w:r>
              <w:rPr>
                <w:rFonts w:ascii="Arial" w:cs="Arial" w:eastAsia="Arial" w:hAnsi="Arial"/>
                <w:sz w:val="17"/>
                <w:szCs w:val="17"/>
                <w:color w:val="auto"/>
              </w:rPr>
              <w:t>Reported net income per share</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0.22</w:t>
            </w:r>
          </w:p>
        </w:tc>
        <w:tc>
          <w:tcPr>
            <w:tcW w:w="1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0.11</w:t>
            </w:r>
          </w:p>
        </w:tc>
        <w:tc>
          <w:tcPr>
            <w:tcW w:w="1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0.39</w:t>
            </w:r>
          </w:p>
        </w:tc>
        <w:tc>
          <w:tcPr>
            <w:tcW w:w="120" w:type="dxa"/>
            <w:vAlign w:val="bottom"/>
            <w:gridSpan w:val="3"/>
          </w:tcPr>
          <w:p>
            <w:pPr>
              <w:jc w:val="right"/>
              <w:ind w:right="20"/>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0.20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gridSpan w:val="2"/>
          </w:tcPr>
          <w:p>
            <w:pPr>
              <w:spacing w:after="0"/>
              <w:rPr>
                <w:sz w:val="20"/>
                <w:szCs w:val="20"/>
                <w:color w:val="auto"/>
              </w:rPr>
            </w:pPr>
            <w:r>
              <w:rPr>
                <w:rFonts w:ascii="Arial" w:cs="Arial" w:eastAsia="Arial" w:hAnsi="Arial"/>
                <w:sz w:val="17"/>
                <w:szCs w:val="17"/>
                <w:color w:val="auto"/>
              </w:rPr>
              <w:t>Goodwill amortization,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gridSpan w:val="2"/>
          </w:tcPr>
          <w:p>
            <w:pPr>
              <w:ind w:left="80"/>
              <w:spacing w:after="0"/>
              <w:rPr>
                <w:sz w:val="20"/>
                <w:szCs w:val="20"/>
                <w:color w:val="auto"/>
              </w:rPr>
            </w:pPr>
            <w:r>
              <w:rPr>
                <w:rFonts w:ascii="Arial" w:cs="Arial" w:eastAsia="Arial" w:hAnsi="Arial"/>
                <w:sz w:val="17"/>
                <w:szCs w:val="17"/>
                <w:color w:val="auto"/>
              </w:rPr>
              <w:t>net of tax effects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1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Adjusted net income per share</w:t>
            </w:r>
          </w:p>
        </w:tc>
        <w:tc>
          <w:tcPr>
            <w:tcW w:w="100" w:type="dxa"/>
            <w:vAlign w:val="bottom"/>
            <w:gridSpan w:val="2"/>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0.22</w:t>
            </w:r>
          </w:p>
        </w:tc>
        <w:tc>
          <w:tcPr>
            <w:tcW w:w="16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0.11</w:t>
            </w:r>
          </w:p>
        </w:tc>
        <w:tc>
          <w:tcPr>
            <w:tcW w:w="160" w:type="dxa"/>
            <w:vAlign w:val="bottom"/>
            <w:gridSpan w:val="4"/>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.039</w:t>
            </w:r>
          </w:p>
        </w:tc>
        <w:tc>
          <w:tcPr>
            <w:tcW w:w="120" w:type="dxa"/>
            <w:vAlign w:val="bottom"/>
            <w:gridSpan w:val="3"/>
            <w:shd w:val="clear" w:color="auto" w:fill="C0C0C0"/>
          </w:tcPr>
          <w:p>
            <w:pPr>
              <w:jc w:val="right"/>
              <w:ind w:right="20"/>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0.20</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3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Diluted earnings per share:</w:t>
            </w: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31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120" w:type="dxa"/>
            <w:vAlign w:val="bottom"/>
            <w:gridSpan w:val="2"/>
          </w:tcPr>
          <w:p>
            <w:pPr>
              <w:spacing w:after="0"/>
              <w:rPr>
                <w:sz w:val="20"/>
                <w:szCs w:val="20"/>
                <w:color w:val="auto"/>
              </w:rPr>
            </w:pPr>
            <w:r>
              <w:rPr>
                <w:rFonts w:ascii="Arial" w:cs="Arial" w:eastAsia="Arial" w:hAnsi="Arial"/>
                <w:sz w:val="17"/>
                <w:szCs w:val="17"/>
                <w:color w:val="auto"/>
              </w:rPr>
              <w:t>Reported net income per share</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0.21</w:t>
            </w:r>
          </w:p>
        </w:tc>
        <w:tc>
          <w:tcPr>
            <w:tcW w:w="1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0.10</w:t>
            </w:r>
          </w:p>
        </w:tc>
        <w:tc>
          <w:tcPr>
            <w:tcW w:w="1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0.37</w:t>
            </w:r>
          </w:p>
        </w:tc>
        <w:tc>
          <w:tcPr>
            <w:tcW w:w="120" w:type="dxa"/>
            <w:vAlign w:val="bottom"/>
            <w:gridSpan w:val="3"/>
          </w:tcPr>
          <w:p>
            <w:pPr>
              <w:jc w:val="right"/>
              <w:ind w:right="20"/>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0.19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gridSpan w:val="2"/>
          </w:tcPr>
          <w:p>
            <w:pPr>
              <w:spacing w:after="0"/>
              <w:rPr>
                <w:sz w:val="20"/>
                <w:szCs w:val="20"/>
                <w:color w:val="auto"/>
              </w:rPr>
            </w:pPr>
            <w:r>
              <w:rPr>
                <w:rFonts w:ascii="Arial" w:cs="Arial" w:eastAsia="Arial" w:hAnsi="Arial"/>
                <w:sz w:val="17"/>
                <w:szCs w:val="17"/>
                <w:color w:val="auto"/>
              </w:rPr>
              <w:t>Goodwill amortization,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gridSpan w:val="2"/>
          </w:tcPr>
          <w:p>
            <w:pPr>
              <w:ind w:left="80"/>
              <w:spacing w:after="0"/>
              <w:rPr>
                <w:sz w:val="20"/>
                <w:szCs w:val="20"/>
                <w:color w:val="auto"/>
              </w:rPr>
            </w:pPr>
            <w:r>
              <w:rPr>
                <w:rFonts w:ascii="Arial" w:cs="Arial" w:eastAsia="Arial" w:hAnsi="Arial"/>
                <w:sz w:val="17"/>
                <w:szCs w:val="17"/>
                <w:color w:val="auto"/>
              </w:rPr>
              <w:t>net of tax effects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0.01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1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Adjusted net income per share</w:t>
            </w:r>
          </w:p>
        </w:tc>
        <w:tc>
          <w:tcPr>
            <w:tcW w:w="100" w:type="dxa"/>
            <w:vAlign w:val="bottom"/>
            <w:gridSpan w:val="2"/>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0.21</w:t>
            </w:r>
          </w:p>
        </w:tc>
        <w:tc>
          <w:tcPr>
            <w:tcW w:w="16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0.11</w:t>
            </w:r>
          </w:p>
        </w:tc>
        <w:tc>
          <w:tcPr>
            <w:tcW w:w="160" w:type="dxa"/>
            <w:vAlign w:val="bottom"/>
            <w:gridSpan w:val="4"/>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0.37</w:t>
            </w:r>
          </w:p>
        </w:tc>
        <w:tc>
          <w:tcPr>
            <w:tcW w:w="120" w:type="dxa"/>
            <w:vAlign w:val="bottom"/>
            <w:gridSpan w:val="3"/>
            <w:shd w:val="clear" w:color="auto" w:fill="C0C0C0"/>
          </w:tcPr>
          <w:p>
            <w:pPr>
              <w:jc w:val="right"/>
              <w:ind w:right="20"/>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0.19</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1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050" cy="45085"/>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-1890395</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-1890395</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-1890395</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-1890395</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-1890395</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-1890395</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-1890395</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-1890395</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-951865</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-951865</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-951865</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-951865</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-951865</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-951865</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-951865</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-951865</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assets subject to amortization, which included primarily a non-compete agreement and a patent license,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tcPr>
          <w:p>
            <w:pPr>
              <w:ind w:left="40"/>
              <w:spacing w:after="0"/>
              <w:rPr>
                <w:sz w:val="20"/>
                <w:szCs w:val="20"/>
                <w:color w:val="auto"/>
              </w:rPr>
            </w:pPr>
            <w:r>
              <w:rPr>
                <w:rFonts w:ascii="Arial" w:cs="Arial" w:eastAsia="Arial" w:hAnsi="Arial"/>
                <w:sz w:val="17"/>
                <w:szCs w:val="17"/>
                <w:b w:val="1"/>
                <w:bCs w:val="1"/>
                <w:color w:val="auto"/>
                <w:w w:val="92"/>
              </w:rPr>
              <w:t>November 2, 2002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4"/>
              </w:rPr>
              <w:t>April 27, 2002</w:t>
            </w:r>
          </w:p>
        </w:tc>
      </w:tr>
      <w:tr>
        <w:trPr>
          <w:trHeight w:val="104"/>
        </w:trPr>
        <w:tc>
          <w:tcPr>
            <w:tcW w:w="48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r>
        <w:trPr>
          <w:trHeight w:val="293"/>
        </w:trPr>
        <w:tc>
          <w:tcPr>
            <w:tcW w:w="4840" w:type="dxa"/>
            <w:vAlign w:val="bottom"/>
          </w:tcPr>
          <w:p>
            <w:pPr>
              <w:spacing w:after="0"/>
              <w:rPr>
                <w:sz w:val="20"/>
                <w:szCs w:val="20"/>
                <w:color w:val="auto"/>
              </w:rPr>
            </w:pPr>
            <w:r>
              <w:rPr>
                <w:rFonts w:ascii="Arial" w:cs="Arial" w:eastAsia="Arial" w:hAnsi="Arial"/>
                <w:sz w:val="17"/>
                <w:szCs w:val="17"/>
                <w:color w:val="auto"/>
              </w:rPr>
              <w:t>Intangible Assets</w:t>
            </w:r>
          </w:p>
        </w:tc>
        <w:tc>
          <w:tcPr>
            <w:tcW w:w="560" w:type="dxa"/>
            <w:vAlign w:val="bottom"/>
            <w:gridSpan w:val="2"/>
          </w:tcPr>
          <w:p>
            <w:pPr>
              <w:jc w:val="right"/>
              <w:ind w:right="39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550</w:t>
            </w:r>
          </w:p>
        </w:tc>
        <w:tc>
          <w:tcPr>
            <w:tcW w:w="60" w:type="dxa"/>
            <w:vAlign w:val="bottom"/>
          </w:tcPr>
          <w:p>
            <w:pPr>
              <w:spacing w:after="0"/>
              <w:rPr>
                <w:sz w:val="24"/>
                <w:szCs w:val="24"/>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(365)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(310)</w:t>
            </w:r>
          </w:p>
        </w:tc>
      </w:tr>
      <w:tr>
        <w:trPr>
          <w:trHeight w:val="104"/>
        </w:trPr>
        <w:tc>
          <w:tcPr>
            <w:tcW w:w="48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0"/>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240</w:t>
            </w:r>
          </w:p>
        </w:tc>
        <w:tc>
          <w:tcPr>
            <w:tcW w:w="60" w:type="dxa"/>
            <w:vAlign w:val="bottom"/>
          </w:tcPr>
          <w:p>
            <w:pPr>
              <w:spacing w:after="0"/>
              <w:rPr>
                <w:sz w:val="24"/>
                <w:szCs w:val="24"/>
                <w:color w:val="auto"/>
              </w:rPr>
            </w:pPr>
          </w:p>
        </w:tc>
      </w:tr>
      <w:tr>
        <w:trPr>
          <w:trHeight w:val="113"/>
        </w:trPr>
        <w:tc>
          <w:tcPr>
            <w:tcW w:w="48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right="40" w:firstLine="325"/>
        <w:spacing w:after="0" w:line="273" w:lineRule="auto"/>
        <w:rPr>
          <w:sz w:val="20"/>
          <w:szCs w:val="20"/>
          <w:color w:val="auto"/>
        </w:rPr>
      </w:pPr>
      <w:r>
        <w:rPr>
          <w:rFonts w:ascii="Arial" w:cs="Arial" w:eastAsia="Arial" w:hAnsi="Arial"/>
          <w:sz w:val="17"/>
          <w:szCs w:val="17"/>
          <w:color w:val="auto"/>
        </w:rPr>
        <w:t>Amortization expense related to other intangible assets was approximately $55 for the six months ended November 2, 2002 and is expected to be $113 for the full fiscal year ending May 3, 2003.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Pr>
          <w:p>
            <w:pPr>
              <w:spacing w:after="0"/>
              <w:rPr>
                <w:sz w:val="20"/>
                <w:szCs w:val="20"/>
                <w:color w:val="auto"/>
              </w:rPr>
            </w:pPr>
            <w:r>
              <w:rPr>
                <w:rFonts w:ascii="Arial" w:cs="Arial" w:eastAsia="Arial" w:hAnsi="Arial"/>
                <w:sz w:val="17"/>
                <w:szCs w:val="17"/>
                <w:b w:val="1"/>
                <w:bCs w:val="1"/>
                <w:color w:val="auto"/>
              </w:rPr>
              <w:t>Note 6. Inventories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1"/>
        </w:trPr>
        <w:tc>
          <w:tcPr>
            <w:tcW w:w="4840" w:type="dxa"/>
            <w:vAlign w:val="bottom"/>
          </w:tcPr>
          <w:p>
            <w:pPr>
              <w:ind w:left="340"/>
              <w:spacing w:after="0"/>
              <w:rPr>
                <w:sz w:val="20"/>
                <w:szCs w:val="20"/>
                <w:color w:val="auto"/>
              </w:rPr>
            </w:pPr>
            <w:r>
              <w:rPr>
                <w:rFonts w:ascii="Arial" w:cs="Arial" w:eastAsia="Arial" w:hAnsi="Arial"/>
                <w:sz w:val="17"/>
                <w:szCs w:val="17"/>
                <w:color w:val="auto"/>
              </w:rPr>
              <w:t>Inventories consist of the following:</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7"/>
                <w:szCs w:val="17"/>
                <w:b w:val="1"/>
                <w:bCs w:val="1"/>
                <w:color w:val="auto"/>
                <w:w w:val="91"/>
              </w:rPr>
              <w:t>November 2, 2002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rPr>
              <w:t>April 27, 2002</w:t>
            </w:r>
          </w:p>
        </w:tc>
      </w:tr>
      <w:tr>
        <w:trPr>
          <w:trHeight w:val="104"/>
        </w:trPr>
        <w:tc>
          <w:tcPr>
            <w:tcW w:w="4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r>
        <w:trPr>
          <w:trHeight w:val="293"/>
        </w:trPr>
        <w:tc>
          <w:tcPr>
            <w:tcW w:w="4840" w:type="dxa"/>
            <w:vAlign w:val="bottom"/>
          </w:tcPr>
          <w:p>
            <w:pPr>
              <w:spacing w:after="0"/>
              <w:rPr>
                <w:sz w:val="20"/>
                <w:szCs w:val="20"/>
                <w:color w:val="auto"/>
              </w:rPr>
            </w:pPr>
            <w:r>
              <w:rPr>
                <w:rFonts w:ascii="Arial" w:cs="Arial" w:eastAsia="Arial" w:hAnsi="Arial"/>
                <w:sz w:val="17"/>
                <w:szCs w:val="17"/>
                <w:color w:val="auto"/>
              </w:rPr>
              <w:t>Raw Materials</w:t>
            </w:r>
          </w:p>
        </w:tc>
        <w:tc>
          <w:tcPr>
            <w:tcW w:w="480" w:type="dxa"/>
            <w:vAlign w:val="bottom"/>
            <w:gridSpan w:val="2"/>
          </w:tcPr>
          <w:p>
            <w:pPr>
              <w:jc w:val="right"/>
              <w:ind w:right="31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6,812</w:t>
            </w:r>
          </w:p>
        </w:tc>
        <w:tc>
          <w:tcPr>
            <w:tcW w:w="60" w:type="dxa"/>
            <w:vAlign w:val="bottom"/>
          </w:tcPr>
          <w:p>
            <w:pPr>
              <w:spacing w:after="0"/>
              <w:rPr>
                <w:sz w:val="24"/>
                <w:szCs w:val="24"/>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7,396</w:t>
            </w:r>
          </w:p>
        </w:tc>
        <w:tc>
          <w:tcPr>
            <w:tcW w:w="60" w:type="dxa"/>
            <w:vAlign w:val="bottom"/>
          </w:tcPr>
          <w:p>
            <w:pPr>
              <w:spacing w:after="0"/>
              <w:rPr>
                <w:sz w:val="24"/>
                <w:szCs w:val="24"/>
                <w:color w:val="auto"/>
              </w:rPr>
            </w:pPr>
          </w:p>
        </w:tc>
      </w:tr>
      <w:tr>
        <w:trPr>
          <w:trHeight w:val="206"/>
        </w:trPr>
        <w:tc>
          <w:tcPr>
            <w:tcW w:w="4840" w:type="dxa"/>
            <w:vAlign w:val="bottom"/>
          </w:tcPr>
          <w:p>
            <w:pPr>
              <w:spacing w:after="0"/>
              <w:rPr>
                <w:sz w:val="20"/>
                <w:szCs w:val="20"/>
                <w:color w:val="auto"/>
              </w:rPr>
            </w:pPr>
            <w:r>
              <w:rPr>
                <w:rFonts w:ascii="Arial" w:cs="Arial" w:eastAsia="Arial" w:hAnsi="Arial"/>
                <w:sz w:val="17"/>
                <w:szCs w:val="17"/>
                <w:color w:val="auto"/>
              </w:rPr>
              <w:t>Work-in-process</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2,788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1,707</w:t>
            </w:r>
          </w:p>
        </w:tc>
        <w:tc>
          <w:tcPr>
            <w:tcW w:w="60" w:type="dxa"/>
            <w:vAlign w:val="bottom"/>
          </w:tcPr>
          <w:p>
            <w:pPr>
              <w:spacing w:after="0"/>
              <w:rPr>
                <w:sz w:val="17"/>
                <w:szCs w:val="17"/>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7"/>
                <w:szCs w:val="17"/>
                <w:color w:val="auto"/>
              </w:rPr>
              <w:t>Finished goods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7,369</w:t>
            </w:r>
          </w:p>
        </w:tc>
        <w:tc>
          <w:tcPr>
            <w:tcW w:w="60" w:type="dxa"/>
            <w:vAlign w:val="bottom"/>
          </w:tcPr>
          <w:p>
            <w:pPr>
              <w:spacing w:after="0"/>
              <w:rPr>
                <w:sz w:val="18"/>
                <w:szCs w:val="18"/>
                <w:color w:val="auto"/>
              </w:rPr>
            </w:pPr>
          </w:p>
        </w:tc>
      </w:tr>
      <w:tr>
        <w:trPr>
          <w:trHeight w:val="104"/>
        </w:trPr>
        <w:tc>
          <w:tcPr>
            <w:tcW w:w="4840" w:type="dxa"/>
            <w:vAlign w:val="bottom"/>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0"/>
        </w:trPr>
        <w:tc>
          <w:tcPr>
            <w:tcW w:w="4840" w:type="dxa"/>
            <w:vAlign w:val="bottom"/>
          </w:tcPr>
          <w:p>
            <w:pPr>
              <w:spacing w:after="0"/>
              <w:rPr>
                <w:sz w:val="24"/>
                <w:szCs w:val="24"/>
                <w:color w:val="auto"/>
              </w:rPr>
            </w:pPr>
          </w:p>
        </w:tc>
        <w:tc>
          <w:tcPr>
            <w:tcW w:w="480" w:type="dxa"/>
            <w:vAlign w:val="bottom"/>
            <w:gridSpan w:val="2"/>
          </w:tcPr>
          <w:p>
            <w:pPr>
              <w:jc w:val="right"/>
              <w:ind w:right="31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16,248</w:t>
            </w:r>
          </w:p>
        </w:tc>
        <w:tc>
          <w:tcPr>
            <w:tcW w:w="60" w:type="dxa"/>
            <w:vAlign w:val="bottom"/>
          </w:tcPr>
          <w:p>
            <w:pPr>
              <w:spacing w:after="0"/>
              <w:rPr>
                <w:sz w:val="24"/>
                <w:szCs w:val="24"/>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16,472</w:t>
            </w:r>
          </w:p>
        </w:tc>
        <w:tc>
          <w:tcPr>
            <w:tcW w:w="60" w:type="dxa"/>
            <w:vAlign w:val="bottom"/>
          </w:tcPr>
          <w:p>
            <w:pPr>
              <w:spacing w:after="0"/>
              <w:rPr>
                <w:sz w:val="24"/>
                <w:szCs w:val="24"/>
                <w:color w:val="auto"/>
              </w:rPr>
            </w:pPr>
          </w:p>
        </w:tc>
      </w:tr>
      <w:tr>
        <w:trPr>
          <w:trHeight w:val="113"/>
        </w:trPr>
        <w:tc>
          <w:tcPr>
            <w:tcW w:w="48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Segment Disclosure</w:t>
      </w:r>
    </w:p>
    <w:p>
      <w:pPr>
        <w:spacing w:after="0" w:line="220" w:lineRule="exact"/>
        <w:rPr>
          <w:sz w:val="20"/>
          <w:szCs w:val="20"/>
          <w:color w:val="auto"/>
        </w:rPr>
      </w:pPr>
    </w:p>
    <w:p>
      <w:pPr>
        <w:ind w:firstLine="331"/>
        <w:spacing w:after="0" w:line="259" w:lineRule="auto"/>
        <w:rPr>
          <w:sz w:val="20"/>
          <w:szCs w:val="20"/>
          <w:color w:val="auto"/>
        </w:rPr>
      </w:pPr>
      <w:r>
        <w:rPr>
          <w:rFonts w:ascii="Arial" w:cs="Arial" w:eastAsia="Arial" w:hAnsi="Arial"/>
          <w:sz w:val="17"/>
          <w:szCs w:val="17"/>
          <w:color w:val="auto"/>
        </w:rPr>
        <w:t>The Company’s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the Company considers itself to be operating in a single industry segment. The Company does not manage its business by solution or focus area. The Company has no individual customers that constitute a significant concentration.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does not maintain information on sales by products, and therefore, disclosure of such information is not practical.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180"/>
          </w:cols>
          <w:pgMar w:left="240" w:top="1023" w:right="479" w:bottom="246" w:gutter="0" w:footer="0" w:header="0"/>
        </w:sectPr>
      </w:pPr>
    </w:p>
    <w:bookmarkStart w:id="9" w:name="page10"/>
    <w:bookmarkEnd w:id="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the Company by geographic area: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1500" w:type="dxa"/>
            <w:vAlign w:val="bottom"/>
          </w:tcPr>
          <w:p>
            <w:pPr>
              <w:jc w:val="right"/>
              <w:ind w:right="196"/>
              <w:spacing w:after="0"/>
              <w:rPr>
                <w:sz w:val="20"/>
                <w:szCs w:val="20"/>
                <w:color w:val="auto"/>
              </w:rPr>
            </w:pPr>
            <w:r>
              <w:rPr>
                <w:rFonts w:ascii="Arial" w:cs="Arial" w:eastAsia="Arial" w:hAnsi="Arial"/>
                <w:sz w:val="17"/>
                <w:szCs w:val="17"/>
                <w:b w:val="1"/>
                <w:bCs w:val="1"/>
                <w:color w:val="auto"/>
              </w:rPr>
              <w:t>United States</w:t>
            </w:r>
          </w:p>
        </w:tc>
        <w:tc>
          <w:tcPr>
            <w:tcW w:w="40" w:type="dxa"/>
            <w:vAlign w:val="bottom"/>
          </w:tcPr>
          <w:p>
            <w:pPr>
              <w:spacing w:after="0"/>
              <w:rPr>
                <w:sz w:val="18"/>
                <w:szCs w:val="18"/>
                <w:color w:val="auto"/>
              </w:rPr>
            </w:pPr>
          </w:p>
        </w:tc>
        <w:tc>
          <w:tcPr>
            <w:tcW w:w="980" w:type="dxa"/>
            <w:vAlign w:val="bottom"/>
          </w:tcPr>
          <w:p>
            <w:pPr>
              <w:jc w:val="right"/>
              <w:ind w:right="196"/>
              <w:spacing w:after="0"/>
              <w:rPr>
                <w:sz w:val="20"/>
                <w:szCs w:val="20"/>
                <w:color w:val="auto"/>
              </w:rPr>
            </w:pPr>
            <w:r>
              <w:rPr>
                <w:rFonts w:ascii="Arial" w:cs="Arial" w:eastAsia="Arial" w:hAnsi="Arial"/>
                <w:sz w:val="17"/>
                <w:szCs w:val="17"/>
                <w:b w:val="1"/>
                <w:bCs w:val="1"/>
                <w:color w:val="auto"/>
              </w:rPr>
              <w:t>Other</w:t>
            </w:r>
          </w:p>
        </w:tc>
        <w:tc>
          <w:tcPr>
            <w:tcW w:w="20" w:type="dxa"/>
            <w:vAlign w:val="bottom"/>
          </w:tcPr>
          <w:p>
            <w:pPr>
              <w:spacing w:after="0"/>
              <w:rPr>
                <w:sz w:val="18"/>
                <w:szCs w:val="18"/>
                <w:color w:val="auto"/>
              </w:rPr>
            </w:pPr>
          </w:p>
        </w:tc>
        <w:tc>
          <w:tcPr>
            <w:tcW w:w="820" w:type="dxa"/>
            <w:vAlign w:val="bottom"/>
          </w:tcPr>
          <w:p>
            <w:pPr>
              <w:ind w:left="2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04"/>
        </w:trPr>
        <w:tc>
          <w:tcPr>
            <w:tcW w:w="4340" w:type="dxa"/>
            <w:vAlign w:val="bottom"/>
            <w:vMerge w:val="restart"/>
          </w:tcPr>
          <w:p>
            <w:pPr>
              <w:spacing w:after="0"/>
              <w:rPr>
                <w:sz w:val="20"/>
                <w:szCs w:val="20"/>
                <w:color w:val="auto"/>
              </w:rPr>
            </w:pPr>
            <w:r>
              <w:rPr>
                <w:rFonts w:ascii="Arial" w:cs="Arial" w:eastAsia="Arial" w:hAnsi="Arial"/>
                <w:sz w:val="17"/>
                <w:szCs w:val="17"/>
                <w:color w:val="auto"/>
              </w:rPr>
              <w:t>Net sales for the six months ended:</w:t>
            </w:r>
          </w:p>
        </w:tc>
        <w:tc>
          <w:tcPr>
            <w:tcW w:w="15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3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40" w:type="dxa"/>
            <w:vAlign w:val="bottom"/>
          </w:tcPr>
          <w:p>
            <w:pPr>
              <w:ind w:left="500"/>
              <w:spacing w:after="0"/>
              <w:rPr>
                <w:sz w:val="20"/>
                <w:szCs w:val="20"/>
                <w:color w:val="auto"/>
              </w:rPr>
            </w:pPr>
            <w:r>
              <w:rPr>
                <w:rFonts w:ascii="Arial" w:cs="Arial" w:eastAsia="Arial" w:hAnsi="Arial"/>
                <w:sz w:val="17"/>
                <w:szCs w:val="17"/>
                <w:color w:val="auto"/>
              </w:rPr>
              <w:t>November 2, 2002</w:t>
            </w:r>
          </w:p>
        </w:tc>
        <w:tc>
          <w:tcPr>
            <w:tcW w:w="1500" w:type="dxa"/>
            <w:vAlign w:val="bottom"/>
          </w:tcPr>
          <w:p>
            <w:pPr>
              <w:jc w:val="right"/>
              <w:ind w:right="196"/>
              <w:spacing w:after="0"/>
              <w:rPr>
                <w:sz w:val="20"/>
                <w:szCs w:val="20"/>
                <w:color w:val="auto"/>
              </w:rPr>
            </w:pPr>
            <w:r>
              <w:rPr>
                <w:rFonts w:ascii="Arial" w:cs="Arial" w:eastAsia="Arial" w:hAnsi="Arial"/>
                <w:sz w:val="17"/>
                <w:szCs w:val="17"/>
                <w:color w:val="auto"/>
              </w:rPr>
              <w:t>90,034</w:t>
            </w:r>
          </w:p>
        </w:tc>
        <w:tc>
          <w:tcPr>
            <w:tcW w:w="1020" w:type="dxa"/>
            <w:vAlign w:val="bottom"/>
            <w:gridSpan w:val="2"/>
          </w:tcPr>
          <w:p>
            <w:pPr>
              <w:jc w:val="right"/>
              <w:ind w:right="216"/>
              <w:spacing w:after="0"/>
              <w:rPr>
                <w:sz w:val="20"/>
                <w:szCs w:val="20"/>
                <w:color w:val="auto"/>
              </w:rPr>
            </w:pPr>
            <w:r>
              <w:rPr>
                <w:rFonts w:ascii="Arial" w:cs="Arial" w:eastAsia="Arial" w:hAnsi="Arial"/>
                <w:sz w:val="17"/>
                <w:szCs w:val="17"/>
                <w:color w:val="auto"/>
              </w:rPr>
              <w:t>2,147</w:t>
            </w:r>
          </w:p>
        </w:tc>
        <w:tc>
          <w:tcPr>
            <w:tcW w:w="840" w:type="dxa"/>
            <w:vAlign w:val="bottom"/>
            <w:gridSpan w:val="2"/>
          </w:tcPr>
          <w:p>
            <w:pPr>
              <w:ind w:left="240"/>
              <w:spacing w:after="0"/>
              <w:rPr>
                <w:sz w:val="20"/>
                <w:szCs w:val="20"/>
                <w:color w:val="auto"/>
              </w:rPr>
            </w:pPr>
            <w:r>
              <w:rPr>
                <w:rFonts w:ascii="Arial" w:cs="Arial" w:eastAsia="Arial" w:hAnsi="Arial"/>
                <w:sz w:val="17"/>
                <w:szCs w:val="17"/>
                <w:color w:val="auto"/>
              </w:rPr>
              <w:t>92,181</w:t>
            </w:r>
          </w:p>
        </w:tc>
        <w:tc>
          <w:tcPr>
            <w:tcW w:w="0" w:type="dxa"/>
            <w:vAlign w:val="bottom"/>
          </w:tcPr>
          <w:p>
            <w:pPr>
              <w:spacing w:after="0"/>
              <w:rPr>
                <w:sz w:val="1"/>
                <w:szCs w:val="1"/>
                <w:color w:val="auto"/>
              </w:rPr>
            </w:pPr>
          </w:p>
        </w:tc>
      </w:tr>
      <w:tr>
        <w:trPr>
          <w:trHeight w:val="206"/>
        </w:trPr>
        <w:tc>
          <w:tcPr>
            <w:tcW w:w="4340" w:type="dxa"/>
            <w:vAlign w:val="bottom"/>
          </w:tcPr>
          <w:p>
            <w:pPr>
              <w:ind w:left="500"/>
              <w:spacing w:after="0"/>
              <w:rPr>
                <w:sz w:val="20"/>
                <w:szCs w:val="20"/>
                <w:color w:val="auto"/>
              </w:rPr>
            </w:pPr>
            <w:r>
              <w:rPr>
                <w:rFonts w:ascii="Arial" w:cs="Arial" w:eastAsia="Arial" w:hAnsi="Arial"/>
                <w:sz w:val="17"/>
                <w:szCs w:val="17"/>
                <w:color w:val="auto"/>
              </w:rPr>
              <w:t>October 27, 2001</w:t>
            </w:r>
          </w:p>
        </w:tc>
        <w:tc>
          <w:tcPr>
            <w:tcW w:w="1500" w:type="dxa"/>
            <w:vAlign w:val="bottom"/>
          </w:tcPr>
          <w:p>
            <w:pPr>
              <w:jc w:val="right"/>
              <w:ind w:right="196"/>
              <w:spacing w:after="0"/>
              <w:rPr>
                <w:sz w:val="20"/>
                <w:szCs w:val="20"/>
                <w:color w:val="auto"/>
              </w:rPr>
            </w:pPr>
            <w:r>
              <w:rPr>
                <w:rFonts w:ascii="Arial" w:cs="Arial" w:eastAsia="Arial" w:hAnsi="Arial"/>
                <w:sz w:val="17"/>
                <w:szCs w:val="17"/>
                <w:color w:val="auto"/>
              </w:rPr>
              <w:t>75,078</w:t>
            </w:r>
          </w:p>
        </w:tc>
        <w:tc>
          <w:tcPr>
            <w:tcW w:w="1020" w:type="dxa"/>
            <w:vAlign w:val="bottom"/>
            <w:gridSpan w:val="2"/>
          </w:tcPr>
          <w:p>
            <w:pPr>
              <w:jc w:val="right"/>
              <w:ind w:right="216"/>
              <w:spacing w:after="0"/>
              <w:rPr>
                <w:sz w:val="20"/>
                <w:szCs w:val="20"/>
                <w:color w:val="auto"/>
              </w:rPr>
            </w:pPr>
            <w:r>
              <w:rPr>
                <w:rFonts w:ascii="Arial" w:cs="Arial" w:eastAsia="Arial" w:hAnsi="Arial"/>
                <w:sz w:val="17"/>
                <w:szCs w:val="17"/>
                <w:color w:val="auto"/>
              </w:rPr>
              <w:t>6,741</w:t>
            </w:r>
          </w:p>
        </w:tc>
        <w:tc>
          <w:tcPr>
            <w:tcW w:w="840" w:type="dxa"/>
            <w:vAlign w:val="bottom"/>
            <w:gridSpan w:val="2"/>
          </w:tcPr>
          <w:p>
            <w:pPr>
              <w:ind w:left="240"/>
              <w:spacing w:after="0"/>
              <w:rPr>
                <w:sz w:val="20"/>
                <w:szCs w:val="20"/>
                <w:color w:val="auto"/>
              </w:rPr>
            </w:pPr>
            <w:r>
              <w:rPr>
                <w:rFonts w:ascii="Arial" w:cs="Arial" w:eastAsia="Arial" w:hAnsi="Arial"/>
                <w:sz w:val="17"/>
                <w:szCs w:val="17"/>
                <w:color w:val="auto"/>
              </w:rPr>
              <w:t>81,819</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Long-lived assets:</w:t>
            </w: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40" w:type="dxa"/>
            <w:vAlign w:val="bottom"/>
          </w:tcPr>
          <w:p>
            <w:pPr>
              <w:ind w:left="500"/>
              <w:spacing w:after="0"/>
              <w:rPr>
                <w:sz w:val="20"/>
                <w:szCs w:val="20"/>
                <w:color w:val="auto"/>
              </w:rPr>
            </w:pPr>
            <w:r>
              <w:rPr>
                <w:rFonts w:ascii="Arial" w:cs="Arial" w:eastAsia="Arial" w:hAnsi="Arial"/>
                <w:sz w:val="17"/>
                <w:szCs w:val="17"/>
                <w:color w:val="auto"/>
              </w:rPr>
              <w:t>November 2, 2002</w:t>
            </w:r>
          </w:p>
        </w:tc>
        <w:tc>
          <w:tcPr>
            <w:tcW w:w="1500" w:type="dxa"/>
            <w:vAlign w:val="bottom"/>
          </w:tcPr>
          <w:p>
            <w:pPr>
              <w:jc w:val="right"/>
              <w:ind w:right="196"/>
              <w:spacing w:after="0"/>
              <w:rPr>
                <w:sz w:val="20"/>
                <w:szCs w:val="20"/>
                <w:color w:val="auto"/>
              </w:rPr>
            </w:pPr>
            <w:r>
              <w:rPr>
                <w:rFonts w:ascii="Arial" w:cs="Arial" w:eastAsia="Arial" w:hAnsi="Arial"/>
                <w:sz w:val="17"/>
                <w:szCs w:val="17"/>
                <w:color w:val="auto"/>
              </w:rPr>
              <w:t>24,876</w:t>
            </w:r>
          </w:p>
        </w:tc>
        <w:tc>
          <w:tcPr>
            <w:tcW w:w="1020" w:type="dxa"/>
            <w:vAlign w:val="bottom"/>
            <w:gridSpan w:val="2"/>
          </w:tcPr>
          <w:p>
            <w:pPr>
              <w:jc w:val="right"/>
              <w:ind w:right="216"/>
              <w:spacing w:after="0"/>
              <w:rPr>
                <w:sz w:val="20"/>
                <w:szCs w:val="20"/>
                <w:color w:val="auto"/>
              </w:rPr>
            </w:pPr>
            <w:r>
              <w:rPr>
                <w:rFonts w:ascii="Arial" w:cs="Arial" w:eastAsia="Arial" w:hAnsi="Arial"/>
                <w:sz w:val="17"/>
                <w:szCs w:val="17"/>
                <w:color w:val="auto"/>
              </w:rPr>
              <w:t>297</w:t>
            </w:r>
          </w:p>
        </w:tc>
        <w:tc>
          <w:tcPr>
            <w:tcW w:w="840" w:type="dxa"/>
            <w:vAlign w:val="bottom"/>
            <w:gridSpan w:val="2"/>
          </w:tcPr>
          <w:p>
            <w:pPr>
              <w:ind w:left="240"/>
              <w:spacing w:after="0"/>
              <w:rPr>
                <w:sz w:val="20"/>
                <w:szCs w:val="20"/>
                <w:color w:val="auto"/>
              </w:rPr>
            </w:pPr>
            <w:r>
              <w:rPr>
                <w:rFonts w:ascii="Arial" w:cs="Arial" w:eastAsia="Arial" w:hAnsi="Arial"/>
                <w:sz w:val="17"/>
                <w:szCs w:val="17"/>
                <w:color w:val="auto"/>
              </w:rPr>
              <w:t>25,173</w:t>
            </w:r>
          </w:p>
        </w:tc>
        <w:tc>
          <w:tcPr>
            <w:tcW w:w="0" w:type="dxa"/>
            <w:vAlign w:val="bottom"/>
          </w:tcPr>
          <w:p>
            <w:pPr>
              <w:spacing w:after="0"/>
              <w:rPr>
                <w:sz w:val="1"/>
                <w:szCs w:val="1"/>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7"/>
                <w:szCs w:val="17"/>
                <w:color w:val="auto"/>
              </w:rPr>
              <w:t>April 27, 2002</w:t>
            </w:r>
          </w:p>
        </w:tc>
        <w:tc>
          <w:tcPr>
            <w:tcW w:w="1500" w:type="dxa"/>
            <w:vAlign w:val="bottom"/>
          </w:tcPr>
          <w:p>
            <w:pPr>
              <w:jc w:val="right"/>
              <w:ind w:right="196"/>
              <w:spacing w:after="0"/>
              <w:rPr>
                <w:sz w:val="20"/>
                <w:szCs w:val="20"/>
                <w:color w:val="auto"/>
              </w:rPr>
            </w:pPr>
            <w:r>
              <w:rPr>
                <w:rFonts w:ascii="Arial" w:cs="Arial" w:eastAsia="Arial" w:hAnsi="Arial"/>
                <w:sz w:val="17"/>
                <w:szCs w:val="17"/>
                <w:color w:val="auto"/>
              </w:rPr>
              <w:t>26,584</w:t>
            </w:r>
          </w:p>
        </w:tc>
        <w:tc>
          <w:tcPr>
            <w:tcW w:w="1020" w:type="dxa"/>
            <w:vAlign w:val="bottom"/>
            <w:gridSpan w:val="2"/>
          </w:tcPr>
          <w:p>
            <w:pPr>
              <w:jc w:val="right"/>
              <w:ind w:right="216"/>
              <w:spacing w:after="0"/>
              <w:rPr>
                <w:sz w:val="20"/>
                <w:szCs w:val="20"/>
                <w:color w:val="auto"/>
              </w:rPr>
            </w:pPr>
            <w:r>
              <w:rPr>
                <w:rFonts w:ascii="Arial" w:cs="Arial" w:eastAsia="Arial" w:hAnsi="Arial"/>
                <w:sz w:val="17"/>
                <w:szCs w:val="17"/>
                <w:color w:val="auto"/>
              </w:rPr>
              <w:t>261</w:t>
            </w:r>
          </w:p>
        </w:tc>
        <w:tc>
          <w:tcPr>
            <w:tcW w:w="840" w:type="dxa"/>
            <w:vAlign w:val="bottom"/>
            <w:gridSpan w:val="2"/>
          </w:tcPr>
          <w:p>
            <w:pPr>
              <w:ind w:left="240"/>
              <w:spacing w:after="0"/>
              <w:rPr>
                <w:sz w:val="20"/>
                <w:szCs w:val="20"/>
                <w:color w:val="auto"/>
              </w:rPr>
            </w:pPr>
            <w:r>
              <w:rPr>
                <w:rFonts w:ascii="Arial" w:cs="Arial" w:eastAsia="Arial" w:hAnsi="Arial"/>
                <w:sz w:val="17"/>
                <w:szCs w:val="17"/>
                <w:color w:val="auto"/>
              </w:rPr>
              <w:t>26,845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Litigation</w:t>
      </w:r>
    </w:p>
    <w:p>
      <w:pPr>
        <w:spacing w:after="0" w:line="220" w:lineRule="exact"/>
        <w:rPr>
          <w:sz w:val="20"/>
          <w:szCs w:val="20"/>
          <w:color w:val="auto"/>
        </w:rPr>
      </w:pPr>
    </w:p>
    <w:p>
      <w:pPr>
        <w:ind w:right="60" w:firstLine="331"/>
        <w:spacing w:after="0" w:line="305"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based upon consultation with legal counsel, the ultimate disposition of these matters will not have a material adverse effect on the Company’s consolidated financial position.</w:t>
      </w:r>
    </w:p>
    <w:p>
      <w:pPr>
        <w:spacing w:after="0" w:line="145" w:lineRule="exact"/>
        <w:rPr>
          <w:sz w:val="20"/>
          <w:szCs w:val="20"/>
          <w:color w:val="auto"/>
        </w:rPr>
      </w:pPr>
    </w:p>
    <w:p>
      <w:pPr>
        <w:ind w:right="4720"/>
        <w:spacing w:after="0" w:line="278"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8" w:lineRule="exact"/>
        <w:rPr>
          <w:sz w:val="20"/>
          <w:szCs w:val="20"/>
          <w:color w:val="auto"/>
        </w:rPr>
      </w:pPr>
    </w:p>
    <w:p>
      <w:pPr>
        <w:ind w:right="620" w:firstLine="331"/>
        <w:spacing w:after="0" w:line="273" w:lineRule="auto"/>
        <w:rPr>
          <w:sz w:val="20"/>
          <w:szCs w:val="20"/>
          <w:color w:val="auto"/>
        </w:rPr>
      </w:pPr>
      <w:r>
        <w:rPr>
          <w:rFonts w:ascii="Arial" w:cs="Arial" w:eastAsia="Arial" w:hAnsi="Arial"/>
          <w:sz w:val="17"/>
          <w:szCs w:val="17"/>
          <w:color w:val="auto"/>
        </w:rPr>
        <w:t>The following discussion highlights the principal factors affecting changes in financial condition and results of operations. This discussion should be read in conjunction with the accompanying Consolidated Financial Statements and Notes to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0" w:lineRule="exact"/>
        <w:rPr>
          <w:sz w:val="20"/>
          <w:szCs w:val="20"/>
          <w:color w:val="auto"/>
        </w:rPr>
      </w:pPr>
    </w:p>
    <w:p>
      <w:pPr>
        <w:ind w:right="20" w:firstLine="331"/>
        <w:spacing w:after="0" w:line="263" w:lineRule="auto"/>
        <w:rPr>
          <w:sz w:val="20"/>
          <w:szCs w:val="20"/>
          <w:color w:val="auto"/>
        </w:rPr>
      </w:pPr>
      <w:r>
        <w:rPr>
          <w:rFonts w:ascii="Arial" w:cs="Arial" w:eastAsia="Arial" w:hAnsi="Arial"/>
          <w:sz w:val="17"/>
          <w:szCs w:val="17"/>
          <w:color w:val="auto"/>
        </w:rPr>
        <w:t>The Company designs, manufactures, and sells a wide range of computer-programmable information display systems to customers in a variety of markets throughout the world. The Company focuses its sales and marketing efforts on markets as well as products. The primary categories of markets include sport, business, and transportation.</w:t>
      </w:r>
    </w:p>
    <w:p>
      <w:pPr>
        <w:spacing w:after="0" w:line="180" w:lineRule="exact"/>
        <w:rPr>
          <w:sz w:val="20"/>
          <w:szCs w:val="20"/>
          <w:color w:val="auto"/>
        </w:rPr>
      </w:pPr>
    </w:p>
    <w:p>
      <w:pPr>
        <w:ind w:firstLine="331"/>
        <w:spacing w:after="0" w:line="300" w:lineRule="auto"/>
        <w:rPr>
          <w:sz w:val="20"/>
          <w:szCs w:val="20"/>
          <w:color w:val="auto"/>
        </w:rPr>
      </w:pPr>
      <w:r>
        <w:rPr>
          <w:rFonts w:ascii="Arial" w:cs="Arial" w:eastAsia="Arial" w:hAnsi="Arial"/>
          <w:sz w:val="15"/>
          <w:szCs w:val="15"/>
          <w:color w:val="auto"/>
        </w:rPr>
        <w:t>The Company’s net sales and profitability historically have fluctuated due to the impact of large product orders, such as display systems for major league sport facilities and colleges and universities, as well as the seasonality of the sports market. The Company’s gross margins on large product orders tend to fluctuate more than those for small standard orders. Large product orders that involve competitive bidding and substantial subcontract work for product installation generally have lower gross margins. Although the Company follows the percentage of completion method of recognizing revenues for larger orders, the Company nevertheless has experienced fluctuations in operating results and expects that its future results of operations may be subject to similar fluctuations.</w:t>
      </w:r>
    </w:p>
    <w:p>
      <w:pPr>
        <w:spacing w:after="0" w:line="155" w:lineRule="exact"/>
        <w:rPr>
          <w:sz w:val="20"/>
          <w:szCs w:val="20"/>
          <w:color w:val="auto"/>
        </w:rPr>
      </w:pPr>
    </w:p>
    <w:p>
      <w:pPr>
        <w:ind w:right="500" w:firstLine="331"/>
        <w:spacing w:after="0" w:line="342" w:lineRule="auto"/>
        <w:rPr>
          <w:sz w:val="20"/>
          <w:szCs w:val="20"/>
          <w:color w:val="auto"/>
        </w:rPr>
      </w:pPr>
      <w:r>
        <w:rPr>
          <w:rFonts w:ascii="Arial" w:cs="Arial" w:eastAsia="Arial" w:hAnsi="Arial"/>
          <w:sz w:val="15"/>
          <w:szCs w:val="15"/>
          <w:color w:val="auto"/>
        </w:rPr>
        <w:t>The Company operates on a 52-53 week fiscal year, with fiscal years ending on the Saturday closest to April 30 of each year. The Company’s 2003 fiscal year contains 53 weeks and the first quarter of fiscal year 2003 contained 14 weeks as compared to the more typical 52-week year and 13-week quarter.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0" w:lineRule="exact"/>
        <w:rPr>
          <w:sz w:val="20"/>
          <w:szCs w:val="20"/>
          <w:color w:val="auto"/>
        </w:rPr>
      </w:pPr>
    </w:p>
    <w:p>
      <w:pPr>
        <w:ind w:right="60" w:firstLine="331"/>
        <w:spacing w:after="0" w:line="300" w:lineRule="auto"/>
        <w:rPr>
          <w:sz w:val="20"/>
          <w:szCs w:val="20"/>
          <w:color w:val="auto"/>
        </w:rPr>
      </w:pPr>
      <w:r>
        <w:rPr>
          <w:rFonts w:ascii="Arial" w:cs="Arial" w:eastAsia="Arial" w:hAnsi="Arial"/>
          <w:sz w:val="15"/>
          <w:szCs w:val="15"/>
          <w:color w:val="auto"/>
        </w:rPr>
        <w:t>The following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the Company to make estimates and judgments that affect the reported amounts of assets, liabilities, revenues and expenses, and related disclosure of contingent assets and liabilities. On a regular basis, the Company evaluates its estimates, including those related to estimated total costs on long-term contracts, estimated costs to be incurred for product warranties and extended maintenance contracts, bad debts, excess and obsolete inventory and contingencies. Its estimates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1043" w:right="259" w:bottom="1440" w:gutter="0" w:footer="0" w:header="0"/>
        </w:sectPr>
      </w:pPr>
    </w:p>
    <w:bookmarkStart w:id="11" w:name="page12"/>
    <w:bookmarkEnd w:id="11"/>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ind w:right="700" w:firstLine="331"/>
        <w:spacing w:after="0" w:line="273" w:lineRule="auto"/>
        <w:rPr>
          <w:sz w:val="20"/>
          <w:szCs w:val="20"/>
          <w:color w:val="auto"/>
        </w:rPr>
      </w:pPr>
      <w:r>
        <w:rPr>
          <w:rFonts w:ascii="Arial" w:cs="Arial" w:eastAsia="Arial" w:hAnsi="Arial"/>
          <w:sz w:val="17"/>
          <w:szCs w:val="17"/>
          <w:color w:val="auto"/>
        </w:rPr>
        <w:t>The Company believes the following critical accounting policies require significant judgments and estimates in the preparation of its consolidated financial statements:</w:t>
      </w:r>
    </w:p>
    <w:p>
      <w:pPr>
        <w:spacing w:after="0" w:line="172" w:lineRule="exact"/>
        <w:rPr>
          <w:sz w:val="20"/>
          <w:szCs w:val="20"/>
          <w:color w:val="auto"/>
        </w:rPr>
      </w:pPr>
    </w:p>
    <w:p>
      <w:pPr>
        <w:ind w:firstLine="334"/>
        <w:spacing w:after="0" w:line="277"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incurred to date to estimated total costs for each contract. Provisions for estimated losses on uncompleted contracts are made in the period in which such losses are estimatable. Generally, contracts entered into by the Company have fixed prices established and to the extent the actual costs to complete contracts are higher than the amounts estimated as of the date of the financial statements, the resulting gross margin would be negatively effected in future quarters when the Company revises its estimates. The Company’s practice is to revise estimates as soon as such changes in estimates are known.</w:t>
      </w:r>
    </w:p>
    <w:p>
      <w:pPr>
        <w:spacing w:after="0" w:line="172" w:lineRule="exact"/>
        <w:rPr>
          <w:sz w:val="20"/>
          <w:szCs w:val="20"/>
          <w:color w:val="auto"/>
        </w:rPr>
      </w:pPr>
    </w:p>
    <w:p>
      <w:pPr>
        <w:ind w:firstLine="334"/>
        <w:spacing w:after="0" w:line="286"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The Company maintains an allowance for doubtful accounts for estimated losses resulting from the inability of its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required payments. If the financial condition of its customers were to deteriorate, resulting in an impairment of their ability to make payments, additional allowances may be required. As of November 2, 2002, the Company had an allowance for doubtful accounts balance of approximately $0.7 million.</w:t>
      </w:r>
    </w:p>
    <w:p>
      <w:pPr>
        <w:spacing w:after="0" w:line="165" w:lineRule="exact"/>
        <w:rPr>
          <w:sz w:val="20"/>
          <w:szCs w:val="20"/>
          <w:color w:val="auto"/>
        </w:rPr>
      </w:pPr>
    </w:p>
    <w:p>
      <w:pPr>
        <w:ind w:firstLine="334"/>
        <w:spacing w:after="0" w:line="300" w:lineRule="auto"/>
        <w:rPr>
          <w:sz w:val="20"/>
          <w:szCs w:val="20"/>
          <w:color w:val="auto"/>
        </w:rPr>
      </w:pPr>
      <w:r>
        <w:rPr>
          <w:rFonts w:ascii="Arial" w:cs="Arial" w:eastAsia="Arial" w:hAnsi="Arial"/>
          <w:sz w:val="15"/>
          <w:szCs w:val="15"/>
          <w:i w:val="1"/>
          <w:iCs w:val="1"/>
          <w:color w:val="auto"/>
        </w:rPr>
        <w:t xml:space="preserve">Warranty, extended warranty and product maintenance. </w:t>
      </w:r>
      <w:r>
        <w:rPr>
          <w:rFonts w:ascii="Arial" w:cs="Arial" w:eastAsia="Arial" w:hAnsi="Arial"/>
          <w:sz w:val="15"/>
          <w:szCs w:val="15"/>
          <w:color w:val="auto"/>
        </w:rPr>
        <w:t>The Company has created a reserve for standard warranties on its products equal to its estimate of the actual</w:t>
      </w:r>
      <w:r>
        <w:rPr>
          <w:rFonts w:ascii="Arial" w:cs="Arial" w:eastAsia="Arial" w:hAnsi="Arial"/>
          <w:sz w:val="15"/>
          <w:szCs w:val="15"/>
          <w:i w:val="1"/>
          <w:iCs w:val="1"/>
          <w:color w:val="auto"/>
        </w:rPr>
        <w:t xml:space="preserve"> </w:t>
      </w:r>
      <w:r>
        <w:rPr>
          <w:rFonts w:ascii="Arial" w:cs="Arial" w:eastAsia="Arial" w:hAnsi="Arial"/>
          <w:sz w:val="15"/>
          <w:szCs w:val="15"/>
          <w:color w:val="auto"/>
        </w:rPr>
        <w:t>costs to be incurred in connection with its performance under the standard warranty. It also has deferred estimated revenue related to separately priced extended warranties and product maintenance agreements, based in part on its estimate of costs expected to be incurred in connection with these agreements. In the event that the Company would become aware of an increase in its warranty and maintenance reserves, deferrals of additional reserves may become necessary, resulting in an increase in costs of goods sold. As of November 2, 2002, the Company had a total of approximately $3.4 million deferred for these costs and revenues.</w:t>
      </w:r>
    </w:p>
    <w:p>
      <w:pPr>
        <w:spacing w:after="0" w:line="155" w:lineRule="exact"/>
        <w:rPr>
          <w:sz w:val="20"/>
          <w:szCs w:val="20"/>
          <w:color w:val="auto"/>
        </w:rPr>
      </w:pPr>
    </w:p>
    <w:p>
      <w:pPr>
        <w:ind w:right="20" w:firstLine="167"/>
        <w:spacing w:after="0" w:line="304" w:lineRule="auto"/>
        <w:rPr>
          <w:sz w:val="20"/>
          <w:szCs w:val="20"/>
          <w:color w:val="auto"/>
        </w:rPr>
      </w:pPr>
      <w:r>
        <w:rPr>
          <w:rFonts w:ascii="Arial" w:cs="Arial" w:eastAsia="Arial" w:hAnsi="Arial"/>
          <w:sz w:val="15"/>
          <w:szCs w:val="15"/>
          <w:i w:val="1"/>
          <w:iCs w:val="1"/>
          <w:color w:val="auto"/>
        </w:rPr>
        <w:t xml:space="preserve">Inventory. </w:t>
      </w:r>
      <w:r>
        <w:rPr>
          <w:rFonts w:ascii="Arial" w:cs="Arial" w:eastAsia="Arial" w:hAnsi="Arial"/>
          <w:sz w:val="15"/>
          <w:szCs w:val="15"/>
          <w:color w:val="auto"/>
        </w:rPr>
        <w:t>Inventories are stated at the lower of cost or market. Market refers to the current replacement cost, except that market may not exceed the net realizable value</w:t>
      </w:r>
      <w:r>
        <w:rPr>
          <w:rFonts w:ascii="Arial" w:cs="Arial" w:eastAsia="Arial" w:hAnsi="Arial"/>
          <w:sz w:val="15"/>
          <w:szCs w:val="15"/>
          <w:i w:val="1"/>
          <w:iCs w:val="1"/>
          <w:color w:val="auto"/>
        </w:rPr>
        <w:t xml:space="preserve"> </w:t>
      </w:r>
      <w:r>
        <w:rPr>
          <w:rFonts w:ascii="Arial" w:cs="Arial" w:eastAsia="Arial" w:hAnsi="Arial"/>
          <w:sz w:val="15"/>
          <w:szCs w:val="15"/>
          <w:color w:val="auto"/>
        </w:rPr>
        <w:t>(i.e., estimated selling price in the ordinary course of business less reasonable predictable costs of completion and disposal); and market is not less than the net realizable value reduced by an allowance for normal profit margins. In valuing inventory the Company estimates market value where it is believed to be the lower of cost or market and any necessary charges are charged to costs of goods sold in the period in which it occurs. All other inventory is valued at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043"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0" w:lineRule="exact"/>
        <w:rPr>
          <w:sz w:val="20"/>
          <w:szCs w:val="20"/>
          <w:color w:val="auto"/>
        </w:rPr>
      </w:pPr>
    </w:p>
    <w:p>
      <w:pPr>
        <w:ind w:right="600" w:firstLine="331"/>
        <w:spacing w:after="0" w:line="273" w:lineRule="auto"/>
        <w:rPr>
          <w:sz w:val="20"/>
          <w:szCs w:val="20"/>
          <w:color w:val="auto"/>
        </w:rPr>
      </w:pPr>
      <w:r>
        <w:rPr>
          <w:rFonts w:ascii="Arial" w:cs="Arial" w:eastAsia="Arial" w:hAnsi="Arial"/>
          <w:sz w:val="17"/>
          <w:szCs w:val="17"/>
          <w:color w:val="auto"/>
        </w:rPr>
        <w:t>The following table sets forth the percentage of net sales represented by items included in the Company’s Consolidated Statements of Income for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20" w:type="dxa"/>
            <w:vAlign w:val="bottom"/>
            <w:gridSpan w:val="6"/>
          </w:tcPr>
          <w:p>
            <w:pPr>
              <w:jc w:val="right"/>
              <w:ind w:right="360"/>
              <w:spacing w:after="0"/>
              <w:rPr>
                <w:sz w:val="20"/>
                <w:szCs w:val="20"/>
                <w:color w:val="auto"/>
              </w:rPr>
            </w:pPr>
            <w:r>
              <w:rPr>
                <w:rFonts w:ascii="Arial" w:cs="Arial" w:eastAsia="Arial" w:hAnsi="Arial"/>
                <w:sz w:val="17"/>
                <w:szCs w:val="17"/>
                <w:b w:val="1"/>
                <w:bCs w:val="1"/>
                <w:color w:val="auto"/>
              </w:rPr>
              <w:t>Three Months Ended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7"/>
          </w:tcPr>
          <w:p>
            <w:pPr>
              <w:jc w:val="right"/>
              <w:ind w:right="42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104"/>
        </w:trPr>
        <w:tc>
          <w:tcPr>
            <w:tcW w:w="3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8"/>
              </w:rPr>
              <w:t>November 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October 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0"/>
              </w:rPr>
              <w:t>November 2</w:t>
            </w:r>
          </w:p>
        </w:tc>
        <w:tc>
          <w:tcPr>
            <w:tcW w:w="20" w:type="dxa"/>
            <w:vAlign w:val="bottom"/>
          </w:tcPr>
          <w:p>
            <w:pPr>
              <w:spacing w:after="0"/>
              <w:rPr>
                <w:sz w:val="24"/>
                <w:szCs w:val="2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9"/>
              </w:rPr>
              <w:t>October 27,</w:t>
            </w:r>
          </w:p>
        </w:tc>
        <w:tc>
          <w:tcPr>
            <w:tcW w:w="0" w:type="dxa"/>
            <w:vAlign w:val="bottom"/>
          </w:tcPr>
          <w:p>
            <w:pPr>
              <w:spacing w:after="0"/>
              <w:rPr>
                <w:sz w:val="1"/>
                <w:szCs w:val="1"/>
                <w:color w:val="auto"/>
              </w:rPr>
            </w:pPr>
          </w:p>
        </w:tc>
      </w:tr>
      <w:tr>
        <w:trPr>
          <w:trHeight w:val="206"/>
        </w:trPr>
        <w:tc>
          <w:tcPr>
            <w:tcW w:w="3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left="256"/>
              <w:spacing w:after="0"/>
              <w:rPr>
                <w:sz w:val="20"/>
                <w:szCs w:val="20"/>
                <w:color w:val="auto"/>
              </w:rPr>
            </w:pPr>
            <w:r>
              <w:rPr>
                <w:rFonts w:ascii="Arial" w:cs="Arial" w:eastAsia="Arial" w:hAnsi="Arial"/>
                <w:sz w:val="17"/>
                <w:szCs w:val="17"/>
                <w:b w:val="1"/>
                <w:bCs w:val="1"/>
                <w:color w:val="auto"/>
                <w:w w:val="89"/>
              </w:rPr>
              <w:t>2002</w:t>
            </w:r>
          </w:p>
        </w:tc>
        <w:tc>
          <w:tcPr>
            <w:tcW w:w="360" w:type="dxa"/>
            <w:vAlign w:val="bottom"/>
          </w:tcPr>
          <w:p>
            <w:pPr>
              <w:spacing w:after="0"/>
              <w:rPr>
                <w:sz w:val="17"/>
                <w:szCs w:val="17"/>
                <w:color w:val="auto"/>
              </w:rPr>
            </w:pPr>
          </w:p>
        </w:tc>
        <w:tc>
          <w:tcPr>
            <w:tcW w:w="800" w:type="dxa"/>
            <w:vAlign w:val="bottom"/>
            <w:gridSpan w:val="3"/>
          </w:tcPr>
          <w:p>
            <w:pPr>
              <w:jc w:val="center"/>
              <w:ind w:left="316"/>
              <w:spacing w:after="0"/>
              <w:rPr>
                <w:sz w:val="20"/>
                <w:szCs w:val="20"/>
                <w:color w:val="auto"/>
              </w:rPr>
            </w:pPr>
            <w:r>
              <w:rPr>
                <w:rFonts w:ascii="Arial" w:cs="Arial" w:eastAsia="Arial" w:hAnsi="Arial"/>
                <w:sz w:val="17"/>
                <w:szCs w:val="17"/>
                <w:b w:val="1"/>
                <w:bCs w:val="1"/>
                <w:color w:val="auto"/>
                <w:w w:val="84"/>
              </w:rPr>
              <w:t>2001</w:t>
            </w:r>
          </w:p>
        </w:tc>
        <w:tc>
          <w:tcPr>
            <w:tcW w:w="340" w:type="dxa"/>
            <w:vAlign w:val="bottom"/>
          </w:tcPr>
          <w:p>
            <w:pPr>
              <w:spacing w:after="0"/>
              <w:rPr>
                <w:sz w:val="17"/>
                <w:szCs w:val="17"/>
                <w:color w:val="auto"/>
              </w:rPr>
            </w:pPr>
          </w:p>
        </w:tc>
        <w:tc>
          <w:tcPr>
            <w:tcW w:w="820" w:type="dxa"/>
            <w:vAlign w:val="bottom"/>
            <w:gridSpan w:val="5"/>
          </w:tcPr>
          <w:p>
            <w:pPr>
              <w:jc w:val="center"/>
              <w:ind w:left="336"/>
              <w:spacing w:after="0"/>
              <w:rPr>
                <w:sz w:val="20"/>
                <w:szCs w:val="20"/>
                <w:color w:val="auto"/>
              </w:rPr>
            </w:pPr>
            <w:r>
              <w:rPr>
                <w:rFonts w:ascii="Arial" w:cs="Arial" w:eastAsia="Arial" w:hAnsi="Arial"/>
                <w:sz w:val="17"/>
                <w:szCs w:val="17"/>
                <w:b w:val="1"/>
                <w:bCs w:val="1"/>
                <w:color w:val="auto"/>
                <w:w w:val="84"/>
              </w:rPr>
              <w:t>2002</w:t>
            </w:r>
          </w:p>
        </w:tc>
        <w:tc>
          <w:tcPr>
            <w:tcW w:w="360" w:type="dxa"/>
            <w:vAlign w:val="bottom"/>
          </w:tcPr>
          <w:p>
            <w:pPr>
              <w:spacing w:after="0"/>
              <w:rPr>
                <w:sz w:val="17"/>
                <w:szCs w:val="17"/>
                <w:color w:val="auto"/>
              </w:rPr>
            </w:pPr>
          </w:p>
        </w:tc>
        <w:tc>
          <w:tcPr>
            <w:tcW w:w="780" w:type="dxa"/>
            <w:vAlign w:val="bottom"/>
            <w:gridSpan w:val="2"/>
          </w:tcPr>
          <w:p>
            <w:pPr>
              <w:jc w:val="center"/>
              <w:ind w:left="156"/>
              <w:spacing w:after="0"/>
              <w:rPr>
                <w:sz w:val="20"/>
                <w:szCs w:val="20"/>
                <w:color w:val="auto"/>
              </w:rPr>
            </w:pPr>
            <w:r>
              <w:rPr>
                <w:rFonts w:ascii="Arial" w:cs="Arial" w:eastAsia="Arial" w:hAnsi="Arial"/>
                <w:sz w:val="17"/>
                <w:szCs w:val="17"/>
                <w:b w:val="1"/>
                <w:bCs w:val="1"/>
                <w:color w:val="auto"/>
                <w:w w:val="89"/>
              </w:rPr>
              <w:t>2001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6"/>
              </w:rPr>
              <w:t>(13 weeks)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(13 weeks)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8"/>
              </w:rPr>
              <w:t>(27 weeks)</w:t>
            </w:r>
          </w:p>
        </w:tc>
        <w:tc>
          <w:tcPr>
            <w:tcW w:w="20" w:type="dxa"/>
            <w:vAlign w:val="bottom"/>
          </w:tcPr>
          <w:p>
            <w:pPr>
              <w:spacing w:after="0"/>
              <w:rPr>
                <w:sz w:val="18"/>
                <w:szCs w:val="18"/>
                <w:color w:val="auto"/>
              </w:rPr>
            </w:pPr>
          </w:p>
        </w:tc>
        <w:tc>
          <w:tcPr>
            <w:tcW w:w="980" w:type="dxa"/>
            <w:vAlign w:val="bottom"/>
            <w:gridSpan w:val="4"/>
          </w:tcPr>
          <w:p>
            <w:pPr>
              <w:jc w:val="center"/>
              <w:spacing w:after="0"/>
              <w:rPr>
                <w:sz w:val="20"/>
                <w:szCs w:val="20"/>
                <w:color w:val="auto"/>
              </w:rPr>
            </w:pPr>
            <w:r>
              <w:rPr>
                <w:rFonts w:ascii="Arial" w:cs="Arial" w:eastAsia="Arial" w:hAnsi="Arial"/>
                <w:sz w:val="17"/>
                <w:szCs w:val="17"/>
                <w:b w:val="1"/>
                <w:bCs w:val="1"/>
                <w:color w:val="auto"/>
                <w:w w:val="86"/>
              </w:rPr>
              <w:t>(26 weeks)</w:t>
            </w:r>
          </w:p>
        </w:tc>
        <w:tc>
          <w:tcPr>
            <w:tcW w:w="0" w:type="dxa"/>
            <w:vAlign w:val="bottom"/>
          </w:tcPr>
          <w:p>
            <w:pPr>
              <w:spacing w:after="0"/>
              <w:rPr>
                <w:sz w:val="1"/>
                <w:szCs w:val="1"/>
                <w:color w:val="auto"/>
              </w:rPr>
            </w:pPr>
          </w:p>
        </w:tc>
      </w:tr>
      <w:tr>
        <w:trPr>
          <w:trHeight w:val="104"/>
        </w:trPr>
        <w:tc>
          <w:tcPr>
            <w:tcW w:w="3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3320" w:type="dxa"/>
            <w:vAlign w:val="bottom"/>
            <w:gridSpan w:val="3"/>
          </w:tcPr>
          <w:p>
            <w:pPr>
              <w:spacing w:after="0"/>
              <w:rPr>
                <w:sz w:val="20"/>
                <w:szCs w:val="20"/>
                <w:color w:val="auto"/>
              </w:rPr>
            </w:pPr>
            <w:r>
              <w:rPr>
                <w:rFonts w:ascii="Arial" w:cs="Arial" w:eastAsia="Arial" w:hAnsi="Arial"/>
                <w:sz w:val="17"/>
                <w:szCs w:val="17"/>
                <w:color w:val="auto"/>
              </w:rPr>
              <w:t>Net sales</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100.0%</w:t>
            </w: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100.0%</w:t>
            </w:r>
          </w:p>
        </w:tc>
        <w:tc>
          <w:tcPr>
            <w:tcW w:w="1180" w:type="dxa"/>
            <w:vAlign w:val="bottom"/>
            <w:gridSpan w:val="6"/>
          </w:tcPr>
          <w:p>
            <w:pPr>
              <w:jc w:val="right"/>
              <w:ind w:right="240"/>
              <w:spacing w:after="0"/>
              <w:rPr>
                <w:sz w:val="20"/>
                <w:szCs w:val="20"/>
                <w:color w:val="auto"/>
              </w:rPr>
            </w:pPr>
            <w:r>
              <w:rPr>
                <w:rFonts w:ascii="Arial" w:cs="Arial" w:eastAsia="Arial" w:hAnsi="Arial"/>
                <w:sz w:val="17"/>
                <w:szCs w:val="17"/>
                <w:color w:val="auto"/>
              </w:rPr>
              <w:t>100.0%</w:t>
            </w: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Cost of goods sold</w:t>
            </w:r>
          </w:p>
        </w:tc>
        <w:tc>
          <w:tcPr>
            <w:tcW w:w="10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67.2%</w:t>
            </w:r>
          </w:p>
        </w:tc>
        <w:tc>
          <w:tcPr>
            <w:tcW w:w="1140" w:type="dxa"/>
            <w:vAlign w:val="bottom"/>
            <w:gridSpan w:val="4"/>
            <w:shd w:val="clear" w:color="auto" w:fill="C0C0C0"/>
          </w:tcPr>
          <w:p>
            <w:pPr>
              <w:jc w:val="right"/>
              <w:ind w:right="200"/>
              <w:spacing w:after="0"/>
              <w:rPr>
                <w:sz w:val="20"/>
                <w:szCs w:val="20"/>
                <w:color w:val="auto"/>
              </w:rPr>
            </w:pPr>
            <w:r>
              <w:rPr>
                <w:rFonts w:ascii="Arial" w:cs="Arial" w:eastAsia="Arial" w:hAnsi="Arial"/>
                <w:sz w:val="17"/>
                <w:szCs w:val="17"/>
                <w:color w:val="auto"/>
              </w:rPr>
              <w:t>69.7%</w:t>
            </w:r>
          </w:p>
        </w:tc>
        <w:tc>
          <w:tcPr>
            <w:tcW w:w="1180" w:type="dxa"/>
            <w:vAlign w:val="bottom"/>
            <w:gridSpan w:val="6"/>
            <w:shd w:val="clear" w:color="auto" w:fill="C0C0C0"/>
          </w:tcPr>
          <w:p>
            <w:pPr>
              <w:jc w:val="right"/>
              <w:ind w:right="240"/>
              <w:spacing w:after="0"/>
              <w:rPr>
                <w:sz w:val="20"/>
                <w:szCs w:val="20"/>
                <w:color w:val="auto"/>
              </w:rPr>
            </w:pPr>
            <w:r>
              <w:rPr>
                <w:rFonts w:ascii="Arial" w:cs="Arial" w:eastAsia="Arial" w:hAnsi="Arial"/>
                <w:sz w:val="17"/>
                <w:szCs w:val="17"/>
                <w:color w:val="auto"/>
              </w:rPr>
              <w:t>66.3%</w:t>
            </w:r>
          </w:p>
        </w:tc>
        <w:tc>
          <w:tcPr>
            <w:tcW w:w="96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color w:val="auto"/>
              </w:rPr>
              <w:t>70.9%</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260" w:type="dxa"/>
            <w:vAlign w:val="bottom"/>
          </w:tcPr>
          <w:p>
            <w:pPr>
              <w:spacing w:after="0"/>
              <w:rPr>
                <w:sz w:val="8"/>
                <w:szCs w:val="8"/>
                <w:color w:val="auto"/>
              </w:rPr>
            </w:pPr>
          </w:p>
        </w:tc>
        <w:tc>
          <w:tcPr>
            <w:tcW w:w="6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3320" w:type="dxa"/>
            <w:vAlign w:val="bottom"/>
            <w:gridSpan w:val="3"/>
          </w:tcPr>
          <w:p>
            <w:pPr>
              <w:spacing w:after="0"/>
              <w:rPr>
                <w:sz w:val="20"/>
                <w:szCs w:val="20"/>
                <w:color w:val="auto"/>
              </w:rPr>
            </w:pPr>
            <w:r>
              <w:rPr>
                <w:rFonts w:ascii="Arial" w:cs="Arial" w:eastAsia="Arial" w:hAnsi="Arial"/>
                <w:sz w:val="17"/>
                <w:szCs w:val="17"/>
                <w:color w:val="auto"/>
              </w:rPr>
              <w:t>Gross profit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32.8%</w:t>
            </w: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30.3%</w:t>
            </w:r>
          </w:p>
        </w:tc>
        <w:tc>
          <w:tcPr>
            <w:tcW w:w="1180" w:type="dxa"/>
            <w:vAlign w:val="bottom"/>
            <w:gridSpan w:val="6"/>
          </w:tcPr>
          <w:p>
            <w:pPr>
              <w:jc w:val="right"/>
              <w:ind w:right="240"/>
              <w:spacing w:after="0"/>
              <w:rPr>
                <w:sz w:val="20"/>
                <w:szCs w:val="20"/>
                <w:color w:val="auto"/>
              </w:rPr>
            </w:pPr>
            <w:r>
              <w:rPr>
                <w:rFonts w:ascii="Arial" w:cs="Arial" w:eastAsia="Arial" w:hAnsi="Arial"/>
                <w:sz w:val="17"/>
                <w:szCs w:val="17"/>
                <w:color w:val="auto"/>
              </w:rPr>
              <w:t>33.7%</w:t>
            </w: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29.1%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Operating expenses</w:t>
            </w:r>
          </w:p>
        </w:tc>
        <w:tc>
          <w:tcPr>
            <w:tcW w:w="10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19.5%</w:t>
            </w:r>
          </w:p>
        </w:tc>
        <w:tc>
          <w:tcPr>
            <w:tcW w:w="1140" w:type="dxa"/>
            <w:vAlign w:val="bottom"/>
            <w:gridSpan w:val="4"/>
            <w:shd w:val="clear" w:color="auto" w:fill="C0C0C0"/>
          </w:tcPr>
          <w:p>
            <w:pPr>
              <w:jc w:val="right"/>
              <w:ind w:right="200"/>
              <w:spacing w:after="0"/>
              <w:rPr>
                <w:sz w:val="20"/>
                <w:szCs w:val="20"/>
                <w:color w:val="auto"/>
              </w:rPr>
            </w:pPr>
            <w:r>
              <w:rPr>
                <w:rFonts w:ascii="Arial" w:cs="Arial" w:eastAsia="Arial" w:hAnsi="Arial"/>
                <w:sz w:val="17"/>
                <w:szCs w:val="17"/>
                <w:color w:val="auto"/>
              </w:rPr>
              <w:t>21.7%</w:t>
            </w:r>
          </w:p>
        </w:tc>
        <w:tc>
          <w:tcPr>
            <w:tcW w:w="1180" w:type="dxa"/>
            <w:vAlign w:val="bottom"/>
            <w:gridSpan w:val="6"/>
            <w:shd w:val="clear" w:color="auto" w:fill="C0C0C0"/>
          </w:tcPr>
          <w:p>
            <w:pPr>
              <w:jc w:val="right"/>
              <w:ind w:right="240"/>
              <w:spacing w:after="0"/>
              <w:rPr>
                <w:sz w:val="20"/>
                <w:szCs w:val="20"/>
                <w:color w:val="auto"/>
              </w:rPr>
            </w:pPr>
            <w:r>
              <w:rPr>
                <w:rFonts w:ascii="Arial" w:cs="Arial" w:eastAsia="Arial" w:hAnsi="Arial"/>
                <w:sz w:val="17"/>
                <w:szCs w:val="17"/>
                <w:color w:val="auto"/>
              </w:rPr>
              <w:t>21.3%</w:t>
            </w:r>
          </w:p>
        </w:tc>
        <w:tc>
          <w:tcPr>
            <w:tcW w:w="96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color w:val="auto"/>
              </w:rPr>
              <w:t>21.5%</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260" w:type="dxa"/>
            <w:vAlign w:val="bottom"/>
          </w:tcPr>
          <w:p>
            <w:pPr>
              <w:spacing w:after="0"/>
              <w:rPr>
                <w:sz w:val="8"/>
                <w:szCs w:val="8"/>
                <w:color w:val="auto"/>
              </w:rPr>
            </w:pPr>
          </w:p>
        </w:tc>
        <w:tc>
          <w:tcPr>
            <w:tcW w:w="6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3320" w:type="dxa"/>
            <w:vAlign w:val="bottom"/>
            <w:gridSpan w:val="3"/>
          </w:tcPr>
          <w:p>
            <w:pPr>
              <w:spacing w:after="0"/>
              <w:rPr>
                <w:sz w:val="20"/>
                <w:szCs w:val="20"/>
                <w:color w:val="auto"/>
              </w:rPr>
            </w:pPr>
            <w:r>
              <w:rPr>
                <w:rFonts w:ascii="Arial" w:cs="Arial" w:eastAsia="Arial" w:hAnsi="Arial"/>
                <w:sz w:val="17"/>
                <w:szCs w:val="17"/>
                <w:color w:val="auto"/>
              </w:rPr>
              <w:t>Operating income</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13.3%</w:t>
            </w: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8.6%</w:t>
            </w:r>
          </w:p>
        </w:tc>
        <w:tc>
          <w:tcPr>
            <w:tcW w:w="1180" w:type="dxa"/>
            <w:vAlign w:val="bottom"/>
            <w:gridSpan w:val="6"/>
          </w:tcPr>
          <w:p>
            <w:pPr>
              <w:jc w:val="right"/>
              <w:ind w:right="240"/>
              <w:spacing w:after="0"/>
              <w:rPr>
                <w:sz w:val="20"/>
                <w:szCs w:val="20"/>
                <w:color w:val="auto"/>
              </w:rPr>
            </w:pPr>
            <w:r>
              <w:rPr>
                <w:rFonts w:ascii="Arial" w:cs="Arial" w:eastAsia="Arial" w:hAnsi="Arial"/>
                <w:sz w:val="17"/>
                <w:szCs w:val="17"/>
                <w:color w:val="auto"/>
              </w:rPr>
              <w:t>12.4%</w:t>
            </w: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Interest income</w:t>
            </w:r>
          </w:p>
        </w:tc>
        <w:tc>
          <w:tcPr>
            <w:tcW w:w="10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0.3%</w:t>
            </w:r>
          </w:p>
        </w:tc>
        <w:tc>
          <w:tcPr>
            <w:tcW w:w="1140" w:type="dxa"/>
            <w:vAlign w:val="bottom"/>
            <w:gridSpan w:val="4"/>
            <w:shd w:val="clear" w:color="auto" w:fill="C0C0C0"/>
          </w:tcPr>
          <w:p>
            <w:pPr>
              <w:jc w:val="right"/>
              <w:ind w:right="200"/>
              <w:spacing w:after="0"/>
              <w:rPr>
                <w:sz w:val="20"/>
                <w:szCs w:val="20"/>
                <w:color w:val="auto"/>
              </w:rPr>
            </w:pPr>
            <w:r>
              <w:rPr>
                <w:rFonts w:ascii="Arial" w:cs="Arial" w:eastAsia="Arial" w:hAnsi="Arial"/>
                <w:sz w:val="17"/>
                <w:szCs w:val="17"/>
                <w:color w:val="auto"/>
              </w:rPr>
              <w:t>0.5%</w:t>
            </w:r>
          </w:p>
        </w:tc>
        <w:tc>
          <w:tcPr>
            <w:tcW w:w="1180" w:type="dxa"/>
            <w:vAlign w:val="bottom"/>
            <w:gridSpan w:val="6"/>
            <w:shd w:val="clear" w:color="auto" w:fill="C0C0C0"/>
          </w:tcPr>
          <w:p>
            <w:pPr>
              <w:jc w:val="right"/>
              <w:ind w:right="240"/>
              <w:spacing w:after="0"/>
              <w:rPr>
                <w:sz w:val="20"/>
                <w:szCs w:val="20"/>
                <w:color w:val="auto"/>
              </w:rPr>
            </w:pPr>
            <w:r>
              <w:rPr>
                <w:rFonts w:ascii="Arial" w:cs="Arial" w:eastAsia="Arial" w:hAnsi="Arial"/>
                <w:sz w:val="17"/>
                <w:szCs w:val="17"/>
                <w:color w:val="auto"/>
              </w:rPr>
              <w:t>0.4%</w:t>
            </w:r>
          </w:p>
        </w:tc>
        <w:tc>
          <w:tcPr>
            <w:tcW w:w="96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color w:val="auto"/>
              </w:rPr>
              <w:t>0.4%</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(0.4%)</w:t>
            </w:r>
          </w:p>
        </w:tc>
        <w:tc>
          <w:tcPr>
            <w:tcW w:w="1140" w:type="dxa"/>
            <w:vAlign w:val="bottom"/>
            <w:gridSpan w:val="4"/>
          </w:tcPr>
          <w:p>
            <w:pPr>
              <w:jc w:val="right"/>
              <w:ind w:right="160"/>
              <w:spacing w:after="0"/>
              <w:rPr>
                <w:sz w:val="20"/>
                <w:szCs w:val="20"/>
                <w:color w:val="auto"/>
              </w:rPr>
            </w:pPr>
            <w:r>
              <w:rPr>
                <w:rFonts w:ascii="Arial" w:cs="Arial" w:eastAsia="Arial" w:hAnsi="Arial"/>
                <w:sz w:val="17"/>
                <w:szCs w:val="17"/>
                <w:color w:val="auto"/>
              </w:rPr>
              <w:t>(1.1%)</w:t>
            </w:r>
          </w:p>
        </w:tc>
        <w:tc>
          <w:tcPr>
            <w:tcW w:w="1180" w:type="dxa"/>
            <w:vAlign w:val="bottom"/>
            <w:gridSpan w:val="6"/>
          </w:tcPr>
          <w:p>
            <w:pPr>
              <w:jc w:val="right"/>
              <w:ind w:right="180"/>
              <w:spacing w:after="0"/>
              <w:rPr>
                <w:sz w:val="20"/>
                <w:szCs w:val="20"/>
                <w:color w:val="auto"/>
              </w:rPr>
            </w:pPr>
            <w:r>
              <w:rPr>
                <w:rFonts w:ascii="Arial" w:cs="Arial" w:eastAsia="Arial" w:hAnsi="Arial"/>
                <w:sz w:val="17"/>
                <w:szCs w:val="17"/>
                <w:color w:val="auto"/>
              </w:rPr>
              <w:t>(0.5%)</w:t>
            </w:r>
          </w:p>
        </w:tc>
        <w:tc>
          <w:tcPr>
            <w:tcW w:w="1000" w:type="dxa"/>
            <w:vAlign w:val="bottom"/>
            <w:gridSpan w:val="5"/>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33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Other income (expense), net</w:t>
            </w:r>
          </w:p>
        </w:tc>
        <w:tc>
          <w:tcPr>
            <w:tcW w:w="10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0.1%</w:t>
            </w:r>
          </w:p>
        </w:tc>
        <w:tc>
          <w:tcPr>
            <w:tcW w:w="1140" w:type="dxa"/>
            <w:vAlign w:val="bottom"/>
            <w:gridSpan w:val="4"/>
            <w:shd w:val="clear" w:color="auto" w:fill="C0C0C0"/>
          </w:tcPr>
          <w:p>
            <w:pPr>
              <w:jc w:val="right"/>
              <w:ind w:right="200"/>
              <w:spacing w:after="0"/>
              <w:rPr>
                <w:sz w:val="20"/>
                <w:szCs w:val="20"/>
                <w:color w:val="auto"/>
              </w:rPr>
            </w:pPr>
            <w:r>
              <w:rPr>
                <w:rFonts w:ascii="Arial" w:cs="Arial" w:eastAsia="Arial" w:hAnsi="Arial"/>
                <w:sz w:val="17"/>
                <w:szCs w:val="17"/>
                <w:color w:val="auto"/>
              </w:rPr>
              <w:t>0.1%</w:t>
            </w:r>
          </w:p>
        </w:tc>
        <w:tc>
          <w:tcPr>
            <w:tcW w:w="1180" w:type="dxa"/>
            <w:vAlign w:val="bottom"/>
            <w:gridSpan w:val="6"/>
            <w:shd w:val="clear" w:color="auto" w:fill="C0C0C0"/>
          </w:tcPr>
          <w:p>
            <w:pPr>
              <w:jc w:val="right"/>
              <w:ind w:right="240"/>
              <w:spacing w:after="0"/>
              <w:rPr>
                <w:sz w:val="20"/>
                <w:szCs w:val="20"/>
                <w:color w:val="auto"/>
              </w:rPr>
            </w:pPr>
            <w:r>
              <w:rPr>
                <w:rFonts w:ascii="Arial" w:cs="Arial" w:eastAsia="Arial" w:hAnsi="Arial"/>
                <w:sz w:val="17"/>
                <w:szCs w:val="17"/>
                <w:color w:val="auto"/>
              </w:rPr>
              <w:t>0.3%</w:t>
            </w:r>
          </w:p>
        </w:tc>
        <w:tc>
          <w:tcPr>
            <w:tcW w:w="96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color w:val="auto"/>
              </w:rPr>
              <w:t>0.1%</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260" w:type="dxa"/>
            <w:vAlign w:val="bottom"/>
          </w:tcPr>
          <w:p>
            <w:pPr>
              <w:spacing w:after="0"/>
              <w:rPr>
                <w:sz w:val="8"/>
                <w:szCs w:val="8"/>
                <w:color w:val="auto"/>
              </w:rPr>
            </w:pPr>
          </w:p>
        </w:tc>
        <w:tc>
          <w:tcPr>
            <w:tcW w:w="6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3320" w:type="dxa"/>
            <w:vAlign w:val="bottom"/>
            <w:gridSpan w:val="3"/>
          </w:tcPr>
          <w:p>
            <w:pPr>
              <w:spacing w:after="0"/>
              <w:rPr>
                <w:sz w:val="20"/>
                <w:szCs w:val="20"/>
                <w:color w:val="auto"/>
              </w:rPr>
            </w:pPr>
            <w:r>
              <w:rPr>
                <w:rFonts w:ascii="Arial" w:cs="Arial" w:eastAsia="Arial" w:hAnsi="Arial"/>
                <w:sz w:val="17"/>
                <w:szCs w:val="17"/>
                <w:color w:val="auto"/>
              </w:rPr>
              <w:t>Income before income taxes and</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20" w:type="dxa"/>
            <w:vAlign w:val="bottom"/>
            <w:gridSpan w:val="3"/>
          </w:tcPr>
          <w:p>
            <w:pPr>
              <w:ind w:left="260"/>
              <w:spacing w:after="0"/>
              <w:rPr>
                <w:sz w:val="20"/>
                <w:szCs w:val="20"/>
                <w:color w:val="auto"/>
              </w:rPr>
            </w:pPr>
            <w:r>
              <w:rPr>
                <w:rFonts w:ascii="Arial" w:cs="Arial" w:eastAsia="Arial" w:hAnsi="Arial"/>
                <w:sz w:val="17"/>
                <w:szCs w:val="17"/>
                <w:color w:val="auto"/>
              </w:rPr>
              <w:t>minority interest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13.3%</w:t>
            </w:r>
          </w:p>
        </w:tc>
        <w:tc>
          <w:tcPr>
            <w:tcW w:w="1140" w:type="dxa"/>
            <w:vAlign w:val="bottom"/>
            <w:gridSpan w:val="4"/>
            <w:vMerge w:val="restart"/>
          </w:tcPr>
          <w:p>
            <w:pPr>
              <w:jc w:val="right"/>
              <w:ind w:right="200"/>
              <w:spacing w:after="0"/>
              <w:rPr>
                <w:sz w:val="20"/>
                <w:szCs w:val="20"/>
                <w:color w:val="auto"/>
              </w:rPr>
            </w:pPr>
            <w:r>
              <w:rPr>
                <w:rFonts w:ascii="Arial" w:cs="Arial" w:eastAsia="Arial" w:hAnsi="Arial"/>
                <w:sz w:val="17"/>
                <w:szCs w:val="17"/>
                <w:color w:val="auto"/>
              </w:rPr>
              <w:t>7.9%</w:t>
            </w:r>
          </w:p>
        </w:tc>
        <w:tc>
          <w:tcPr>
            <w:tcW w:w="1180" w:type="dxa"/>
            <w:vAlign w:val="bottom"/>
            <w:gridSpan w:val="6"/>
            <w:vMerge w:val="restart"/>
          </w:tcPr>
          <w:p>
            <w:pPr>
              <w:jc w:val="right"/>
              <w:ind w:right="240"/>
              <w:spacing w:after="0"/>
              <w:rPr>
                <w:sz w:val="20"/>
                <w:szCs w:val="20"/>
                <w:color w:val="auto"/>
              </w:rPr>
            </w:pPr>
            <w:r>
              <w:rPr>
                <w:rFonts w:ascii="Arial" w:cs="Arial" w:eastAsia="Arial" w:hAnsi="Arial"/>
                <w:sz w:val="17"/>
                <w:szCs w:val="17"/>
                <w:color w:val="auto"/>
              </w:rPr>
              <w:t>12.6%</w:t>
            </w:r>
          </w:p>
        </w:tc>
        <w:tc>
          <w:tcPr>
            <w:tcW w:w="96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1180" w:type="dxa"/>
            <w:vAlign w:val="bottom"/>
            <w:gridSpan w:val="6"/>
            <w:vMerge w:val="continue"/>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Income tax expense</w:t>
            </w:r>
          </w:p>
        </w:tc>
        <w:tc>
          <w:tcPr>
            <w:tcW w:w="10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4.9%</w:t>
            </w:r>
          </w:p>
        </w:tc>
        <w:tc>
          <w:tcPr>
            <w:tcW w:w="1140" w:type="dxa"/>
            <w:vAlign w:val="bottom"/>
            <w:gridSpan w:val="4"/>
            <w:shd w:val="clear" w:color="auto" w:fill="C0C0C0"/>
          </w:tcPr>
          <w:p>
            <w:pPr>
              <w:jc w:val="right"/>
              <w:ind w:right="200"/>
              <w:spacing w:after="0"/>
              <w:rPr>
                <w:sz w:val="20"/>
                <w:szCs w:val="20"/>
                <w:color w:val="auto"/>
              </w:rPr>
            </w:pPr>
            <w:r>
              <w:rPr>
                <w:rFonts w:ascii="Arial" w:cs="Arial" w:eastAsia="Arial" w:hAnsi="Arial"/>
                <w:sz w:val="17"/>
                <w:szCs w:val="17"/>
                <w:color w:val="auto"/>
              </w:rPr>
              <w:t>3.0%</w:t>
            </w:r>
          </w:p>
        </w:tc>
        <w:tc>
          <w:tcPr>
            <w:tcW w:w="1180" w:type="dxa"/>
            <w:vAlign w:val="bottom"/>
            <w:gridSpan w:val="6"/>
            <w:shd w:val="clear" w:color="auto" w:fill="C0C0C0"/>
          </w:tcPr>
          <w:p>
            <w:pPr>
              <w:jc w:val="right"/>
              <w:ind w:right="240"/>
              <w:spacing w:after="0"/>
              <w:rPr>
                <w:sz w:val="20"/>
                <w:szCs w:val="20"/>
                <w:color w:val="auto"/>
              </w:rPr>
            </w:pPr>
            <w:r>
              <w:rPr>
                <w:rFonts w:ascii="Arial" w:cs="Arial" w:eastAsia="Arial" w:hAnsi="Arial"/>
                <w:sz w:val="17"/>
                <w:szCs w:val="17"/>
                <w:color w:val="auto"/>
              </w:rPr>
              <w:t>4.8%</w:t>
            </w:r>
          </w:p>
        </w:tc>
        <w:tc>
          <w:tcPr>
            <w:tcW w:w="96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color w:val="auto"/>
              </w:rPr>
              <w:t>2.7%</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260" w:type="dxa"/>
            <w:vAlign w:val="bottom"/>
          </w:tcPr>
          <w:p>
            <w:pPr>
              <w:spacing w:after="0"/>
              <w:rPr>
                <w:sz w:val="8"/>
                <w:szCs w:val="8"/>
                <w:color w:val="auto"/>
              </w:rPr>
            </w:pPr>
          </w:p>
        </w:tc>
        <w:tc>
          <w:tcPr>
            <w:tcW w:w="6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3320" w:type="dxa"/>
            <w:vAlign w:val="bottom"/>
            <w:gridSpan w:val="3"/>
          </w:tcPr>
          <w:p>
            <w:pPr>
              <w:spacing w:after="0"/>
              <w:rPr>
                <w:sz w:val="20"/>
                <w:szCs w:val="20"/>
                <w:color w:val="auto"/>
              </w:rPr>
            </w:pPr>
            <w:r>
              <w:rPr>
                <w:rFonts w:ascii="Arial" w:cs="Arial" w:eastAsia="Arial" w:hAnsi="Arial"/>
                <w:sz w:val="17"/>
                <w:szCs w:val="17"/>
                <w:color w:val="auto"/>
              </w:rPr>
              <w:t>Minority interest in income</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20" w:type="dxa"/>
            <w:vAlign w:val="bottom"/>
            <w:gridSpan w:val="3"/>
          </w:tcPr>
          <w:p>
            <w:pPr>
              <w:ind w:left="260"/>
              <w:spacing w:after="0"/>
              <w:rPr>
                <w:sz w:val="20"/>
                <w:szCs w:val="20"/>
                <w:color w:val="auto"/>
              </w:rPr>
            </w:pPr>
            <w:r>
              <w:rPr>
                <w:rFonts w:ascii="Arial" w:cs="Arial" w:eastAsia="Arial" w:hAnsi="Arial"/>
                <w:sz w:val="17"/>
                <w:szCs w:val="17"/>
                <w:color w:val="auto"/>
              </w:rPr>
              <w:t>of subsidiary</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7"/>
                <w:szCs w:val="17"/>
                <w:color w:val="auto"/>
              </w:rPr>
              <w:t>(0.1%)</w:t>
            </w: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3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3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Net income</w:t>
            </w:r>
          </w:p>
        </w:tc>
        <w:tc>
          <w:tcPr>
            <w:tcW w:w="108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8.4%</w:t>
            </w:r>
          </w:p>
        </w:tc>
        <w:tc>
          <w:tcPr>
            <w:tcW w:w="1140" w:type="dxa"/>
            <w:vAlign w:val="bottom"/>
            <w:gridSpan w:val="4"/>
            <w:shd w:val="clear" w:color="auto" w:fill="C0C0C0"/>
          </w:tcPr>
          <w:p>
            <w:pPr>
              <w:jc w:val="right"/>
              <w:ind w:right="200"/>
              <w:spacing w:after="0"/>
              <w:rPr>
                <w:sz w:val="20"/>
                <w:szCs w:val="20"/>
                <w:color w:val="auto"/>
              </w:rPr>
            </w:pPr>
            <w:r>
              <w:rPr>
                <w:rFonts w:ascii="Arial" w:cs="Arial" w:eastAsia="Arial" w:hAnsi="Arial"/>
                <w:sz w:val="17"/>
                <w:szCs w:val="17"/>
                <w:color w:val="auto"/>
              </w:rPr>
              <w:t>4.8%</w:t>
            </w:r>
          </w:p>
        </w:tc>
        <w:tc>
          <w:tcPr>
            <w:tcW w:w="1180" w:type="dxa"/>
            <w:vAlign w:val="bottom"/>
            <w:gridSpan w:val="6"/>
            <w:shd w:val="clear" w:color="auto" w:fill="C0C0C0"/>
          </w:tcPr>
          <w:p>
            <w:pPr>
              <w:jc w:val="right"/>
              <w:ind w:right="240"/>
              <w:spacing w:after="0"/>
              <w:rPr>
                <w:sz w:val="20"/>
                <w:szCs w:val="20"/>
                <w:color w:val="auto"/>
              </w:rPr>
            </w:pPr>
            <w:r>
              <w:rPr>
                <w:rFonts w:ascii="Arial" w:cs="Arial" w:eastAsia="Arial" w:hAnsi="Arial"/>
                <w:sz w:val="17"/>
                <w:szCs w:val="17"/>
                <w:color w:val="auto"/>
              </w:rPr>
              <w:t>7.8%</w:t>
            </w:r>
          </w:p>
        </w:tc>
        <w:tc>
          <w:tcPr>
            <w:tcW w:w="96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color w:val="auto"/>
              </w:rPr>
              <w:t>4.4%</w:t>
            </w:r>
          </w:p>
        </w:tc>
        <w:tc>
          <w:tcPr>
            <w:tcW w:w="2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3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2553335</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3540760</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20" w:lineRule="exact"/>
        <w:rPr>
          <w:sz w:val="20"/>
          <w:szCs w:val="20"/>
          <w:color w:val="auto"/>
        </w:rPr>
      </w:pPr>
    </w:p>
    <w:p>
      <w:pPr>
        <w:ind w:firstLine="334"/>
        <w:spacing w:after="0" w:line="255" w:lineRule="auto"/>
        <w:rPr>
          <w:sz w:val="20"/>
          <w:szCs w:val="20"/>
          <w:color w:val="auto"/>
        </w:rPr>
      </w:pPr>
      <w:r>
        <w:rPr>
          <w:rFonts w:ascii="Arial" w:cs="Arial" w:eastAsia="Arial" w:hAnsi="Arial"/>
          <w:sz w:val="17"/>
          <w:szCs w:val="17"/>
          <w:color w:val="auto"/>
        </w:rPr>
        <w:t>Net sales increased 12.7% to $92.2 million for the six months ended November 2, 2002 as compared to $81.8 million for the same period in fiscal year 2002. Net sales increased 15.6% to $48.1 million for the quarter ended November 2, 2002 as compared to $41.6 million for the same period in fiscal year 2002. The increase in net sales for the six months of fiscal year 2003 versus fiscal year 2002 and for the quarter ended November 2, 2002 as compared to the quarter ended October 27, 2001 was comprised of an increase in net sales in the domestic sports and business markets. These increases were offset by a decline in sales in the transportation markets and a decline in international sales. The Company also began fiscal year 2003 and the second quarter of fiscal year 2003 with a higher backlog of approximately $51 million and $50 million, respectively, as compared to $44 million and $37 million for the beginning of fiscal year 2002 and the beginning of the second quarter of fiscal year 2002, respectively.</w:t>
      </w:r>
    </w:p>
    <w:p>
      <w:pPr>
        <w:spacing w:after="0" w:line="191" w:lineRule="exact"/>
        <w:rPr>
          <w:sz w:val="20"/>
          <w:szCs w:val="20"/>
          <w:color w:val="auto"/>
        </w:rPr>
      </w:pPr>
    </w:p>
    <w:p>
      <w:pPr>
        <w:ind w:right="20" w:firstLine="334"/>
        <w:spacing w:after="0" w:line="295" w:lineRule="auto"/>
        <w:rPr>
          <w:sz w:val="20"/>
          <w:szCs w:val="20"/>
          <w:color w:val="auto"/>
        </w:rPr>
      </w:pPr>
      <w:r>
        <w:rPr>
          <w:rFonts w:ascii="Arial" w:cs="Arial" w:eastAsia="Arial" w:hAnsi="Arial"/>
          <w:sz w:val="15"/>
          <w:szCs w:val="15"/>
          <w:color w:val="auto"/>
        </w:rPr>
        <w:t>In the business market, the first six months of fiscal year 2002 included revenues from a significant project with lower overall margins. No comparable project was included in net sales for the first six months of fiscal year 2003. The overall increase in net sales in the domestic business market, which offset the loss of that project, was the result of a 48% and 36% increase in standard product sales for the six months and quarter ended November 2, 2002 as compared to the same periods in fiscal year 2002. This increase in standard order volume was partially offset by a decline in orders for custom projects. The growth is attributable in part to new products developed and the development of the sales staff and distribution channels. As the Company continues to penetrate the business market, including national accounts and further matures its regional sales force, it expects this trend of increasing standard order volume to continue double digit growth rates. The Company’s ability to generate greater sales to national accounts and similar large customers could cause this rate of growth to develop at an even faster rate.</w:t>
      </w:r>
    </w:p>
    <w:p>
      <w:pPr>
        <w:spacing w:after="0" w:line="161" w:lineRule="exact"/>
        <w:rPr>
          <w:sz w:val="20"/>
          <w:szCs w:val="20"/>
          <w:color w:val="auto"/>
        </w:rPr>
      </w:pPr>
    </w:p>
    <w:p>
      <w:pPr>
        <w:ind w:right="80" w:firstLine="331"/>
        <w:spacing w:after="0" w:line="259" w:lineRule="auto"/>
        <w:rPr>
          <w:sz w:val="20"/>
          <w:szCs w:val="20"/>
          <w:color w:val="auto"/>
        </w:rPr>
      </w:pPr>
      <w:r>
        <w:rPr>
          <w:rFonts w:ascii="Arial" w:cs="Arial" w:eastAsia="Arial" w:hAnsi="Arial"/>
          <w:sz w:val="17"/>
          <w:szCs w:val="17"/>
          <w:color w:val="auto"/>
        </w:rPr>
        <w:t>The increase in the sports markets was focused mainly in the college, university and high school markets for both the quarter and the six months ended November 2, 2002 as compared to the same periods in fiscal year 2002. Net sales to these two areas of the sports market grew in excess of 37% over the second quarter of fiscal year 2002 due to the effects of regionalizing and expanding the sales force, product pricing and contributions from the sports marketing division which raises funds through sale of advertising to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043"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purchases of the Company’s equipment. Net sales in the major league sports market were relatively flat for the second quarter and year to date as compared to the same periods in fiscal year 2002, however the Company believes that it has significantly grown market share with the major league sports franchises and has booked significant orders which will contribute to net sales in future quarters. The improvements in the sports markets are attributable to many factors including the Company’s breath of products and services, its integration capabilities, its strength and experience in sales and engineering, product quality and relationships it has developed over the years with customers. It expects net sales in the sports markets to be up in total for the fiscal year over the previous fiscal year. Internationally, the Company experienced a decline in revenues for both the quarter and six months ending November 2, 2002, as compared to the second quarter and six months ending October 27, 2001.</w:t>
      </w:r>
    </w:p>
    <w:p>
      <w:pPr>
        <w:spacing w:after="0" w:line="158" w:lineRule="exact"/>
        <w:rPr>
          <w:sz w:val="20"/>
          <w:szCs w:val="20"/>
          <w:color w:val="auto"/>
        </w:rPr>
      </w:pPr>
    </w:p>
    <w:p>
      <w:pPr>
        <w:ind w:right="180" w:firstLine="325"/>
        <w:spacing w:after="0" w:line="304" w:lineRule="auto"/>
        <w:rPr>
          <w:sz w:val="20"/>
          <w:szCs w:val="20"/>
          <w:color w:val="auto"/>
        </w:rPr>
      </w:pPr>
      <w:r>
        <w:rPr>
          <w:rFonts w:ascii="Arial" w:cs="Arial" w:eastAsia="Arial" w:hAnsi="Arial"/>
          <w:sz w:val="15"/>
          <w:szCs w:val="15"/>
          <w:color w:val="auto"/>
        </w:rPr>
        <w:t>Although net sales in the transportation markets were down slightly for both the quarter and the six months ended November 2, 2002 as compared to the same periods of the previous year, order bookings were up for these periods. The backlog attributable to the Company’s transportation business is greater than year to date net sales in that market. As a result, the Company expects net sales in the transportation market will continue to grow as its products and sales force further penetrate the market and existing orders are converted to net sales. For the year it expects net sales in the transportation market to be higher than the previous fiscal year.</w:t>
      </w:r>
    </w:p>
    <w:p>
      <w:pPr>
        <w:spacing w:after="0" w:line="154" w:lineRule="exact"/>
        <w:rPr>
          <w:sz w:val="20"/>
          <w:szCs w:val="20"/>
          <w:color w:val="auto"/>
        </w:rPr>
      </w:pPr>
    </w:p>
    <w:p>
      <w:pPr>
        <w:ind w:right="160" w:firstLine="331"/>
        <w:spacing w:after="0" w:line="263" w:lineRule="auto"/>
        <w:rPr>
          <w:sz w:val="20"/>
          <w:szCs w:val="20"/>
          <w:color w:val="auto"/>
        </w:rPr>
      </w:pPr>
      <w:r>
        <w:rPr>
          <w:rFonts w:ascii="Arial" w:cs="Arial" w:eastAsia="Arial" w:hAnsi="Arial"/>
          <w:sz w:val="17"/>
          <w:szCs w:val="17"/>
          <w:color w:val="auto"/>
        </w:rPr>
        <w:t>The Company occasionally sells products in exchange for the proceeds of advertising revenues generated from use of products. These sales represented less than 10% of net sales for the quarter and six months ended November 2, 2002. The gross profit on these net sales has been comparable to the gross profit margin on other net sales.</w:t>
      </w:r>
    </w:p>
    <w:p>
      <w:pPr>
        <w:spacing w:after="0" w:line="180" w:lineRule="exact"/>
        <w:rPr>
          <w:sz w:val="20"/>
          <w:szCs w:val="20"/>
          <w:color w:val="auto"/>
        </w:rPr>
      </w:pPr>
    </w:p>
    <w:p>
      <w:pPr>
        <w:ind w:right="40" w:firstLine="331"/>
        <w:spacing w:after="0" w:line="277" w:lineRule="auto"/>
        <w:rPr>
          <w:sz w:val="20"/>
          <w:szCs w:val="20"/>
          <w:color w:val="auto"/>
        </w:rPr>
      </w:pPr>
      <w:r>
        <w:rPr>
          <w:rFonts w:ascii="Arial" w:cs="Arial" w:eastAsia="Arial" w:hAnsi="Arial"/>
          <w:sz w:val="16"/>
          <w:szCs w:val="16"/>
          <w:color w:val="auto"/>
        </w:rPr>
        <w:t>The order backlog as of November 2, 2002 was approximately $51 million as compared to $37 million as of October 27, 2001 and $50 million as of August 3, 2002. Historically, the Company’s backlog varies significantly due to the timing of large orders. The dollar increase in backlog was primarily concentrated in the sports markets, however the transportation backlog experienced significant growth on a percentage basis from the end of the second quarter of fiscal year 2002 and since the end of the first quarter of the current fiscal year. Backlog in the business market declined as compared to the previous year as sales grew in standard products, which due to the shorter lead-time, causes a decline in the backlog, although net sales are rising.</w:t>
      </w:r>
    </w:p>
    <w:p>
      <w:pPr>
        <w:spacing w:after="0" w:line="172" w:lineRule="exact"/>
        <w:rPr>
          <w:sz w:val="20"/>
          <w:szCs w:val="20"/>
          <w:color w:val="auto"/>
        </w:rPr>
      </w:pPr>
    </w:p>
    <w:p>
      <w:pPr>
        <w:ind w:firstLine="331"/>
        <w:spacing w:after="0" w:line="290" w:lineRule="auto"/>
        <w:rPr>
          <w:sz w:val="20"/>
          <w:szCs w:val="20"/>
          <w:color w:val="auto"/>
        </w:rPr>
      </w:pPr>
      <w:r>
        <w:rPr>
          <w:rFonts w:ascii="Arial" w:cs="Arial" w:eastAsia="Arial" w:hAnsi="Arial"/>
          <w:sz w:val="15"/>
          <w:szCs w:val="15"/>
          <w:color w:val="auto"/>
        </w:rPr>
        <w:t>The Company books orders only upon receipt of a firm contract and, in many cases, only after receipt of any required deposits related to the order. As a result, certain orders for which the Company has received binding letters of intent or contracts will not be booked until all required contractual documents and deposits are received. In addition, order bookings can vary significantly as a result of the timing of large orders. Total order bookings for the three months ended November 2, 2002, were up in excess of 16% compared to the three months ended October 27, 2001. Order bookings were up significantly in college, university and convention center facilities as well as the smaller sports institutions for both the quarter and six months ended November 2, 2002 as compared to the same periods in fiscal year 2002. Orders in major league facilities were down as compared to the second quarter of fiscal year 2002, however the Company has announced an order in excess of $6 million for the Houston Multi-purpose Arena, home of the Houston Rockets, which will be included in orders for the third quarter of fiscal year 2003, subject to execution of the contract. It also has significant orders pending for which it has received non-binding letters of intent. With these orders and expectations for the rest of the fiscal year, orders for the current fiscal year are expected to be up over the previous fiscal year. Orders in the transportation markets were up significantly for the quarter and for the six months ended November 2, 2002 as compared to similar periods for the previous fiscal year. Within the transportation market, the aviation business is down from the previous fiscal year, due primarily to the overall conditions of that market. The overall growth in orders across all markets over the past six months, which has translated into net sales, has been the result of a number of factors. Overall, the Company has positioned itself as the leader in large screen video displays and scoring and believes that it offers the most complete, integrated systems for fan entertainment, which it believes has added to orders in the sports markets. It also believes that it’s development of new markets and new uses for its technology have created new opportunities. Also product development, competitive pricing and deployment of a regional sales and service staff have helped drive the increase in orders and net sales. Finally, new products and the lessened effect of the events of September 11th have positively helped order bookings.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043"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790"/>
        <w:spacing w:after="0" w:line="263" w:lineRule="auto"/>
        <w:rPr>
          <w:sz w:val="20"/>
          <w:szCs w:val="20"/>
          <w:color w:val="auto"/>
        </w:rPr>
      </w:pPr>
      <w:r>
        <w:rPr>
          <w:rFonts w:ascii="Arial" w:cs="Arial" w:eastAsia="Arial" w:hAnsi="Arial"/>
          <w:sz w:val="17"/>
          <w:szCs w:val="17"/>
          <w:color w:val="auto"/>
        </w:rPr>
        <w:t>The Company expects that orders will continue to grow over the long term in all three of its markets. It also believes that much of its sports market is protected more in economic downturns than its business markets. Growth in the business markets is dependant on the economic conditions, however the Company believes that this market will grow in the current economic conditions, since the market is new and has the least penetration.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20" w:lineRule="exact"/>
        <w:rPr>
          <w:sz w:val="20"/>
          <w:szCs w:val="20"/>
          <w:color w:val="auto"/>
        </w:rPr>
      </w:pPr>
    </w:p>
    <w:p>
      <w:pPr>
        <w:ind w:right="20" w:firstLine="334"/>
        <w:spacing w:after="0" w:line="294" w:lineRule="auto"/>
        <w:rPr>
          <w:sz w:val="20"/>
          <w:szCs w:val="20"/>
          <w:color w:val="auto"/>
        </w:rPr>
      </w:pPr>
      <w:r>
        <w:rPr>
          <w:rFonts w:ascii="Arial" w:cs="Arial" w:eastAsia="Arial" w:hAnsi="Arial"/>
          <w:sz w:val="15"/>
          <w:szCs w:val="15"/>
          <w:color w:val="auto"/>
        </w:rPr>
        <w:t>Gross profit increased 25.5% to $15.8 million for the three months ended November 2, 2002 compared to $12.6 million for the same period in fiscal year 2002. For the six months ended November 2, 2002, gross profit increased 30.7% to $31.1 million as compared to $23.8 million for the six months ended October 27, 2001. As a percent of net sales, gross profit was 32.8% and 33.7% for the quarter and six months ended November 2, 2002 as compared to 30.3% and 29.1% for the quarter and six months ended October 27, 2001. The increase in gross profit for both the quarter and the six months was due to a number of factors including improvements in raw material costs, an overall improvement in expected margins at contract signing, an improved mix between higher margin standard products and large contracts, improved overhead absorption due to production volumes and benefits realized from cost reductions in prior quarters. These improvements were offset by increases in the Company’s write-downs for excess and obsolete inventory as it continues to reduce inventory. Gross profit for the full fiscal year as a percent of net sales is expected to be higher than the gross profit percentages obtained in fiscal year 2002, but less than the level realized in the first six months of fiscal year 2003.</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20" w:lineRule="exact"/>
        <w:rPr>
          <w:sz w:val="20"/>
          <w:szCs w:val="20"/>
          <w:color w:val="auto"/>
        </w:rPr>
      </w:pPr>
    </w:p>
    <w:p>
      <w:pPr>
        <w:ind w:right="20" w:firstLine="334"/>
        <w:spacing w:after="0" w:line="255"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which are comprised of selling, general and administrative and product design and development, increased by</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3.8% from $9.0 million in the second quarter of fiscal year 2002 to $9.4 million in the second quarter of fiscal year 2003. As a percent of net sales, operating expenses decreased from 21.7% to 19.5%. For the six months ended November 2, 2002, operating expenses increased 11.9% from $17.6 million for the six months ended October 27, 2001 to $19.7 million for the six months ended November 2, 2002. For the six months ended November 2, 2002, all components of operating expenses were affected as a result of the first quarter of fiscal year 2003 containing 14 weeks as opposed to the 13 weeks included in the first quarter of fiscal year 2002. The higher levels of sales for the quarter and six months ended November 2, 2002, as compared to the previous fiscal year contributed to the improvements as a percent of sales.</w:t>
      </w:r>
    </w:p>
    <w:p>
      <w:pPr>
        <w:spacing w:after="0" w:line="191" w:lineRule="exact"/>
        <w:rPr>
          <w:sz w:val="20"/>
          <w:szCs w:val="20"/>
          <w:color w:val="auto"/>
        </w:rPr>
      </w:pPr>
    </w:p>
    <w:p>
      <w:pPr>
        <w:ind w:right="80" w:firstLine="459"/>
        <w:spacing w:after="0" w:line="292" w:lineRule="auto"/>
        <w:rPr>
          <w:sz w:val="20"/>
          <w:szCs w:val="20"/>
          <w:color w:val="auto"/>
        </w:rPr>
      </w:pPr>
      <w:r>
        <w:rPr>
          <w:rFonts w:ascii="Arial" w:cs="Arial" w:eastAsia="Arial" w:hAnsi="Arial"/>
          <w:sz w:val="15"/>
          <w:szCs w:val="15"/>
          <w:color w:val="auto"/>
        </w:rPr>
        <w:t>Beginning in the third quarter of fiscal year 2001, the Company began building its operating expense infrastructure in preparation of the expected growth in net sales in fiscal year 2002 and consistent with the Company’s plan to become more regionalized. This buildup continued into the middle of the second quarter of fiscal year 2002 when the Company began to see that the anticipated level of sales for the year would not be achievable. Beginning in the third quarter of fiscal year 2002, the Company undertook efforts to reduce certain operating expenses, keeping in mind its belief in the market as a whole and an expectation that the economic conditions at that time were not expected to continue for the long-term. As such, operating expenses in fiscal year 2002 were not reduced to levels consistent with fiscal year 2002 net sales in terms of a desired percentage of net sales. Operating expenses were reduced to the levels that would support the Company in a return to levels of growth which could be expected as the economy turned around and orders started to book again at reasonably expected levels. Although the levels of spending were reduced during fiscal year 2002 and some of these reductions carried over into fiscal year 2003, it is expected that in the absence of changing conditions, operating expenses will be higher in fiscal year 2003 than in fiscal year 2002 in terms of dollars, but down as a percentage of net sales. The Company believes that the level of order bookings and net sales demonstrates a return to reasonable revenue levels to support the current level of operating expenses.</w:t>
      </w:r>
    </w:p>
    <w:p>
      <w:pPr>
        <w:spacing w:after="0" w:line="163" w:lineRule="exact"/>
        <w:rPr>
          <w:sz w:val="20"/>
          <w:szCs w:val="20"/>
          <w:color w:val="auto"/>
        </w:rPr>
      </w:pPr>
    </w:p>
    <w:p>
      <w:pPr>
        <w:ind w:right="220" w:firstLine="334"/>
        <w:spacing w:after="0" w:line="273" w:lineRule="auto"/>
        <w:rPr>
          <w:sz w:val="20"/>
          <w:szCs w:val="20"/>
          <w:color w:val="auto"/>
        </w:rPr>
      </w:pPr>
      <w:r>
        <w:rPr>
          <w:rFonts w:ascii="Arial" w:cs="Arial" w:eastAsia="Arial" w:hAnsi="Arial"/>
          <w:sz w:val="17"/>
          <w:szCs w:val="17"/>
          <w:i w:val="1"/>
          <w:iCs w:val="1"/>
          <w:color w:val="auto"/>
        </w:rPr>
        <w:t xml:space="preserve">Selling Expenses. </w:t>
      </w:r>
      <w:r>
        <w:rPr>
          <w:rFonts w:ascii="Arial" w:cs="Arial" w:eastAsia="Arial" w:hAnsi="Arial"/>
          <w:sz w:val="17"/>
          <w:szCs w:val="17"/>
          <w:color w:val="auto"/>
        </w:rPr>
        <w:t>Selling expenses consist primarily of salaries, other employee related costs, travel and entertainment, facilities-related costs for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offices, and expenditures for marketing efforts including such things as collateral materials,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043"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conventions and trade shows, product demos and supplies. Selling expenses increased 8.7% to $6.0 million for the three months ended November 2, 2002 compared to</w:t>
      </w:r>
    </w:p>
    <w:p>
      <w:pPr>
        <w:spacing w:after="0" w:line="4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$5.5 million for the same period in fiscal year 2002. Selling expenses increased 18.2% to $12.8 million for the six months ended November 2, 2002 from $10.8 million for the same period in fiscal year 2002. Selling expenses declined to 12.4% of net sales for the second quarter of fiscal year 2003 from 13.2% of net sales for the second quarter of fiscal year 2002. For the six months ended November 2, 2002, selling expenses were 13.9% of net sales as compared to 13.2% of net sales for the six months ended October 27, 2001. The increases in selling expense dollars resulted from higher levels of personnel costs due to the additional infrastructure put in place in connection with the regionalization and expansion of the sales staff. Also, during the first six months of fiscal year 2003, the Company wrote down the carrying costs of demonstration equipment by approximately $570,000, primarily due to technology improvements and replacement with newer equipment. The Company also recorded higher bad debt expense for the six months ended November 2, 2002, but lower amounts for the second quarter of fiscal year 2003 as compared to the six months and second quarter of fiscal year 2002, respectively. The higher write-offs for the six months of fiscal year 2003 were primarily the result of a single transaction. The Company also experienced higher postage, telephone, marketing and depreciation costs as a result of investments in infrastructure in its sales expansion and regionalization efforts, and the growth in net sales. The Company does not expect selling expenses to increase significantly during the year in the absence of changing conditions from the levels of the first two quarters of fiscal year 2003.</w:t>
      </w:r>
    </w:p>
    <w:p>
      <w:pPr>
        <w:spacing w:after="0" w:line="183" w:lineRule="exact"/>
        <w:rPr>
          <w:sz w:val="20"/>
          <w:szCs w:val="20"/>
          <w:color w:val="auto"/>
        </w:rPr>
      </w:pPr>
    </w:p>
    <w:p>
      <w:pPr>
        <w:ind w:right="40" w:firstLine="459"/>
        <w:spacing w:after="0" w:line="297"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consist primarily of salaries, other employee-related costs, professional fees, facilities and</w:t>
      </w:r>
      <w:r>
        <w:rPr>
          <w:rFonts w:ascii="Arial" w:cs="Arial" w:eastAsia="Arial" w:hAnsi="Arial"/>
          <w:sz w:val="15"/>
          <w:szCs w:val="15"/>
          <w:i w:val="1"/>
          <w:iCs w:val="1"/>
          <w:color w:val="auto"/>
        </w:rPr>
        <w:t xml:space="preserve"> </w:t>
      </w:r>
      <w:r>
        <w:rPr>
          <w:rFonts w:ascii="Arial" w:cs="Arial" w:eastAsia="Arial" w:hAnsi="Arial"/>
          <w:sz w:val="15"/>
          <w:szCs w:val="15"/>
          <w:color w:val="auto"/>
        </w:rPr>
        <w:t>equipment related costs for administration departments, amortization of intangibles, and supplies. General and administrative expenses decreased 5.0% to $1.7 million for the three months ended November 2, 2002 compared to $1.8 million for the same period in fiscal year 2002. General and administrative expenses remained flat at $3.3 million for the six months ended November 2, 2002 and October 27, 2001, respectively. General and administrative expenses declined to 3.5% as a percent of net sales from 4.3% of net sales for the second quarter of fiscal year 2003 as compared to the second quarter of fiscal year 2002. For the six months ended November 2, 2002, general and administrative expenses were 3.6% of net sales as compared to 4.1% of net sales for the six months ended October 27, 2001.</w:t>
      </w:r>
    </w:p>
    <w:p>
      <w:pPr>
        <w:spacing w:after="0" w:line="158" w:lineRule="exact"/>
        <w:rPr>
          <w:sz w:val="20"/>
          <w:szCs w:val="20"/>
          <w:color w:val="auto"/>
        </w:rPr>
      </w:pPr>
    </w:p>
    <w:p>
      <w:pPr>
        <w:ind w:right="60" w:firstLine="331"/>
        <w:spacing w:after="0" w:line="259" w:lineRule="auto"/>
        <w:rPr>
          <w:sz w:val="20"/>
          <w:szCs w:val="20"/>
          <w:color w:val="auto"/>
        </w:rPr>
      </w:pPr>
      <w:r>
        <w:rPr>
          <w:rFonts w:ascii="Arial" w:cs="Arial" w:eastAsia="Arial" w:hAnsi="Arial"/>
          <w:sz w:val="17"/>
          <w:szCs w:val="17"/>
          <w:color w:val="auto"/>
        </w:rPr>
        <w:t>The decrease for the second quarter of fiscal year 2003 as compared to the second quarter of fiscal year 2002 was primarily due a slight decrease in compensation costs. For the six months ended November 2, 2002, increases in professional fees related to fiscal year 2002 audit costs and other professional fees and an increase in depreciation costs related to the capital expenditures in previous quarters were offset by the reduction in amortization expense as required under SFAS 142 and reductions in the costs of training expenses throughout the Company.</w:t>
      </w:r>
    </w:p>
    <w:p>
      <w:pPr>
        <w:spacing w:after="0" w:line="184" w:lineRule="exact"/>
        <w:rPr>
          <w:sz w:val="20"/>
          <w:szCs w:val="20"/>
          <w:color w:val="auto"/>
        </w:rPr>
      </w:pPr>
    </w:p>
    <w:p>
      <w:pPr>
        <w:ind w:right="140" w:firstLine="459"/>
        <w:spacing w:after="0" w:line="297" w:lineRule="auto"/>
        <w:rPr>
          <w:sz w:val="20"/>
          <w:szCs w:val="20"/>
          <w:color w:val="auto"/>
        </w:rPr>
      </w:pPr>
      <w:r>
        <w:rPr>
          <w:rFonts w:ascii="Arial" w:cs="Arial" w:eastAsia="Arial" w:hAnsi="Arial"/>
          <w:sz w:val="15"/>
          <w:szCs w:val="15"/>
          <w:i w:val="1"/>
          <w:iCs w:val="1"/>
          <w:color w:val="auto"/>
        </w:rPr>
        <w:t xml:space="preserve">Product Design and Development. </w:t>
      </w:r>
      <w:r>
        <w:rPr>
          <w:rFonts w:ascii="Arial" w:cs="Arial" w:eastAsia="Arial" w:hAnsi="Arial"/>
          <w:sz w:val="15"/>
          <w:szCs w:val="15"/>
          <w:color w:val="auto"/>
        </w:rPr>
        <w:t>Product design and development expenses consist primarily of salaries, other employee-related costs, facilities and equipment</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costs, and supplies. Product design and development expenses decreased slightly to $1.7 million for the three months ended November 2, 2002 compared to $1.8 million for the same period in fiscal year 2002. Product design and development expenses increased 3.8% to $3.6 million for the six months ended November 2, 2002 as compared to $3.4 million for the six months ended October 27, 2001. Product design and development declined to 3.6% as a percent of net sales from 4.2% of net sales for the second quarter of fiscal year 2003 as compared to the second quarter of fiscal year 2002. For the six months ended November 2, 2002, product design and development expenses were 3.9% of net sales as compared to 4.2% of net sales for the six months ended October 27, 2001.</w:t>
      </w:r>
    </w:p>
    <w:p>
      <w:pPr>
        <w:spacing w:after="0" w:line="158" w:lineRule="exact"/>
        <w:rPr>
          <w:sz w:val="20"/>
          <w:szCs w:val="20"/>
          <w:color w:val="auto"/>
        </w:rPr>
      </w:pPr>
    </w:p>
    <w:p>
      <w:pPr>
        <w:ind w:right="40" w:firstLine="334"/>
        <w:spacing w:after="0" w:line="259" w:lineRule="auto"/>
        <w:rPr>
          <w:sz w:val="20"/>
          <w:szCs w:val="20"/>
          <w:color w:val="auto"/>
        </w:rPr>
      </w:pPr>
      <w:r>
        <w:rPr>
          <w:rFonts w:ascii="Arial" w:cs="Arial" w:eastAsia="Arial" w:hAnsi="Arial"/>
          <w:sz w:val="17"/>
          <w:szCs w:val="17"/>
          <w:color w:val="auto"/>
        </w:rPr>
        <w:t>Generally, product design and development expenses increase during times when the Company’s engineering personnel are not as involved in long-term contracts, as the same personnel who work on research and development also work on long-term contracts. The Company expects that product design and development expenses will approximate 4% of net sales on an annual basis. Product design and development costs during the quarter focused on projects associated with control systems, software development and various video display technology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043"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INCOME</w:t>
      </w:r>
    </w:p>
    <w:p>
      <w:pPr>
        <w:spacing w:after="0" w:line="220" w:lineRule="exact"/>
        <w:rPr>
          <w:sz w:val="20"/>
          <w:szCs w:val="20"/>
          <w:color w:val="auto"/>
        </w:rPr>
      </w:pPr>
    </w:p>
    <w:p>
      <w:pPr>
        <w:ind w:right="40" w:firstLine="331"/>
        <w:spacing w:after="0" w:line="257" w:lineRule="auto"/>
        <w:rPr>
          <w:sz w:val="20"/>
          <w:szCs w:val="20"/>
          <w:color w:val="auto"/>
        </w:rPr>
      </w:pPr>
      <w:r>
        <w:rPr>
          <w:rFonts w:ascii="Arial" w:cs="Arial" w:eastAsia="Arial" w:hAnsi="Arial"/>
          <w:sz w:val="17"/>
          <w:szCs w:val="17"/>
          <w:color w:val="auto"/>
        </w:rPr>
        <w:t>The Company occasionally sells products on an installment basis or in exchange for the rights to sell and retain advertising revenues from the scoreboard or display, both of which result in long-term receivables. Interest income resulting from these long-term receivables decreased 22.1% to $0.15 million for the three months ended November 2, 2002 as compared to $0.19 million for the second quarter of fiscal year 2002. For the six months ended November 2, 2002, interest income declined 8.8% to $0.33 million from $0.36 million for the six months ended October 27, 2001. The decline for both periods of time was the result of lower average levels of long-term receivables outstanding during the respective periods.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20" w:lineRule="exact"/>
        <w:rPr>
          <w:sz w:val="20"/>
          <w:szCs w:val="20"/>
          <w:color w:val="auto"/>
        </w:rPr>
      </w:pPr>
    </w:p>
    <w:p>
      <w:pPr>
        <w:ind w:right="140" w:firstLine="334"/>
        <w:spacing w:after="0" w:line="280" w:lineRule="auto"/>
        <w:rPr>
          <w:sz w:val="20"/>
          <w:szCs w:val="20"/>
          <w:color w:val="auto"/>
        </w:rPr>
      </w:pPr>
      <w:r>
        <w:rPr>
          <w:rFonts w:ascii="Arial" w:cs="Arial" w:eastAsia="Arial" w:hAnsi="Arial"/>
          <w:sz w:val="16"/>
          <w:szCs w:val="16"/>
          <w:color w:val="auto"/>
        </w:rPr>
        <w:t>Interest expense is comprised primarily of interest costs on the Company’s notes payable and long-term debt. Interest expense decreased 48.9% to $0.23 million for the three months ended November 2, 2002 as compared to $0.44 million for the three months ended October 27, 2001. For the six months ended November 2, 2002, interest expense declined 43% to $0.48 million from $0.84 million for the six months ended October 27, 2001. The decrease for both the six months and the quarter was due to the reduction of debt outstanding under the Company’s line of credit and decreases in average long-term debt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w:t>
      </w:r>
    </w:p>
    <w:p>
      <w:pPr>
        <w:spacing w:after="0" w:line="220" w:lineRule="exact"/>
        <w:rPr>
          <w:sz w:val="20"/>
          <w:szCs w:val="20"/>
          <w:color w:val="auto"/>
        </w:rPr>
      </w:pPr>
    </w:p>
    <w:p>
      <w:pPr>
        <w:ind w:firstLine="334"/>
        <w:spacing w:after="0" w:line="277" w:lineRule="auto"/>
        <w:rPr>
          <w:sz w:val="20"/>
          <w:szCs w:val="20"/>
          <w:color w:val="auto"/>
        </w:rPr>
      </w:pPr>
      <w:r>
        <w:rPr>
          <w:rFonts w:ascii="Arial" w:cs="Arial" w:eastAsia="Arial" w:hAnsi="Arial"/>
          <w:sz w:val="16"/>
          <w:szCs w:val="16"/>
          <w:color w:val="auto"/>
        </w:rPr>
        <w:t>Other income (expense) increased from ($0.01) million to $0.71 million for the second quarter of fiscal year 2003 as compared to the second quarter of fiscal year 2001. It also increased to $0.26 million for the first six months of fiscal year 2003 as compared to $0.07 in the first six months of fiscal year 2002. This increase for the six months was the result of gains realized on the sale of the rental equipment used by the Company’s video display rental subsidiary. Offsetting that gain was a partial write-down of the carrying value of the Company’s investment in a business which markets and partially manufactures products on behalf of the Company in Malaysia due to the effects of the economic conditions there and the performance of that business.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0" w:lineRule="exact"/>
        <w:rPr>
          <w:sz w:val="20"/>
          <w:szCs w:val="20"/>
          <w:color w:val="auto"/>
        </w:rPr>
      </w:pPr>
    </w:p>
    <w:p>
      <w:pPr>
        <w:ind w:right="20" w:firstLine="331"/>
        <w:spacing w:after="0" w:line="273" w:lineRule="auto"/>
        <w:rPr>
          <w:sz w:val="20"/>
          <w:szCs w:val="20"/>
          <w:color w:val="auto"/>
        </w:rPr>
      </w:pPr>
      <w:r>
        <w:rPr>
          <w:rFonts w:ascii="Arial" w:cs="Arial" w:eastAsia="Arial" w:hAnsi="Arial"/>
          <w:sz w:val="17"/>
          <w:szCs w:val="17"/>
          <w:color w:val="auto"/>
        </w:rPr>
        <w:t>Working capital was $37.1 million at November 2, 2002 and $28.4 million at April 27, 2002. The Company has historically financed working capital needs through a combination of cash flow from operations and borrowings under bank credit agreements.</w:t>
      </w:r>
    </w:p>
    <w:p>
      <w:pPr>
        <w:spacing w:after="0" w:line="172" w:lineRule="exact"/>
        <w:rPr>
          <w:sz w:val="20"/>
          <w:szCs w:val="20"/>
          <w:color w:val="auto"/>
        </w:rPr>
      </w:pPr>
    </w:p>
    <w:p>
      <w:pPr>
        <w:ind w:firstLine="334"/>
        <w:spacing w:after="0" w:line="275" w:lineRule="auto"/>
        <w:rPr>
          <w:sz w:val="20"/>
          <w:szCs w:val="20"/>
          <w:color w:val="auto"/>
        </w:rPr>
      </w:pPr>
      <w:r>
        <w:rPr>
          <w:rFonts w:ascii="Arial" w:cs="Arial" w:eastAsia="Arial" w:hAnsi="Arial"/>
          <w:sz w:val="16"/>
          <w:szCs w:val="16"/>
          <w:color w:val="auto"/>
        </w:rPr>
        <w:t>Cash provided by operations for the six months ended November 2, 2002 was $10.5 million. Net income of $7.2 million plus depreciation and amortization of $2.9 million, an increase in accounts payable and a increase in billings in excess of costs and estimated earnings, was offset by an increase costs and estimated earnings in excess of billings, an increase in accounts receivable and a decrease in customer deposits. Cash used by investing activities consisted of $2.4 million of purchases of property and equipment as described below. Cash used by financing activities included $1.6 million in proceeds from refinancing certain debt at lower interest rates, $0.1 million of net borrowings under the Company’s Canadian subsidiary’s line of credit, and $0.2 million in proceeds from the exercise of stock options, offset by $3.8 million used to pay down the Company’s long-term debt including the portion refinanced.</w:t>
      </w:r>
    </w:p>
    <w:p>
      <w:pPr>
        <w:spacing w:after="0" w:line="174" w:lineRule="exact"/>
        <w:rPr>
          <w:sz w:val="20"/>
          <w:szCs w:val="20"/>
          <w:color w:val="auto"/>
        </w:rPr>
      </w:pPr>
    </w:p>
    <w:p>
      <w:pPr>
        <w:ind w:firstLine="331"/>
        <w:spacing w:after="0" w:line="286" w:lineRule="auto"/>
        <w:rPr>
          <w:sz w:val="20"/>
          <w:szCs w:val="20"/>
          <w:color w:val="auto"/>
        </w:rPr>
      </w:pPr>
      <w:r>
        <w:rPr>
          <w:rFonts w:ascii="Arial" w:cs="Arial" w:eastAsia="Arial" w:hAnsi="Arial"/>
          <w:sz w:val="16"/>
          <w:szCs w:val="16"/>
          <w:color w:val="auto"/>
        </w:rPr>
        <w:t>The increase in accounts receivable and in billings in excess of costs and estimated earnings resulted from the higher level of sales. Included in accounts receivable as of November 2, 2002, was approximately $0.1 million of retainage on long-term contracts, all of which is expected to be collected within one year. Accounts payable increased as a result of the growth in net sales as the Company purchased more raw materials during the quarter.</w:t>
      </w:r>
    </w:p>
    <w:p>
      <w:pPr>
        <w:spacing w:after="0" w:line="165" w:lineRule="exact"/>
        <w:rPr>
          <w:sz w:val="20"/>
          <w:szCs w:val="20"/>
          <w:color w:val="auto"/>
        </w:rPr>
      </w:pPr>
    </w:p>
    <w:p>
      <w:pPr>
        <w:ind w:right="740" w:firstLine="418"/>
        <w:spacing w:after="0" w:line="273" w:lineRule="auto"/>
        <w:rPr>
          <w:sz w:val="20"/>
          <w:szCs w:val="20"/>
          <w:color w:val="auto"/>
        </w:rPr>
      </w:pPr>
      <w:r>
        <w:rPr>
          <w:rFonts w:ascii="Arial" w:cs="Arial" w:eastAsia="Arial" w:hAnsi="Arial"/>
          <w:sz w:val="17"/>
          <w:szCs w:val="17"/>
          <w:color w:val="auto"/>
        </w:rPr>
        <w:t>During the six months ended November 2, 2002, the Company invested approximately $0.3 million in equipment to be used as demonstration equipment, approximately $0.5 million in equipment for its video display rental subsidiary to replace rental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043"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sold during the previous quarter, and various other items, including vehicles, information systems equipment, and manufacturing equipment. These purchases were made to support the Company’s continued growth and to replace obsolete equipment. It expects greater capital expenditures in the second half of the year primarily related to manufacturing equipment upset by the decline in rental equipment.</w:t>
      </w:r>
    </w:p>
    <w:p>
      <w:pPr>
        <w:spacing w:after="0" w:line="180" w:lineRule="exact"/>
        <w:rPr>
          <w:sz w:val="20"/>
          <w:szCs w:val="20"/>
          <w:color w:val="auto"/>
        </w:rPr>
      </w:pPr>
    </w:p>
    <w:p>
      <w:pPr>
        <w:ind w:right="280" w:firstLine="331"/>
        <w:spacing w:after="0" w:line="304" w:lineRule="auto"/>
        <w:rPr>
          <w:sz w:val="20"/>
          <w:szCs w:val="20"/>
          <w:color w:val="auto"/>
        </w:rPr>
      </w:pPr>
      <w:r>
        <w:rPr>
          <w:rFonts w:ascii="Arial" w:cs="Arial" w:eastAsia="Arial" w:hAnsi="Arial"/>
          <w:sz w:val="15"/>
          <w:szCs w:val="15"/>
          <w:color w:val="auto"/>
        </w:rPr>
        <w:t>The Company has used and expects to continue to use cash reserves and bank borrowings to meet its short-term working capital requirements. On large product orders, the time between acceptance and completion may extend up to 18 months depending on the amount of custom work and the customer’s delivery needs. The Company often receives a down payment or progress payments on these product orders. To the extent that these payments are not sufficient to fund the costs and other expenses associated with these orders, the Company uses working capital and bank borrowings to finance these cash requirements.</w:t>
      </w:r>
    </w:p>
    <w:p>
      <w:pPr>
        <w:spacing w:after="0" w:line="154" w:lineRule="exact"/>
        <w:rPr>
          <w:sz w:val="20"/>
          <w:szCs w:val="20"/>
          <w:color w:val="auto"/>
        </w:rPr>
      </w:pPr>
    </w:p>
    <w:p>
      <w:pPr>
        <w:ind w:right="280" w:firstLine="331"/>
        <w:spacing w:after="0" w:line="304" w:lineRule="auto"/>
        <w:rPr>
          <w:sz w:val="20"/>
          <w:szCs w:val="20"/>
          <w:color w:val="auto"/>
        </w:rPr>
      </w:pPr>
      <w:r>
        <w:rPr>
          <w:rFonts w:ascii="Arial" w:cs="Arial" w:eastAsia="Arial" w:hAnsi="Arial"/>
          <w:sz w:val="15"/>
          <w:szCs w:val="15"/>
          <w:color w:val="auto"/>
        </w:rPr>
        <w:t>The Company’s product development activities include the enhancement of existing products and the development of new products from existing technologies. Product design and development expenses were $1.7 million for the quarter ended November 2, 2002. The Company intends to continue to incur these expenditures to develop new display products using various technologies to offer higher more cost effective and energy efficient displays. The Company also intends to continue developing software applications for its display controllers to enable these products to continue to meet the needs and expectations of the marketplace.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has a credit agreement with a bank providing for a $20.0 million line of credit, which includes up to $2.0 million for standby letters of credit. The line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of credit is at LIBOR rate plus 1.55% (3.24% at November 2, 2002) and is due on October 1, 2004. As of November 2, 2002, no advances had been drawn on the line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credit and the bank had issued no standby letters of credit. The credit agreement is unsecured and requires the Company to meet certain covenants including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maintenance of tangible net worth of at least $40 million, a minimum liquidity ratio, a limit on dividends and distributions, and a minimum adjusted fixed charge coverage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ratio. Servtrotech, Inc., the Company’s Canadian subsidiary, has a credit agreement with a bank that provides for a $0.2 million line of credit. The interest rate on the line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of credit is equal to 1% above the bank’s prime rate of interest (4.5% at November 2, 2002). As of November 2, 2002, $0.2 million had been drawn under the line.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line is secured primarily by accounts receivables, inventory and other assets of the subsidiary. SportsLink, Ltd. has a credit agreement with a bank that provides for a</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$100,000 line of credit. The rate on the line of credit is equal to the bank’s prime rate of interest (4.75% as of November 2, 2002). As of November 2, 2002, no advances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were outstanding under the line. The credit agreement is secured by the assets of the subsidiary and is guaranteed by the Company.</w:t>
      </w:r>
    </w:p>
    <w:p>
      <w:pPr>
        <w:spacing w:after="0" w:line="208" w:lineRule="exact"/>
        <w:rPr>
          <w:sz w:val="20"/>
          <w:szCs w:val="20"/>
          <w:color w:val="auto"/>
        </w:rPr>
      </w:pPr>
    </w:p>
    <w:p>
      <w:pPr>
        <w:ind w:right="60" w:firstLine="331"/>
        <w:spacing w:after="0" w:line="263" w:lineRule="auto"/>
        <w:rPr>
          <w:sz w:val="20"/>
          <w:szCs w:val="20"/>
          <w:color w:val="auto"/>
        </w:rPr>
      </w:pPr>
      <w:r>
        <w:rPr>
          <w:rFonts w:ascii="Arial" w:cs="Arial" w:eastAsia="Arial" w:hAnsi="Arial"/>
          <w:sz w:val="17"/>
          <w:szCs w:val="17"/>
          <w:color w:val="auto"/>
        </w:rPr>
        <w:t>The Company is sometimes required to obtain performance bonds for display installations and currently has a bonding line available through a surety company that provides for an aggregate of $100.0 million in bonded work outstanding. At November 2, 2002, the Company had approximately $21 million of bonded work outstanding against this line.</w:t>
      </w:r>
    </w:p>
    <w:p>
      <w:pPr>
        <w:spacing w:after="0" w:line="180" w:lineRule="exact"/>
        <w:rPr>
          <w:sz w:val="20"/>
          <w:szCs w:val="20"/>
          <w:color w:val="auto"/>
        </w:rPr>
      </w:pPr>
    </w:p>
    <w:p>
      <w:pPr>
        <w:jc w:val="both"/>
        <w:ind w:right="40" w:firstLine="331"/>
        <w:spacing w:after="0" w:line="286" w:lineRule="auto"/>
        <w:rPr>
          <w:sz w:val="20"/>
          <w:szCs w:val="20"/>
          <w:color w:val="auto"/>
        </w:rPr>
      </w:pPr>
      <w:r>
        <w:rPr>
          <w:rFonts w:ascii="Arial" w:cs="Arial" w:eastAsia="Arial" w:hAnsi="Arial"/>
          <w:sz w:val="16"/>
          <w:szCs w:val="16"/>
          <w:color w:val="auto"/>
        </w:rPr>
        <w:t>The Company believes that if its growth continues, it may need to increase the amount of its credit facility. The Company anticipates that it will be able to obtain any needed funds under commercially reasonable terms from its current lender. The Company believes that cash from operations, from its existing or increased credit facility, and its current working capital will be adequate to meet the cash requirements of its operations in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RATES</w:t>
      </w:r>
    </w:p>
    <w:p>
      <w:pPr>
        <w:spacing w:after="0" w:line="220" w:lineRule="exact"/>
        <w:rPr>
          <w:sz w:val="20"/>
          <w:szCs w:val="20"/>
          <w:color w:val="auto"/>
        </w:rPr>
      </w:pPr>
    </w:p>
    <w:p>
      <w:pPr>
        <w:ind w:right="120" w:firstLine="331"/>
        <w:spacing w:after="0" w:line="259" w:lineRule="auto"/>
        <w:rPr>
          <w:sz w:val="20"/>
          <w:szCs w:val="20"/>
          <w:color w:val="auto"/>
        </w:rPr>
      </w:pPr>
      <w:r>
        <w:rPr>
          <w:rFonts w:ascii="Arial" w:cs="Arial" w:eastAsia="Arial" w:hAnsi="Arial"/>
          <w:sz w:val="17"/>
          <w:szCs w:val="17"/>
          <w:color w:val="auto"/>
        </w:rPr>
        <w:t>Through November 2, 2002 substantially all of the Company’s net sales were denominated in United States dollars, and its exposure to foreign currency exchange rate changes has been immaterial. Net sales originating outside the United States through November 2, 2002, were 2.3% of total net sales. It is expected that in the future net sales to international markets may increase as a percentage of net sales; however, the Company does not expect that such increases will be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043"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a result, operating results are not expected to become subject to significant fluctuations based upon changes in the exchange rates of certain currencies in relation to the United States dollar. However, to the extent that the Company engages in international sales denominated in United States dollars, an increase in the value of the United States dollar relative to foreign currencies could make the Company’s products less competitive in international markets. Although the Company will continue to monitor and minimize its exposure to currency fluctuations, and, when appropriate, may use financial hedging techniques in the future to minimize the effect of these fluctuations, exchange rate fluctuations as well as differing economic conditions, changes in political climates, differing tax structures and other rules and regulations could adversely affect the Company’s financial results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RISKS</w:t>
      </w:r>
    </w:p>
    <w:p>
      <w:pPr>
        <w:spacing w:after="0" w:line="220" w:lineRule="exact"/>
        <w:rPr>
          <w:sz w:val="20"/>
          <w:szCs w:val="20"/>
          <w:color w:val="auto"/>
        </w:rPr>
      </w:pPr>
    </w:p>
    <w:p>
      <w:pPr>
        <w:ind w:right="80" w:firstLine="331"/>
        <w:spacing w:after="0" w:line="257" w:lineRule="auto"/>
        <w:rPr>
          <w:sz w:val="20"/>
          <w:szCs w:val="20"/>
          <w:color w:val="auto"/>
        </w:rPr>
      </w:pPr>
      <w:r>
        <w:rPr>
          <w:rFonts w:ascii="Arial" w:cs="Arial" w:eastAsia="Arial" w:hAnsi="Arial"/>
          <w:sz w:val="17"/>
          <w:szCs w:val="17"/>
          <w:color w:val="auto"/>
        </w:rPr>
        <w:t>The Company’s exposure to market rate risk for changes in interest rates relates primarily to the Company’s debt and long-term accounts receivable. The Company maintains a blend of both fixed and floating rate debt instruments. As of November 2, 2002, the Company’s outstanding debt approximated $11.8 million, with approximately $11.7 million in fixed rate obligations. Each 100 basis point increase or decrease in interest rates would have an insignificant annual effect on variable rate debt interest based on the balances of such debt as of as of November 2, 2002. For fixed rate debt, interest rate changes affects its fair market value, but do not impact earnings or cash flows.</w:t>
      </w:r>
    </w:p>
    <w:p>
      <w:pPr>
        <w:spacing w:after="0" w:line="187" w:lineRule="exact"/>
        <w:rPr>
          <w:sz w:val="20"/>
          <w:szCs w:val="20"/>
          <w:color w:val="auto"/>
        </w:rPr>
      </w:pPr>
    </w:p>
    <w:p>
      <w:pPr>
        <w:ind w:right="20" w:firstLine="334"/>
        <w:spacing w:after="0" w:line="259" w:lineRule="auto"/>
        <w:rPr>
          <w:sz w:val="20"/>
          <w:szCs w:val="20"/>
          <w:color w:val="auto"/>
        </w:rPr>
      </w:pPr>
      <w:r>
        <w:rPr>
          <w:rFonts w:ascii="Arial" w:cs="Arial" w:eastAsia="Arial" w:hAnsi="Arial"/>
          <w:sz w:val="17"/>
          <w:szCs w:val="17"/>
          <w:color w:val="auto"/>
        </w:rPr>
        <w:t>In connection with the sale of certain video displays, scoreboards and message display centers, the Company has entered into long-term sales contracts and sales type leases. The aggregate amounts due from customers include an imputed interest element. The majority of these financings carry fixed rates of interest. As of November 2, 2002, the Company’s outstanding long-term receivables were approximately $6.3 million. Each 25 basis point increase in interest rates would have an associated annual opportunity cost of approximately $0.02 million.</w:t>
      </w:r>
    </w:p>
    <w:p>
      <w:pPr>
        <w:spacing w:after="0" w:line="184" w:lineRule="exact"/>
        <w:rPr>
          <w:sz w:val="20"/>
          <w:szCs w:val="20"/>
          <w:color w:val="auto"/>
        </w:rPr>
      </w:pPr>
    </w:p>
    <w:p>
      <w:pPr>
        <w:jc w:val="both"/>
        <w:ind w:right="120" w:firstLine="331"/>
        <w:spacing w:after="0" w:line="263" w:lineRule="auto"/>
        <w:rPr>
          <w:sz w:val="20"/>
          <w:szCs w:val="20"/>
          <w:color w:val="auto"/>
        </w:rPr>
      </w:pPr>
      <w:r>
        <w:rPr>
          <w:rFonts w:ascii="Arial" w:cs="Arial" w:eastAsia="Arial" w:hAnsi="Arial"/>
          <w:sz w:val="17"/>
          <w:szCs w:val="17"/>
          <w:color w:val="auto"/>
        </w:rPr>
        <w:t>The following table provides information about the Company’s financial instruments that are sensitive to changes in interest rates, including debt obligations for the two quarters ending May 3, 2003, and the fiscal years following fiscal year 2003. Weighted average variable interest rates are based on implied forward rates in the yield curve at the reporting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10"/>
          </w:tcPr>
          <w:p>
            <w:pPr>
              <w:jc w:val="center"/>
              <w:spacing w:after="0"/>
              <w:rPr>
                <w:sz w:val="20"/>
                <w:szCs w:val="20"/>
                <w:color w:val="auto"/>
              </w:rPr>
            </w:pPr>
            <w:r>
              <w:rPr>
                <w:rFonts w:ascii="Arial" w:cs="Arial" w:eastAsia="Arial" w:hAnsi="Arial"/>
                <w:sz w:val="17"/>
                <w:szCs w:val="17"/>
                <w:b w:val="1"/>
                <w:bCs w:val="1"/>
                <w:color w:val="auto"/>
                <w:w w:val="89"/>
              </w:rPr>
              <w:t>Principal (Notional) Amount By Expected</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w w:val="99"/>
              </w:rPr>
              <w:t>Maturity</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5"/>
          </w:tcPr>
          <w:p>
            <w:pPr>
              <w:jc w:val="center"/>
              <w:spacing w:after="0"/>
              <w:rPr>
                <w:sz w:val="20"/>
                <w:szCs w:val="20"/>
                <w:color w:val="auto"/>
              </w:rPr>
            </w:pPr>
            <w:r>
              <w:rPr>
                <w:rFonts w:ascii="Arial" w:cs="Arial" w:eastAsia="Arial" w:hAnsi="Arial"/>
                <w:sz w:val="17"/>
                <w:szCs w:val="17"/>
                <w:color w:val="auto"/>
                <w:w w:val="88"/>
              </w:rPr>
              <w:t>(dollars in thousands)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5"/>
          </w:tcPr>
          <w:p>
            <w:pPr>
              <w:jc w:val="right"/>
              <w:ind w:right="496"/>
              <w:spacing w:after="0"/>
              <w:rPr>
                <w:sz w:val="20"/>
                <w:szCs w:val="20"/>
                <w:color w:val="auto"/>
              </w:rPr>
            </w:pPr>
            <w:r>
              <w:rPr>
                <w:rFonts w:ascii="Arial" w:cs="Arial" w:eastAsia="Arial" w:hAnsi="Arial"/>
                <w:sz w:val="17"/>
                <w:szCs w:val="17"/>
                <w:b w:val="1"/>
                <w:bCs w:val="1"/>
                <w:color w:val="auto"/>
              </w:rPr>
              <w:t>Fiscal Year Ending</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rPr>
              <w:t>There-</w:t>
            </w:r>
          </w:p>
        </w:tc>
        <w:tc>
          <w:tcPr>
            <w:tcW w:w="0" w:type="dxa"/>
            <w:vAlign w:val="bottom"/>
          </w:tcPr>
          <w:p>
            <w:pPr>
              <w:spacing w:after="0"/>
              <w:rPr>
                <w:sz w:val="1"/>
                <w:szCs w:val="1"/>
                <w:color w:val="auto"/>
              </w:rPr>
            </w:pPr>
          </w:p>
        </w:tc>
      </w:tr>
      <w:tr>
        <w:trPr>
          <w:trHeight w:val="289"/>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76"/>
              <w:spacing w:after="0"/>
              <w:rPr>
                <w:sz w:val="20"/>
                <w:szCs w:val="20"/>
                <w:color w:val="auto"/>
              </w:rPr>
            </w:pPr>
            <w:r>
              <w:rPr>
                <w:rFonts w:ascii="Arial" w:cs="Arial" w:eastAsia="Arial" w:hAnsi="Arial"/>
                <w:sz w:val="17"/>
                <w:szCs w:val="17"/>
                <w:b w:val="1"/>
                <w:bCs w:val="1"/>
                <w:color w:val="auto"/>
              </w:rPr>
              <w:t>2003</w:t>
            </w:r>
          </w:p>
        </w:tc>
        <w:tc>
          <w:tcPr>
            <w:tcW w:w="840" w:type="dxa"/>
            <w:vAlign w:val="bottom"/>
            <w:gridSpan w:val="2"/>
          </w:tcPr>
          <w:p>
            <w:pPr>
              <w:jc w:val="right"/>
              <w:ind w:right="156"/>
              <w:spacing w:after="0"/>
              <w:rPr>
                <w:sz w:val="20"/>
                <w:szCs w:val="20"/>
                <w:color w:val="auto"/>
              </w:rPr>
            </w:pPr>
            <w:r>
              <w:rPr>
                <w:rFonts w:ascii="Arial" w:cs="Arial" w:eastAsia="Arial" w:hAnsi="Arial"/>
                <w:sz w:val="17"/>
                <w:szCs w:val="17"/>
                <w:b w:val="1"/>
                <w:bCs w:val="1"/>
                <w:color w:val="auto"/>
              </w:rPr>
              <w:t>2004</w:t>
            </w:r>
          </w:p>
        </w:tc>
        <w:tc>
          <w:tcPr>
            <w:tcW w:w="840" w:type="dxa"/>
            <w:vAlign w:val="bottom"/>
            <w:gridSpan w:val="2"/>
          </w:tcPr>
          <w:p>
            <w:pPr>
              <w:jc w:val="right"/>
              <w:ind w:right="156"/>
              <w:spacing w:after="0"/>
              <w:rPr>
                <w:sz w:val="20"/>
                <w:szCs w:val="20"/>
                <w:color w:val="auto"/>
              </w:rPr>
            </w:pPr>
            <w:r>
              <w:rPr>
                <w:rFonts w:ascii="Arial" w:cs="Arial" w:eastAsia="Arial" w:hAnsi="Arial"/>
                <w:sz w:val="17"/>
                <w:szCs w:val="17"/>
                <w:b w:val="1"/>
                <w:bCs w:val="1"/>
                <w:color w:val="auto"/>
              </w:rPr>
              <w:t>2005</w:t>
            </w:r>
          </w:p>
        </w:tc>
        <w:tc>
          <w:tcPr>
            <w:tcW w:w="860" w:type="dxa"/>
            <w:vAlign w:val="bottom"/>
            <w:gridSpan w:val="2"/>
          </w:tcPr>
          <w:p>
            <w:pPr>
              <w:jc w:val="right"/>
              <w:ind w:right="156"/>
              <w:spacing w:after="0"/>
              <w:rPr>
                <w:sz w:val="20"/>
                <w:szCs w:val="20"/>
                <w:color w:val="auto"/>
              </w:rPr>
            </w:pPr>
            <w:r>
              <w:rPr>
                <w:rFonts w:ascii="Arial" w:cs="Arial" w:eastAsia="Arial" w:hAnsi="Arial"/>
                <w:sz w:val="17"/>
                <w:szCs w:val="17"/>
                <w:b w:val="1"/>
                <w:bCs w:val="1"/>
                <w:color w:val="auto"/>
              </w:rPr>
              <w:t>2006</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ind w:right="76"/>
              <w:spacing w:after="0"/>
              <w:rPr>
                <w:sz w:val="20"/>
                <w:szCs w:val="20"/>
                <w:color w:val="auto"/>
              </w:rPr>
            </w:pPr>
            <w:r>
              <w:rPr>
                <w:rFonts w:ascii="Arial" w:cs="Arial" w:eastAsia="Arial" w:hAnsi="Arial"/>
                <w:sz w:val="17"/>
                <w:szCs w:val="17"/>
                <w:b w:val="1"/>
                <w:bCs w:val="1"/>
                <w:color w:val="auto"/>
              </w:rPr>
              <w:t>After</w:t>
            </w:r>
          </w:p>
        </w:tc>
        <w:tc>
          <w:tcPr>
            <w:tcW w:w="0" w:type="dxa"/>
            <w:vAlign w:val="bottom"/>
          </w:tcPr>
          <w:p>
            <w:pPr>
              <w:spacing w:after="0"/>
              <w:rPr>
                <w:sz w:val="1"/>
                <w:szCs w:val="1"/>
                <w:color w:val="auto"/>
              </w:rPr>
            </w:pPr>
          </w:p>
        </w:tc>
      </w:tr>
      <w:tr>
        <w:trPr>
          <w:trHeight w:val="104"/>
        </w:trPr>
        <w:tc>
          <w:tcPr>
            <w:tcW w:w="28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860" w:type="dxa"/>
            <w:vAlign w:val="bottom"/>
            <w:gridSpan w:val="2"/>
          </w:tcPr>
          <w:p>
            <w:pPr>
              <w:spacing w:after="0"/>
              <w:rPr>
                <w:sz w:val="20"/>
                <w:szCs w:val="20"/>
                <w:color w:val="auto"/>
              </w:rPr>
            </w:pPr>
            <w:r>
              <w:rPr>
                <w:rFonts w:ascii="Arial" w:cs="Arial" w:eastAsia="Arial" w:hAnsi="Arial"/>
                <w:sz w:val="17"/>
                <w:szCs w:val="17"/>
                <w:b w:val="1"/>
                <w:bCs w:val="1"/>
                <w:color w:val="auto"/>
              </w:rPr>
              <w:t>Assets: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spacing w:after="0"/>
              <w:rPr>
                <w:sz w:val="20"/>
                <w:szCs w:val="20"/>
                <w:color w:val="auto"/>
              </w:rPr>
            </w:pPr>
            <w:r>
              <w:rPr>
                <w:rFonts w:ascii="Arial" w:cs="Arial" w:eastAsia="Arial" w:hAnsi="Arial"/>
                <w:sz w:val="17"/>
                <w:szCs w:val="17"/>
                <w:color w:val="auto"/>
              </w:rPr>
              <w:t>Long-term receivables, including</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ind w:left="120"/>
              <w:spacing w:after="0"/>
              <w:rPr>
                <w:sz w:val="20"/>
                <w:szCs w:val="20"/>
                <w:color w:val="auto"/>
              </w:rPr>
            </w:pPr>
            <w:r>
              <w:rPr>
                <w:rFonts w:ascii="Arial" w:cs="Arial" w:eastAsia="Arial" w:hAnsi="Arial"/>
                <w:sz w:val="17"/>
                <w:szCs w:val="17"/>
                <w:color w:val="auto"/>
              </w:rPr>
              <w:t>current portion:</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ind w:left="120"/>
              <w:spacing w:after="0"/>
              <w:rPr>
                <w:sz w:val="20"/>
                <w:szCs w:val="20"/>
                <w:color w:val="auto"/>
              </w:rPr>
            </w:pPr>
            <w:r>
              <w:rPr>
                <w:rFonts w:ascii="Arial" w:cs="Arial" w:eastAsia="Arial" w:hAnsi="Arial"/>
                <w:sz w:val="17"/>
                <w:szCs w:val="17"/>
                <w:color w:val="auto"/>
              </w:rPr>
              <w:t>Fixed rate</w:t>
            </w:r>
          </w:p>
        </w:tc>
        <w:tc>
          <w:tcPr>
            <w:tcW w:w="760" w:type="dxa"/>
            <w:vAlign w:val="bottom"/>
          </w:tcPr>
          <w:p>
            <w:pPr>
              <w:jc w:val="right"/>
              <w:ind w:right="216"/>
              <w:spacing w:after="0"/>
              <w:rPr>
                <w:sz w:val="20"/>
                <w:szCs w:val="20"/>
                <w:color w:val="auto"/>
              </w:rPr>
            </w:pPr>
            <w:r>
              <w:rPr>
                <w:rFonts w:ascii="Arial" w:cs="Arial" w:eastAsia="Arial" w:hAnsi="Arial"/>
                <w:sz w:val="17"/>
                <w:szCs w:val="17"/>
                <w:color w:val="auto"/>
              </w:rPr>
              <w:t>467</w:t>
            </w:r>
          </w:p>
        </w:tc>
        <w:tc>
          <w:tcPr>
            <w:tcW w:w="840" w:type="dxa"/>
            <w:vAlign w:val="bottom"/>
            <w:gridSpan w:val="2"/>
          </w:tcPr>
          <w:p>
            <w:pPr>
              <w:jc w:val="right"/>
              <w:ind w:right="216"/>
              <w:spacing w:after="0"/>
              <w:rPr>
                <w:sz w:val="20"/>
                <w:szCs w:val="20"/>
                <w:color w:val="auto"/>
              </w:rPr>
            </w:pPr>
            <w:r>
              <w:rPr>
                <w:rFonts w:ascii="Arial" w:cs="Arial" w:eastAsia="Arial" w:hAnsi="Arial"/>
                <w:sz w:val="17"/>
                <w:szCs w:val="17"/>
                <w:color w:val="auto"/>
              </w:rPr>
              <w:t>1,408</w:t>
            </w:r>
          </w:p>
        </w:tc>
        <w:tc>
          <w:tcPr>
            <w:tcW w:w="840" w:type="dxa"/>
            <w:vAlign w:val="bottom"/>
            <w:gridSpan w:val="2"/>
          </w:tcPr>
          <w:p>
            <w:pPr>
              <w:jc w:val="right"/>
              <w:ind w:right="196"/>
              <w:spacing w:after="0"/>
              <w:rPr>
                <w:sz w:val="20"/>
                <w:szCs w:val="20"/>
                <w:color w:val="auto"/>
              </w:rPr>
            </w:pPr>
            <w:r>
              <w:rPr>
                <w:rFonts w:ascii="Arial" w:cs="Arial" w:eastAsia="Arial" w:hAnsi="Arial"/>
                <w:sz w:val="17"/>
                <w:szCs w:val="17"/>
                <w:color w:val="auto"/>
              </w:rPr>
              <w:t>1,169</w:t>
            </w:r>
          </w:p>
        </w:tc>
        <w:tc>
          <w:tcPr>
            <w:tcW w:w="860" w:type="dxa"/>
            <w:vAlign w:val="bottom"/>
            <w:gridSpan w:val="2"/>
          </w:tcPr>
          <w:p>
            <w:pPr>
              <w:jc w:val="right"/>
              <w:ind w:right="216"/>
              <w:spacing w:after="0"/>
              <w:rPr>
                <w:sz w:val="20"/>
                <w:szCs w:val="20"/>
                <w:color w:val="auto"/>
              </w:rPr>
            </w:pPr>
            <w:r>
              <w:rPr>
                <w:rFonts w:ascii="Arial" w:cs="Arial" w:eastAsia="Arial" w:hAnsi="Arial"/>
                <w:sz w:val="17"/>
                <w:szCs w:val="17"/>
                <w:color w:val="auto"/>
              </w:rPr>
              <w:t>999</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686</w:t>
            </w:r>
          </w:p>
        </w:tc>
        <w:tc>
          <w:tcPr>
            <w:tcW w:w="800" w:type="dxa"/>
            <w:vAlign w:val="bottom"/>
            <w:gridSpan w:val="3"/>
          </w:tcPr>
          <w:p>
            <w:pPr>
              <w:jc w:val="right"/>
              <w:ind w:right="76"/>
              <w:spacing w:after="0"/>
              <w:rPr>
                <w:sz w:val="20"/>
                <w:szCs w:val="20"/>
                <w:color w:val="auto"/>
              </w:rPr>
            </w:pPr>
            <w:r>
              <w:rPr>
                <w:rFonts w:ascii="Arial" w:cs="Arial" w:eastAsia="Arial" w:hAnsi="Arial"/>
                <w:sz w:val="17"/>
                <w:szCs w:val="17"/>
                <w:color w:val="auto"/>
              </w:rPr>
              <w:t>1,359</w:t>
            </w:r>
          </w:p>
        </w:tc>
        <w:tc>
          <w:tcPr>
            <w:tcW w:w="0" w:type="dxa"/>
            <w:vAlign w:val="bottom"/>
          </w:tcPr>
          <w:p>
            <w:pPr>
              <w:spacing w:after="0"/>
              <w:rPr>
                <w:sz w:val="1"/>
                <w:szCs w:val="1"/>
                <w:color w:val="auto"/>
              </w:rPr>
            </w:pPr>
          </w:p>
        </w:tc>
      </w:tr>
      <w:tr>
        <w:trPr>
          <w:trHeight w:val="202"/>
        </w:trPr>
        <w:tc>
          <w:tcPr>
            <w:tcW w:w="2860" w:type="dxa"/>
            <w:vAlign w:val="bottom"/>
            <w:gridSpan w:val="2"/>
          </w:tcPr>
          <w:p>
            <w:pPr>
              <w:ind w:left="160"/>
              <w:spacing w:after="0"/>
              <w:rPr>
                <w:sz w:val="20"/>
                <w:szCs w:val="20"/>
                <w:color w:val="auto"/>
              </w:rPr>
            </w:pPr>
            <w:r>
              <w:rPr>
                <w:rFonts w:ascii="Arial" w:cs="Arial" w:eastAsia="Arial" w:hAnsi="Arial"/>
                <w:sz w:val="17"/>
                <w:szCs w:val="17"/>
                <w:color w:val="auto"/>
              </w:rPr>
              <w:t>Average interest rate</w:t>
            </w:r>
          </w:p>
        </w:tc>
        <w:tc>
          <w:tcPr>
            <w:tcW w:w="760" w:type="dxa"/>
            <w:vAlign w:val="bottom"/>
          </w:tcPr>
          <w:p>
            <w:pPr>
              <w:jc w:val="right"/>
              <w:ind w:right="76"/>
              <w:spacing w:after="0"/>
              <w:rPr>
                <w:sz w:val="20"/>
                <w:szCs w:val="20"/>
                <w:color w:val="auto"/>
              </w:rPr>
            </w:pPr>
            <w:r>
              <w:rPr>
                <w:rFonts w:ascii="Arial" w:cs="Arial" w:eastAsia="Arial" w:hAnsi="Arial"/>
                <w:sz w:val="17"/>
                <w:szCs w:val="17"/>
                <w:color w:val="auto"/>
              </w:rPr>
              <w:t>9.6%</w:t>
            </w:r>
          </w:p>
        </w:tc>
        <w:tc>
          <w:tcPr>
            <w:tcW w:w="840" w:type="dxa"/>
            <w:vAlign w:val="bottom"/>
            <w:gridSpan w:val="2"/>
          </w:tcPr>
          <w:p>
            <w:pPr>
              <w:jc w:val="right"/>
              <w:ind w:right="76"/>
              <w:spacing w:after="0"/>
              <w:rPr>
                <w:sz w:val="20"/>
                <w:szCs w:val="20"/>
                <w:color w:val="auto"/>
              </w:rPr>
            </w:pPr>
            <w:r>
              <w:rPr>
                <w:rFonts w:ascii="Arial" w:cs="Arial" w:eastAsia="Arial" w:hAnsi="Arial"/>
                <w:sz w:val="17"/>
                <w:szCs w:val="17"/>
                <w:color w:val="auto"/>
              </w:rPr>
              <w:t>8.2%</w:t>
            </w: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9.6%</w:t>
            </w:r>
          </w:p>
        </w:tc>
        <w:tc>
          <w:tcPr>
            <w:tcW w:w="860" w:type="dxa"/>
            <w:vAlign w:val="bottom"/>
            <w:gridSpan w:val="2"/>
          </w:tcPr>
          <w:p>
            <w:pPr>
              <w:jc w:val="right"/>
              <w:ind w:right="76"/>
              <w:spacing w:after="0"/>
              <w:rPr>
                <w:sz w:val="20"/>
                <w:szCs w:val="20"/>
                <w:color w:val="auto"/>
              </w:rPr>
            </w:pPr>
            <w:r>
              <w:rPr>
                <w:rFonts w:ascii="Arial" w:cs="Arial" w:eastAsia="Arial" w:hAnsi="Arial"/>
                <w:sz w:val="17"/>
                <w:szCs w:val="17"/>
                <w:color w:val="auto"/>
              </w:rPr>
              <w:t>9.8%</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9.3%</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spacing w:after="0"/>
              <w:rPr>
                <w:sz w:val="20"/>
                <w:szCs w:val="20"/>
                <w:color w:val="auto"/>
              </w:rPr>
            </w:pPr>
            <w:r>
              <w:rPr>
                <w:rFonts w:ascii="Arial" w:cs="Arial" w:eastAsia="Arial" w:hAnsi="Arial"/>
                <w:sz w:val="17"/>
                <w:szCs w:val="17"/>
                <w:color w:val="auto"/>
              </w:rPr>
              <w:t>Long and short term debt: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ind w:left="120"/>
              <w:spacing w:after="0"/>
              <w:rPr>
                <w:sz w:val="20"/>
                <w:szCs w:val="20"/>
                <w:color w:val="auto"/>
              </w:rPr>
            </w:pPr>
            <w:r>
              <w:rPr>
                <w:rFonts w:ascii="Arial" w:cs="Arial" w:eastAsia="Arial" w:hAnsi="Arial"/>
                <w:sz w:val="17"/>
                <w:szCs w:val="17"/>
                <w:color w:val="auto"/>
              </w:rPr>
              <w:t>Fixed rate</w:t>
            </w:r>
          </w:p>
        </w:tc>
        <w:tc>
          <w:tcPr>
            <w:tcW w:w="760" w:type="dxa"/>
            <w:vAlign w:val="bottom"/>
          </w:tcPr>
          <w:p>
            <w:pPr>
              <w:jc w:val="right"/>
              <w:ind w:right="216"/>
              <w:spacing w:after="0"/>
              <w:rPr>
                <w:sz w:val="20"/>
                <w:szCs w:val="20"/>
                <w:color w:val="auto"/>
              </w:rPr>
            </w:pPr>
            <w:r>
              <w:rPr>
                <w:rFonts w:ascii="Arial" w:cs="Arial" w:eastAsia="Arial" w:hAnsi="Arial"/>
                <w:sz w:val="17"/>
                <w:szCs w:val="17"/>
                <w:color w:val="auto"/>
              </w:rPr>
              <w:t>2,051</w:t>
            </w:r>
          </w:p>
        </w:tc>
        <w:tc>
          <w:tcPr>
            <w:tcW w:w="840" w:type="dxa"/>
            <w:vAlign w:val="bottom"/>
            <w:gridSpan w:val="2"/>
          </w:tcPr>
          <w:p>
            <w:pPr>
              <w:jc w:val="right"/>
              <w:ind w:right="216"/>
              <w:spacing w:after="0"/>
              <w:rPr>
                <w:sz w:val="20"/>
                <w:szCs w:val="20"/>
                <w:color w:val="auto"/>
              </w:rPr>
            </w:pPr>
            <w:r>
              <w:rPr>
                <w:rFonts w:ascii="Arial" w:cs="Arial" w:eastAsia="Arial" w:hAnsi="Arial"/>
                <w:sz w:val="17"/>
                <w:szCs w:val="17"/>
                <w:color w:val="auto"/>
              </w:rPr>
              <w:t>3,848</w:t>
            </w:r>
          </w:p>
        </w:tc>
        <w:tc>
          <w:tcPr>
            <w:tcW w:w="840" w:type="dxa"/>
            <w:vAlign w:val="bottom"/>
            <w:gridSpan w:val="2"/>
          </w:tcPr>
          <w:p>
            <w:pPr>
              <w:jc w:val="right"/>
              <w:ind w:right="196"/>
              <w:spacing w:after="0"/>
              <w:rPr>
                <w:sz w:val="20"/>
                <w:szCs w:val="20"/>
                <w:color w:val="auto"/>
              </w:rPr>
            </w:pPr>
            <w:r>
              <w:rPr>
                <w:rFonts w:ascii="Arial" w:cs="Arial" w:eastAsia="Arial" w:hAnsi="Arial"/>
                <w:sz w:val="17"/>
                <w:szCs w:val="17"/>
                <w:color w:val="auto"/>
              </w:rPr>
              <w:t>1,940</w:t>
            </w:r>
          </w:p>
        </w:tc>
        <w:tc>
          <w:tcPr>
            <w:tcW w:w="860" w:type="dxa"/>
            <w:vAlign w:val="bottom"/>
            <w:gridSpan w:val="2"/>
          </w:tcPr>
          <w:p>
            <w:pPr>
              <w:jc w:val="right"/>
              <w:ind w:right="216"/>
              <w:spacing w:after="0"/>
              <w:rPr>
                <w:sz w:val="20"/>
                <w:szCs w:val="20"/>
                <w:color w:val="auto"/>
              </w:rPr>
            </w:pPr>
            <w:r>
              <w:rPr>
                <w:rFonts w:ascii="Arial" w:cs="Arial" w:eastAsia="Arial" w:hAnsi="Arial"/>
                <w:sz w:val="17"/>
                <w:szCs w:val="17"/>
                <w:color w:val="auto"/>
              </w:rPr>
              <w:t>3,407</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323</w:t>
            </w:r>
          </w:p>
        </w:tc>
        <w:tc>
          <w:tcPr>
            <w:tcW w:w="800" w:type="dxa"/>
            <w:vAlign w:val="bottom"/>
            <w:gridSpan w:val="3"/>
          </w:tcPr>
          <w:p>
            <w:pPr>
              <w:jc w:val="right"/>
              <w:ind w:right="76"/>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6"/>
        </w:trPr>
        <w:tc>
          <w:tcPr>
            <w:tcW w:w="2860" w:type="dxa"/>
            <w:vAlign w:val="bottom"/>
            <w:gridSpan w:val="2"/>
          </w:tcPr>
          <w:p>
            <w:pPr>
              <w:ind w:left="160"/>
              <w:spacing w:after="0"/>
              <w:rPr>
                <w:sz w:val="20"/>
                <w:szCs w:val="20"/>
                <w:color w:val="auto"/>
              </w:rPr>
            </w:pPr>
            <w:r>
              <w:rPr>
                <w:rFonts w:ascii="Arial" w:cs="Arial" w:eastAsia="Arial" w:hAnsi="Arial"/>
                <w:sz w:val="17"/>
                <w:szCs w:val="17"/>
                <w:color w:val="auto"/>
              </w:rPr>
              <w:t>Average interest rate</w:t>
            </w:r>
          </w:p>
        </w:tc>
        <w:tc>
          <w:tcPr>
            <w:tcW w:w="760" w:type="dxa"/>
            <w:vAlign w:val="bottom"/>
          </w:tcPr>
          <w:p>
            <w:pPr>
              <w:jc w:val="right"/>
              <w:ind w:right="76"/>
              <w:spacing w:after="0"/>
              <w:rPr>
                <w:sz w:val="20"/>
                <w:szCs w:val="20"/>
                <w:color w:val="auto"/>
              </w:rPr>
            </w:pPr>
            <w:r>
              <w:rPr>
                <w:rFonts w:ascii="Arial" w:cs="Arial" w:eastAsia="Arial" w:hAnsi="Arial"/>
                <w:sz w:val="17"/>
                <w:szCs w:val="17"/>
                <w:color w:val="auto"/>
              </w:rPr>
              <w:t>6.9%</w:t>
            </w:r>
          </w:p>
        </w:tc>
        <w:tc>
          <w:tcPr>
            <w:tcW w:w="840" w:type="dxa"/>
            <w:vAlign w:val="bottom"/>
            <w:gridSpan w:val="2"/>
          </w:tcPr>
          <w:p>
            <w:pPr>
              <w:jc w:val="right"/>
              <w:ind w:right="76"/>
              <w:spacing w:after="0"/>
              <w:rPr>
                <w:sz w:val="20"/>
                <w:szCs w:val="20"/>
                <w:color w:val="auto"/>
              </w:rPr>
            </w:pPr>
            <w:r>
              <w:rPr>
                <w:rFonts w:ascii="Arial" w:cs="Arial" w:eastAsia="Arial" w:hAnsi="Arial"/>
                <w:sz w:val="17"/>
                <w:szCs w:val="17"/>
                <w:color w:val="auto"/>
              </w:rPr>
              <w:t>7.3%</w:t>
            </w: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7.9%</w:t>
            </w:r>
          </w:p>
        </w:tc>
        <w:tc>
          <w:tcPr>
            <w:tcW w:w="860" w:type="dxa"/>
            <w:vAlign w:val="bottom"/>
            <w:gridSpan w:val="2"/>
          </w:tcPr>
          <w:p>
            <w:pPr>
              <w:jc w:val="right"/>
              <w:ind w:right="76"/>
              <w:spacing w:after="0"/>
              <w:rPr>
                <w:sz w:val="20"/>
                <w:szCs w:val="20"/>
                <w:color w:val="auto"/>
              </w:rPr>
            </w:pPr>
            <w:r>
              <w:rPr>
                <w:rFonts w:ascii="Arial" w:cs="Arial" w:eastAsia="Arial" w:hAnsi="Arial"/>
                <w:sz w:val="17"/>
                <w:szCs w:val="17"/>
                <w:color w:val="auto"/>
              </w:rPr>
              <w:t>6.3%</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9.1%</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6"/>
        </w:trPr>
        <w:tc>
          <w:tcPr>
            <w:tcW w:w="2860" w:type="dxa"/>
            <w:vAlign w:val="bottom"/>
            <w:gridSpan w:val="2"/>
          </w:tcPr>
          <w:p>
            <w:pPr>
              <w:ind w:left="120"/>
              <w:spacing w:after="0"/>
              <w:rPr>
                <w:sz w:val="20"/>
                <w:szCs w:val="20"/>
                <w:color w:val="auto"/>
              </w:rPr>
            </w:pPr>
            <w:r>
              <w:rPr>
                <w:rFonts w:ascii="Arial" w:cs="Arial" w:eastAsia="Arial" w:hAnsi="Arial"/>
                <w:sz w:val="17"/>
                <w:szCs w:val="17"/>
                <w:color w:val="auto"/>
              </w:rPr>
              <w:t>Variable rate</w:t>
            </w:r>
          </w:p>
        </w:tc>
        <w:tc>
          <w:tcPr>
            <w:tcW w:w="760" w:type="dxa"/>
            <w:vAlign w:val="bottom"/>
          </w:tcPr>
          <w:p>
            <w:pPr>
              <w:jc w:val="right"/>
              <w:ind w:right="216"/>
              <w:spacing w:after="0"/>
              <w:rPr>
                <w:sz w:val="20"/>
                <w:szCs w:val="20"/>
                <w:color w:val="auto"/>
              </w:rPr>
            </w:pPr>
            <w:r>
              <w:rPr>
                <w:rFonts w:ascii="Arial" w:cs="Arial" w:eastAsia="Arial" w:hAnsi="Arial"/>
                <w:sz w:val="17"/>
                <w:szCs w:val="17"/>
                <w:color w:val="auto"/>
              </w:rPr>
              <w:t>173</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60" w:type="dxa"/>
            <w:vAlign w:val="bottom"/>
            <w:gridSpan w:val="2"/>
          </w:tcPr>
          <w:p>
            <w:pPr>
              <w:ind w:left="160"/>
              <w:spacing w:after="0"/>
              <w:rPr>
                <w:sz w:val="20"/>
                <w:szCs w:val="20"/>
                <w:color w:val="auto"/>
              </w:rPr>
            </w:pPr>
            <w:r>
              <w:rPr>
                <w:rFonts w:ascii="Arial" w:cs="Arial" w:eastAsia="Arial" w:hAnsi="Arial"/>
                <w:sz w:val="17"/>
                <w:szCs w:val="17"/>
                <w:color w:val="auto"/>
              </w:rPr>
              <w:t>Average interest rate</w:t>
            </w:r>
          </w:p>
        </w:tc>
        <w:tc>
          <w:tcPr>
            <w:tcW w:w="760" w:type="dxa"/>
            <w:vAlign w:val="bottom"/>
          </w:tcPr>
          <w:p>
            <w:pPr>
              <w:jc w:val="right"/>
              <w:ind w:right="76"/>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reported on the balance sheet for long-term receivables and long and short-term debt approximates its fair value.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043"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firstLine="334"/>
        <w:spacing w:after="0" w:line="273" w:lineRule="auto"/>
        <w:rPr>
          <w:sz w:val="20"/>
          <w:szCs w:val="20"/>
          <w:color w:val="auto"/>
        </w:rPr>
      </w:pPr>
      <w:r>
        <w:rPr>
          <w:rFonts w:ascii="Arial" w:cs="Arial" w:eastAsia="Arial" w:hAnsi="Arial"/>
          <w:sz w:val="17"/>
          <w:szCs w:val="17"/>
          <w:color w:val="auto"/>
        </w:rPr>
        <w:t>Substantially all of the Company’s cash balances are denominated in United States dollars. Cash balances in foreign currencies are operating balances maintained in accounts of the Company’s Canadian subsidiary. These balances are immaterial to the Company as a whole.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0" w:lineRule="exact"/>
        <w:rPr>
          <w:sz w:val="20"/>
          <w:szCs w:val="20"/>
          <w:color w:val="auto"/>
        </w:rPr>
      </w:pPr>
    </w:p>
    <w:p>
      <w:pPr>
        <w:ind w:firstLine="334"/>
        <w:spacing w:after="0" w:line="277"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The Company’s Chief Executive Officer and Chief Financial Officer have evaluated the effectiveness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disclosure controls and procedures (as such term is defined in Rules 13a-14(c) and 15d-14(c) under the Exchange Act) as of an evaluation date within 90 days prior to the filing date of this Quarterly Report on Form 10-Q. Based on this evaluation, they have concluded that, as of the evaluation date, the Company’s disclosure controls and procedures are effective in alerting them on a timely basis to material information relating to the Company (including its consolidated subsidiaries) required to be included in its reports filed or submitted under the Exchange Act.</w:t>
      </w:r>
    </w:p>
    <w:p>
      <w:pPr>
        <w:spacing w:after="0" w:line="172" w:lineRule="exact"/>
        <w:rPr>
          <w:sz w:val="20"/>
          <w:szCs w:val="20"/>
          <w:color w:val="auto"/>
        </w:rPr>
      </w:pPr>
    </w:p>
    <w:p>
      <w:pPr>
        <w:ind w:right="40" w:firstLine="334"/>
        <w:spacing w:after="0" w:line="273" w:lineRule="auto"/>
        <w:rPr>
          <w:sz w:val="20"/>
          <w:szCs w:val="20"/>
          <w:color w:val="auto"/>
        </w:rPr>
      </w:pPr>
      <w:r>
        <w:rPr>
          <w:rFonts w:ascii="Arial" w:cs="Arial" w:eastAsia="Arial" w:hAnsi="Arial"/>
          <w:sz w:val="17"/>
          <w:szCs w:val="17"/>
          <w:i w:val="1"/>
          <w:iCs w:val="1"/>
          <w:color w:val="auto"/>
        </w:rPr>
        <w:t xml:space="preserve">Changes in Internal Controls. </w:t>
      </w:r>
      <w:r>
        <w:rPr>
          <w:rFonts w:ascii="Arial" w:cs="Arial" w:eastAsia="Arial" w:hAnsi="Arial"/>
          <w:sz w:val="17"/>
          <w:szCs w:val="17"/>
          <w:color w:val="auto"/>
        </w:rPr>
        <w:t>Since the evaluation date referred to above, there have not been any significant changes in the Company’s internal controls or in other</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that could significantly affect such controls.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u w:val="single" w:color="auto"/>
          <w:color w:val="auto"/>
        </w:rPr>
        <w:t>Exhibits And Reports On Form 8-K</w:t>
      </w:r>
    </w:p>
    <w:p>
      <w:pPr>
        <w:spacing w:after="0" w:line="220" w:lineRule="exact"/>
        <w:rPr>
          <w:sz w:val="20"/>
          <w:szCs w:val="20"/>
          <w:color w:val="auto"/>
        </w:rPr>
      </w:pPr>
    </w:p>
    <w:p>
      <w:pPr>
        <w:ind w:left="1140" w:hanging="559"/>
        <w:spacing w:after="0"/>
        <w:tabs>
          <w:tab w:leader="none" w:pos="1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Exhibits</w:t>
      </w:r>
    </w:p>
    <w:p>
      <w:pPr>
        <w:spacing w:after="0" w:line="241" w:lineRule="exact"/>
        <w:rPr>
          <w:sz w:val="20"/>
          <w:szCs w:val="20"/>
          <w:color w:val="auto"/>
        </w:rPr>
      </w:pPr>
    </w:p>
    <w:p>
      <w:pPr>
        <w:ind w:left="1120"/>
        <w:spacing w:after="0"/>
        <w:tabs>
          <w:tab w:leader="none" w:pos="1720" w:val="left"/>
        </w:tabs>
        <w:rPr>
          <w:sz w:val="20"/>
          <w:szCs w:val="20"/>
          <w:color w:val="auto"/>
        </w:rPr>
      </w:pPr>
      <w:r>
        <w:rPr>
          <w:rFonts w:ascii="Arial" w:cs="Arial" w:eastAsia="Arial" w:hAnsi="Arial"/>
          <w:sz w:val="33"/>
          <w:szCs w:val="33"/>
          <w:color w:val="auto"/>
          <w:vertAlign w:val="superscript"/>
        </w:rPr>
        <w:t>10.14</w:t>
      </w:r>
      <w:r>
        <w:rPr>
          <w:sz w:val="20"/>
          <w:szCs w:val="20"/>
          <w:color w:val="auto"/>
        </w:rPr>
        <w:tab/>
      </w:r>
      <w:r>
        <w:rPr>
          <w:rFonts w:ascii="Arial" w:cs="Arial" w:eastAsia="Arial" w:hAnsi="Arial"/>
          <w:sz w:val="15"/>
          <w:szCs w:val="15"/>
          <w:color w:val="auto"/>
        </w:rPr>
        <w:t>Term Note dated September 16, 2002 between First National Bank in Brookings and SportsLink, Ltd.</w:t>
      </w:r>
      <w:r>
        <w:rPr>
          <w:rFonts w:ascii="Arial" w:cs="Arial" w:eastAsia="Arial" w:hAnsi="Arial"/>
          <w:sz w:val="24"/>
          <w:szCs w:val="24"/>
          <w:color w:val="auto"/>
          <w:vertAlign w:val="superscript"/>
        </w:rPr>
        <w:t>(1)</w:t>
      </w:r>
    </w:p>
    <w:p>
      <w:pPr>
        <w:spacing w:after="0" w:line="96" w:lineRule="exact"/>
        <w:rPr>
          <w:sz w:val="20"/>
          <w:szCs w:val="20"/>
          <w:color w:val="auto"/>
        </w:rPr>
      </w:pPr>
    </w:p>
    <w:p>
      <w:pPr>
        <w:ind w:left="1120"/>
        <w:spacing w:after="0"/>
        <w:tabs>
          <w:tab w:leader="none" w:pos="172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241" w:lineRule="exact"/>
        <w:rPr>
          <w:sz w:val="20"/>
          <w:szCs w:val="20"/>
          <w:color w:val="auto"/>
        </w:rPr>
      </w:pPr>
    </w:p>
    <w:p>
      <w:pPr>
        <w:ind w:left="1120"/>
        <w:spacing w:after="0"/>
        <w:tabs>
          <w:tab w:leader="none" w:pos="1720" w:val="left"/>
        </w:tabs>
        <w:rPr>
          <w:sz w:val="20"/>
          <w:szCs w:val="20"/>
          <w:color w:val="auto"/>
        </w:rPr>
      </w:pPr>
      <w:r>
        <w:rPr>
          <w:rFonts w:ascii="Arial" w:cs="Arial" w:eastAsia="Arial" w:hAnsi="Arial"/>
          <w:sz w:val="17"/>
          <w:szCs w:val="17"/>
          <w:color w:val="auto"/>
        </w:rPr>
        <w:t>99.2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241" w:lineRule="exact"/>
        <w:rPr>
          <w:sz w:val="20"/>
          <w:szCs w:val="20"/>
          <w:color w:val="auto"/>
        </w:rPr>
      </w:pPr>
    </w:p>
    <w:p>
      <w:pPr>
        <w:ind w:left="1140" w:hanging="559"/>
        <w:spacing w:after="0"/>
        <w:tabs>
          <w:tab w:leader="none" w:pos="11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Reports on Form 8-K</w:t>
      </w:r>
    </w:p>
    <w:p>
      <w:pPr>
        <w:spacing w:after="0" w:line="24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The Company filed one report on Form 8-K during the first quarter of fiscal year 2003.</w:t>
      </w:r>
    </w:p>
    <w:p>
      <w:pPr>
        <w:spacing w:after="0" w:line="241" w:lineRule="exact"/>
        <w:rPr>
          <w:sz w:val="20"/>
          <w:szCs w:val="20"/>
          <w:color w:val="auto"/>
        </w:rPr>
      </w:pPr>
    </w:p>
    <w:p>
      <w:pPr>
        <w:ind w:left="2300" w:hanging="614"/>
        <w:spacing w:after="0"/>
        <w:tabs>
          <w:tab w:leader="none" w:pos="2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Current Report on Form 8-K filed on July 3, 2002, relating to the Change in Registrant’s Certifying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300" w:hanging="614"/>
        <w:spacing w:after="0"/>
        <w:tabs>
          <w:tab w:leader="none" w:pos="230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60"/>
          </w:cols>
          <w:pgMar w:left="240" w:top="1043" w:right="299" w:bottom="1440" w:gutter="0" w:footer="0" w:header="0"/>
        </w:sectPr>
      </w:pPr>
    </w:p>
    <w:bookmarkStart w:id="20" w:name="page21"/>
    <w:bookmarkEnd w:id="20"/>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20" w:lineRule="exact"/>
        <w:rPr>
          <w:sz w:val="20"/>
          <w:szCs w:val="20"/>
          <w:color w:val="auto"/>
        </w:rPr>
      </w:pPr>
    </w:p>
    <w:p>
      <w:pPr>
        <w:spacing w:after="0" w:line="34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 After due inquiry and to the best of my knowledge and belief, I certify that the information set forth in this statement is true, complete and correct.</w:t>
      </w:r>
    </w:p>
    <w:p>
      <w:pPr>
        <w:spacing w:after="0" w:line="1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-12065</wp:posOffset>
            </wp:positionV>
            <wp:extent cx="11925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Daktronics, Inc.</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William R. Retterath, Chief Financial Officer</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November 29,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043"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Daktronics,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AS ADOPTED PURSUANT TO SECTI0N 906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 James B. Morgan, certify that:</w:t>
      </w:r>
    </w:p>
    <w:p>
      <w:pPr>
        <w:spacing w:after="0" w:line="216" w:lineRule="exact"/>
        <w:rPr>
          <w:sz w:val="20"/>
          <w:szCs w:val="20"/>
          <w:color w:val="auto"/>
        </w:rPr>
      </w:pPr>
    </w:p>
    <w:p>
      <w:pPr>
        <w:ind w:left="160" w:hanging="157"/>
        <w:spacing w:after="0"/>
        <w:tabs>
          <w:tab w:leader="none" w:pos="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Daktronics, Inc.;</w:t>
      </w:r>
    </w:p>
    <w:p>
      <w:pPr>
        <w:spacing w:after="0" w:line="215" w:lineRule="exact"/>
        <w:rPr>
          <w:rFonts w:ascii="Arial" w:cs="Arial" w:eastAsia="Arial" w:hAnsi="Arial"/>
          <w:sz w:val="17"/>
          <w:szCs w:val="17"/>
          <w:color w:val="auto"/>
        </w:rPr>
      </w:pPr>
    </w:p>
    <w:p>
      <w:pPr>
        <w:ind w:right="540" w:firstLine="3"/>
        <w:spacing w:after="0" w:line="342" w:lineRule="auto"/>
        <w:tabs>
          <w:tab w:leader="none" w:pos="334"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5" w:lineRule="exact"/>
        <w:rPr>
          <w:rFonts w:ascii="Arial" w:cs="Arial" w:eastAsia="Arial" w:hAnsi="Arial"/>
          <w:sz w:val="15"/>
          <w:szCs w:val="15"/>
          <w:color w:val="auto"/>
        </w:rPr>
      </w:pPr>
    </w:p>
    <w:p>
      <w:pPr>
        <w:ind w:right="20" w:firstLine="3"/>
        <w:spacing w:after="0" w:line="273" w:lineRule="auto"/>
        <w:tabs>
          <w:tab w:leader="none" w:pos="334"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2" w:lineRule="exact"/>
        <w:rPr>
          <w:rFonts w:ascii="Arial" w:cs="Arial" w:eastAsia="Arial" w:hAnsi="Arial"/>
          <w:sz w:val="17"/>
          <w:szCs w:val="17"/>
          <w:color w:val="auto"/>
        </w:rPr>
      </w:pPr>
    </w:p>
    <w:p>
      <w:pPr>
        <w:ind w:left="340" w:hanging="337"/>
        <w:spacing w:after="0"/>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Rules 13a-14 and 15d-14) for the registrant and we have:</w:t>
      </w:r>
    </w:p>
    <w:p>
      <w:pPr>
        <w:spacing w:after="0" w:line="208" w:lineRule="exact"/>
        <w:rPr>
          <w:sz w:val="20"/>
          <w:szCs w:val="20"/>
          <w:color w:val="auto"/>
        </w:rPr>
      </w:pPr>
    </w:p>
    <w:p>
      <w:pPr>
        <w:ind w:left="580" w:right="100" w:firstLine="1"/>
        <w:spacing w:after="0" w:line="273" w:lineRule="auto"/>
        <w:tabs>
          <w:tab w:leader="none" w:pos="752"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0" w:lineRule="exact"/>
        <w:rPr>
          <w:rFonts w:ascii="Arial" w:cs="Arial" w:eastAsia="Arial" w:hAnsi="Arial"/>
          <w:sz w:val="17"/>
          <w:szCs w:val="17"/>
          <w:color w:val="auto"/>
        </w:rPr>
      </w:pPr>
    </w:p>
    <w:p>
      <w:pPr>
        <w:spacing w:after="0" w:line="229" w:lineRule="exact"/>
        <w:rPr>
          <w:rFonts w:ascii="Arial" w:cs="Arial" w:eastAsia="Arial" w:hAnsi="Arial"/>
          <w:sz w:val="17"/>
          <w:szCs w:val="17"/>
          <w:color w:val="auto"/>
        </w:rPr>
      </w:pPr>
    </w:p>
    <w:p>
      <w:pPr>
        <w:ind w:left="580" w:right="80" w:firstLine="1"/>
        <w:spacing w:after="0" w:line="273" w:lineRule="auto"/>
        <w:tabs>
          <w:tab w:leader="none" w:pos="761"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as of a date within 90 days prior to the filing date of this quarterly report (the “Evaluation Date”); and</w:t>
      </w:r>
    </w:p>
    <w:p>
      <w:pPr>
        <w:spacing w:after="0" w:line="197" w:lineRule="exact"/>
        <w:rPr>
          <w:rFonts w:ascii="Arial" w:cs="Arial" w:eastAsia="Arial" w:hAnsi="Arial"/>
          <w:sz w:val="17"/>
          <w:szCs w:val="17"/>
          <w:color w:val="auto"/>
        </w:rPr>
      </w:pPr>
    </w:p>
    <w:p>
      <w:pPr>
        <w:ind w:left="580" w:firstLine="1"/>
        <w:spacing w:after="0" w:line="273" w:lineRule="auto"/>
        <w:tabs>
          <w:tab w:leader="none" w:pos="751" w:val="left"/>
        </w:tabs>
        <w:numPr>
          <w:ilvl w:val="1"/>
          <w:numId w:val="6"/>
        </w:numPr>
        <w:rPr>
          <w:rFonts w:ascii="Arial" w:cs="Arial" w:eastAsia="Arial" w:hAnsi="Arial"/>
          <w:sz w:val="17"/>
          <w:szCs w:val="17"/>
          <w:color w:val="auto"/>
        </w:rPr>
      </w:pPr>
      <w:r>
        <w:rPr>
          <w:rFonts w:ascii="Arial" w:cs="Arial" w:eastAsia="Arial" w:hAnsi="Arial"/>
          <w:sz w:val="17"/>
          <w:szCs w:val="17"/>
          <w:color w:val="auto"/>
        </w:rPr>
        <w:t>presented in this quarterly report our conclusions about the effectiveness of the disclosure controls and procedures based on our evaluation as of the Evaluation Date;</w:t>
      </w:r>
    </w:p>
    <w:p>
      <w:pPr>
        <w:spacing w:after="0" w:line="200" w:lineRule="exact"/>
        <w:rPr>
          <w:rFonts w:ascii="Arial" w:cs="Arial" w:eastAsia="Arial" w:hAnsi="Arial"/>
          <w:sz w:val="17"/>
          <w:szCs w:val="17"/>
          <w:color w:val="auto"/>
        </w:rPr>
      </w:pPr>
    </w:p>
    <w:p>
      <w:pPr>
        <w:spacing w:after="0" w:line="203" w:lineRule="exact"/>
        <w:rPr>
          <w:rFonts w:ascii="Arial" w:cs="Arial" w:eastAsia="Arial" w:hAnsi="Arial"/>
          <w:sz w:val="17"/>
          <w:szCs w:val="17"/>
          <w:color w:val="auto"/>
        </w:rPr>
      </w:pPr>
    </w:p>
    <w:p>
      <w:pPr>
        <w:ind w:right="120" w:firstLine="3"/>
        <w:spacing w:after="0" w:line="273" w:lineRule="auto"/>
        <w:tabs>
          <w:tab w:leader="none" w:pos="33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2" w:lineRule="exact"/>
        <w:rPr>
          <w:rFonts w:ascii="Arial" w:cs="Arial" w:eastAsia="Arial" w:hAnsi="Arial"/>
          <w:sz w:val="17"/>
          <w:szCs w:val="17"/>
          <w:color w:val="auto"/>
        </w:rPr>
      </w:pPr>
    </w:p>
    <w:p>
      <w:pPr>
        <w:ind w:left="580" w:right="20" w:firstLine="1"/>
        <w:spacing w:after="0" w:line="273" w:lineRule="auto"/>
        <w:tabs>
          <w:tab w:leader="none" w:pos="751"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7" w:lineRule="exact"/>
        <w:rPr>
          <w:rFonts w:ascii="Arial" w:cs="Arial" w:eastAsia="Arial" w:hAnsi="Arial"/>
          <w:sz w:val="17"/>
          <w:szCs w:val="17"/>
          <w:color w:val="auto"/>
        </w:rPr>
      </w:pPr>
    </w:p>
    <w:p>
      <w:pPr>
        <w:ind w:left="760" w:hanging="179"/>
        <w:spacing w:after="0"/>
        <w:tabs>
          <w:tab w:leader="none" w:pos="7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right="320" w:firstLine="3"/>
        <w:spacing w:after="0" w:line="263" w:lineRule="auto"/>
        <w:tabs>
          <w:tab w:leader="none" w:pos="33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u w:val="single" w:color="auto"/>
          <w:color w:val="auto"/>
        </w:rPr>
        <w:t>/s/ James B. Morgan</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James B. Morgan</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November 29,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1043" w:right="279" w:bottom="1440" w:gutter="0" w:footer="0" w:header="0"/>
        </w:sectPr>
      </w:pPr>
    </w:p>
    <w:bookmarkStart w:id="22" w:name="page23"/>
    <w:bookmarkEnd w:id="22"/>
    <w:p>
      <w:pPr>
        <w:spacing w:after="0"/>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151765</wp:posOffset>
            </wp:positionH>
            <wp:positionV relativeFrom="page">
              <wp:posOffset>494665</wp:posOffset>
            </wp:positionV>
            <wp:extent cx="7258050" cy="450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8050" cy="45085"/>
                    </a:xfrm>
                    <a:prstGeom prst="rect">
                      <a:avLst/>
                    </a:prstGeom>
                    <a:noFill/>
                  </pic:spPr>
                </pic:pic>
              </a:graphicData>
            </a:graphic>
          </wp:anchor>
        </w:drawing>
      </w: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Daktronics,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AS ADOPTED PURSUANT TO SECTI0N 906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 William R. Retterath, certify that:</w:t>
      </w:r>
    </w:p>
    <w:p>
      <w:pPr>
        <w:spacing w:after="0" w:line="216" w:lineRule="exact"/>
        <w:rPr>
          <w:sz w:val="20"/>
          <w:szCs w:val="20"/>
          <w:color w:val="auto"/>
        </w:rPr>
      </w:pPr>
    </w:p>
    <w:p>
      <w:pPr>
        <w:ind w:left="160" w:hanging="157"/>
        <w:spacing w:after="0"/>
        <w:tabs>
          <w:tab w:leader="none" w:pos="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Daktronics, Inc.;</w:t>
      </w:r>
    </w:p>
    <w:p>
      <w:pPr>
        <w:spacing w:after="0" w:line="215" w:lineRule="exact"/>
        <w:rPr>
          <w:rFonts w:ascii="Arial" w:cs="Arial" w:eastAsia="Arial" w:hAnsi="Arial"/>
          <w:sz w:val="17"/>
          <w:szCs w:val="17"/>
          <w:color w:val="auto"/>
        </w:rPr>
      </w:pPr>
    </w:p>
    <w:p>
      <w:pPr>
        <w:ind w:right="540" w:firstLine="3"/>
        <w:spacing w:after="0" w:line="342" w:lineRule="auto"/>
        <w:tabs>
          <w:tab w:leader="none" w:pos="334"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5" w:lineRule="exact"/>
        <w:rPr>
          <w:rFonts w:ascii="Arial" w:cs="Arial" w:eastAsia="Arial" w:hAnsi="Arial"/>
          <w:sz w:val="15"/>
          <w:szCs w:val="15"/>
          <w:color w:val="auto"/>
        </w:rPr>
      </w:pPr>
    </w:p>
    <w:p>
      <w:pPr>
        <w:ind w:right="20" w:firstLine="3"/>
        <w:spacing w:after="0" w:line="273" w:lineRule="auto"/>
        <w:tabs>
          <w:tab w:leader="none" w:pos="334"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2" w:lineRule="exact"/>
        <w:rPr>
          <w:rFonts w:ascii="Arial" w:cs="Arial" w:eastAsia="Arial" w:hAnsi="Arial"/>
          <w:sz w:val="17"/>
          <w:szCs w:val="17"/>
          <w:color w:val="auto"/>
        </w:rPr>
      </w:pPr>
    </w:p>
    <w:p>
      <w:pPr>
        <w:ind w:left="340" w:hanging="337"/>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Rules 13a-14 and 15d-14) for the registrant and we have:</w:t>
      </w:r>
    </w:p>
    <w:p>
      <w:pPr>
        <w:spacing w:after="0" w:line="208" w:lineRule="exact"/>
        <w:rPr>
          <w:sz w:val="20"/>
          <w:szCs w:val="20"/>
          <w:color w:val="auto"/>
        </w:rPr>
      </w:pPr>
    </w:p>
    <w:p>
      <w:pPr>
        <w:ind w:left="580" w:right="100" w:firstLine="1"/>
        <w:spacing w:after="0" w:line="273" w:lineRule="auto"/>
        <w:tabs>
          <w:tab w:leader="none" w:pos="751"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7"/>
          <w:szCs w:val="17"/>
          <w:color w:val="auto"/>
        </w:rPr>
      </w:pPr>
    </w:p>
    <w:p>
      <w:pPr>
        <w:ind w:left="580" w:right="80" w:firstLine="1"/>
        <w:spacing w:after="0" w:line="273" w:lineRule="auto"/>
        <w:tabs>
          <w:tab w:leader="none" w:pos="761"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as of a date within 90 days prior to the filing date of this quarterly report (the “Evaluation Date”); and</w:t>
      </w:r>
    </w:p>
    <w:p>
      <w:pPr>
        <w:spacing w:after="0" w:line="197" w:lineRule="exact"/>
        <w:rPr>
          <w:rFonts w:ascii="Arial" w:cs="Arial" w:eastAsia="Arial" w:hAnsi="Arial"/>
          <w:sz w:val="17"/>
          <w:szCs w:val="17"/>
          <w:color w:val="auto"/>
        </w:rPr>
      </w:pPr>
    </w:p>
    <w:p>
      <w:pPr>
        <w:ind w:left="580" w:firstLine="1"/>
        <w:spacing w:after="0" w:line="273" w:lineRule="auto"/>
        <w:tabs>
          <w:tab w:leader="none" w:pos="751" w:val="left"/>
        </w:tabs>
        <w:numPr>
          <w:ilvl w:val="1"/>
          <w:numId w:val="9"/>
        </w:numPr>
        <w:rPr>
          <w:rFonts w:ascii="Arial" w:cs="Arial" w:eastAsia="Arial" w:hAnsi="Arial"/>
          <w:sz w:val="17"/>
          <w:szCs w:val="17"/>
          <w:color w:val="auto"/>
        </w:rPr>
      </w:pPr>
      <w:r>
        <w:rPr>
          <w:rFonts w:ascii="Arial" w:cs="Arial" w:eastAsia="Arial" w:hAnsi="Arial"/>
          <w:sz w:val="17"/>
          <w:szCs w:val="17"/>
          <w:color w:val="auto"/>
        </w:rPr>
        <w:t>presented in this quarterly report our conclusions about the effectiveness of the disclosure controls and procedures based on our evaluation as of the Evaluation Date;</w:t>
      </w:r>
    </w:p>
    <w:p>
      <w:pPr>
        <w:spacing w:after="0" w:line="200" w:lineRule="exact"/>
        <w:rPr>
          <w:rFonts w:ascii="Arial" w:cs="Arial" w:eastAsia="Arial" w:hAnsi="Arial"/>
          <w:sz w:val="17"/>
          <w:szCs w:val="17"/>
          <w:color w:val="auto"/>
        </w:rPr>
      </w:pPr>
    </w:p>
    <w:p>
      <w:pPr>
        <w:spacing w:after="0" w:line="203" w:lineRule="exact"/>
        <w:rPr>
          <w:rFonts w:ascii="Arial" w:cs="Arial" w:eastAsia="Arial" w:hAnsi="Arial"/>
          <w:sz w:val="17"/>
          <w:szCs w:val="17"/>
          <w:color w:val="auto"/>
        </w:rPr>
      </w:pPr>
    </w:p>
    <w:p>
      <w:pPr>
        <w:ind w:right="120" w:firstLine="3"/>
        <w:spacing w:after="0" w:line="273" w:lineRule="auto"/>
        <w:tabs>
          <w:tab w:leader="none" w:pos="33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2" w:lineRule="exact"/>
        <w:rPr>
          <w:rFonts w:ascii="Arial" w:cs="Arial" w:eastAsia="Arial" w:hAnsi="Arial"/>
          <w:sz w:val="17"/>
          <w:szCs w:val="17"/>
          <w:color w:val="auto"/>
        </w:rPr>
      </w:pPr>
    </w:p>
    <w:p>
      <w:pPr>
        <w:ind w:left="580" w:right="20" w:firstLine="1"/>
        <w:spacing w:after="0" w:line="273" w:lineRule="auto"/>
        <w:tabs>
          <w:tab w:leader="none" w:pos="751"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7" w:lineRule="exact"/>
        <w:rPr>
          <w:rFonts w:ascii="Arial" w:cs="Arial" w:eastAsia="Arial" w:hAnsi="Arial"/>
          <w:sz w:val="17"/>
          <w:szCs w:val="17"/>
          <w:color w:val="auto"/>
        </w:rPr>
      </w:pPr>
    </w:p>
    <w:p>
      <w:pPr>
        <w:ind w:left="760" w:hanging="179"/>
        <w:spacing w:after="0"/>
        <w:tabs>
          <w:tab w:leader="none" w:pos="7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right="320" w:firstLine="3"/>
        <w:spacing w:after="0" w:line="263" w:lineRule="auto"/>
        <w:tabs>
          <w:tab w:leader="none" w:pos="33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u w:val="single" w:color="auto"/>
          <w:color w:val="auto"/>
        </w:rPr>
        <w:t>/s/ William R. Retterath</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William R. Retterath</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November 29,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80"/>
          </w:cols>
          <w:pgMar w:left="240" w:top="1043" w:right="279" w:bottom="1440" w:gutter="0" w:footer="0" w:header="0"/>
        </w:sectPr>
      </w:pPr>
    </w:p>
    <w:bookmarkStart w:id="23" w:name="page24"/>
    <w:bookmarkEnd w:id="23"/>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SPORTS LINK LTD</w:t>
      </w:r>
    </w:p>
    <w:p>
      <w:pPr>
        <w:spacing w:after="0"/>
        <w:rPr>
          <w:sz w:val="20"/>
          <w:szCs w:val="20"/>
          <w:color w:val="auto"/>
        </w:rPr>
      </w:pPr>
      <w:r>
        <w:rPr>
          <w:rFonts w:ascii="Courier New" w:cs="Courier New" w:eastAsia="Courier New" w:hAnsi="Courier New"/>
          <w:sz w:val="17"/>
          <w:szCs w:val="17"/>
          <w:color w:val="auto"/>
        </w:rPr>
        <w:t>117 PRINCE DR</w:t>
      </w:r>
    </w:p>
    <w:p>
      <w:pPr>
        <w:spacing w:after="0"/>
        <w:rPr>
          <w:sz w:val="20"/>
          <w:szCs w:val="20"/>
          <w:color w:val="auto"/>
        </w:rPr>
      </w:pPr>
      <w:r>
        <w:rPr>
          <w:rFonts w:ascii="Courier New" w:cs="Courier New" w:eastAsia="Courier New" w:hAnsi="Courier New"/>
          <w:sz w:val="17"/>
          <w:szCs w:val="17"/>
          <w:color w:val="auto"/>
        </w:rPr>
        <w:t>PO BOX 544</w:t>
      </w:r>
    </w:p>
    <w:p>
      <w:pPr>
        <w:spacing w:after="0"/>
        <w:tabs>
          <w:tab w:leader="none" w:pos="1080" w:val="left"/>
          <w:tab w:leader="none" w:pos="1480" w:val="left"/>
        </w:tabs>
        <w:rPr>
          <w:sz w:val="20"/>
          <w:szCs w:val="20"/>
          <w:color w:val="auto"/>
        </w:rPr>
      </w:pPr>
      <w:r>
        <w:rPr>
          <w:rFonts w:ascii="Courier New" w:cs="Courier New" w:eastAsia="Courier New" w:hAnsi="Courier New"/>
          <w:sz w:val="17"/>
          <w:szCs w:val="17"/>
          <w:color w:val="auto"/>
        </w:rPr>
        <w:t>BROOKINGS</w:t>
        <w:tab/>
        <w:t>SD</w:t>
      </w:r>
      <w:r>
        <w:rPr>
          <w:sz w:val="20"/>
          <w:szCs w:val="20"/>
          <w:color w:val="auto"/>
        </w:rPr>
        <w:tab/>
      </w:r>
      <w:r>
        <w:rPr>
          <w:rFonts w:ascii="Courier New" w:cs="Courier New" w:eastAsia="Courier New" w:hAnsi="Courier New"/>
          <w:sz w:val="16"/>
          <w:szCs w:val="16"/>
          <w:color w:val="auto"/>
        </w:rPr>
        <w:t>57006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BORROWER'S NAME AND ADDRESS</w:t>
      </w:r>
    </w:p>
    <w:p>
      <w:pPr>
        <w:spacing w:after="0"/>
        <w:rPr>
          <w:sz w:val="20"/>
          <w:szCs w:val="20"/>
          <w:color w:val="auto"/>
        </w:rPr>
      </w:pPr>
      <w:r>
        <w:rPr>
          <w:rFonts w:ascii="Courier New" w:cs="Courier New" w:eastAsia="Courier New" w:hAnsi="Courier New"/>
          <w:sz w:val="17"/>
          <w:szCs w:val="17"/>
          <w:color w:val="auto"/>
        </w:rPr>
        <w:t>"I" includes each borrower above, joint and severally.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NATIONAL BANK IN BROOKINGS</w:t>
      </w:r>
    </w:p>
    <w:p>
      <w:pPr>
        <w:spacing w:after="0"/>
        <w:rPr>
          <w:sz w:val="20"/>
          <w:szCs w:val="20"/>
          <w:color w:val="auto"/>
        </w:rPr>
      </w:pPr>
      <w:r>
        <w:rPr>
          <w:rFonts w:ascii="Courier New" w:cs="Courier New" w:eastAsia="Courier New" w:hAnsi="Courier New"/>
          <w:sz w:val="17"/>
          <w:szCs w:val="17"/>
          <w:color w:val="auto"/>
        </w:rPr>
        <w:t>PO BOX 5057</w:t>
      </w:r>
    </w:p>
    <w:p>
      <w:pPr>
        <w:spacing w:after="0"/>
        <w:tabs>
          <w:tab w:leader="none" w:pos="1180" w:val="left"/>
          <w:tab w:leader="none" w:pos="1580" w:val="left"/>
        </w:tabs>
        <w:rPr>
          <w:sz w:val="20"/>
          <w:szCs w:val="20"/>
          <w:color w:val="auto"/>
        </w:rPr>
      </w:pPr>
      <w:r>
        <w:rPr>
          <w:rFonts w:ascii="Courier New" w:cs="Courier New" w:eastAsia="Courier New" w:hAnsi="Courier New"/>
          <w:sz w:val="17"/>
          <w:szCs w:val="17"/>
          <w:color w:val="auto"/>
        </w:rPr>
        <w:t>BROOKINGS,</w:t>
        <w:tab/>
        <w:t>SD</w:t>
      </w:r>
      <w:r>
        <w:rPr>
          <w:sz w:val="20"/>
          <w:szCs w:val="20"/>
          <w:color w:val="auto"/>
        </w:rPr>
        <w:tab/>
      </w:r>
      <w:r>
        <w:rPr>
          <w:rFonts w:ascii="Courier New" w:cs="Courier New" w:eastAsia="Courier New" w:hAnsi="Courier New"/>
          <w:sz w:val="16"/>
          <w:szCs w:val="16"/>
          <w:color w:val="auto"/>
        </w:rPr>
        <w:t>57006-5057</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LENDER'S NAME AND ADDRESS</w:t>
      </w:r>
    </w:p>
    <w:p>
      <w:pPr>
        <w:spacing w:after="0"/>
        <w:rPr>
          <w:sz w:val="20"/>
          <w:szCs w:val="20"/>
          <w:color w:val="auto"/>
        </w:rPr>
      </w:pPr>
      <w:r>
        <w:rPr>
          <w:rFonts w:ascii="Courier New" w:cs="Courier New" w:eastAsia="Courier New" w:hAnsi="Courier New"/>
          <w:sz w:val="17"/>
          <w:szCs w:val="17"/>
          <w:color w:val="auto"/>
        </w:rPr>
        <w:t>"You" means the lendor, its successors and assigns.</w:t>
      </w:r>
    </w:p>
    <w:p>
      <w:pPr>
        <w:spacing w:after="0" w:line="19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Loan Number</w:t>
      </w:r>
      <w:r>
        <w:rPr>
          <w:sz w:val="20"/>
          <w:szCs w:val="20"/>
          <w:color w:val="auto"/>
        </w:rPr>
        <w:tab/>
      </w:r>
      <w:r>
        <w:rPr>
          <w:rFonts w:ascii="Courier New" w:cs="Courier New" w:eastAsia="Courier New" w:hAnsi="Courier New"/>
          <w:sz w:val="16"/>
          <w:szCs w:val="16"/>
          <w:color w:val="auto"/>
        </w:rPr>
        <w:t>7202728</w:t>
      </w:r>
    </w:p>
    <w:p>
      <w:pPr>
        <w:spacing w:after="0"/>
        <w:tabs>
          <w:tab w:leader="none" w:pos="680" w:val="left"/>
        </w:tabs>
        <w:rPr>
          <w:sz w:val="20"/>
          <w:szCs w:val="20"/>
          <w:color w:val="auto"/>
        </w:rPr>
      </w:pPr>
      <w:r>
        <w:rPr>
          <w:rFonts w:ascii="Courier New" w:cs="Courier New" w:eastAsia="Courier New" w:hAnsi="Courier New"/>
          <w:sz w:val="17"/>
          <w:szCs w:val="17"/>
          <w:color w:val="auto"/>
        </w:rPr>
        <w:t>Date</w:t>
        <w:tab/>
        <w:t>09/16/02</w:t>
      </w:r>
    </w:p>
    <w:p>
      <w:pPr>
        <w:spacing w:after="0"/>
        <w:tabs>
          <w:tab w:leader="none" w:pos="1580" w:val="left"/>
        </w:tabs>
        <w:rPr>
          <w:sz w:val="20"/>
          <w:szCs w:val="20"/>
          <w:color w:val="auto"/>
        </w:rPr>
      </w:pPr>
      <w:r>
        <w:rPr>
          <w:rFonts w:ascii="Courier New" w:cs="Courier New" w:eastAsia="Courier New" w:hAnsi="Courier New"/>
          <w:sz w:val="17"/>
          <w:szCs w:val="17"/>
          <w:color w:val="auto"/>
        </w:rPr>
        <w:t>Maturity Date</w:t>
      </w:r>
      <w:r>
        <w:rPr>
          <w:sz w:val="20"/>
          <w:szCs w:val="20"/>
          <w:color w:val="auto"/>
        </w:rPr>
        <w:tab/>
      </w:r>
      <w:r>
        <w:rPr>
          <w:rFonts w:ascii="Courier New" w:cs="Courier New" w:eastAsia="Courier New" w:hAnsi="Courier New"/>
          <w:sz w:val="16"/>
          <w:szCs w:val="16"/>
          <w:color w:val="auto"/>
        </w:rPr>
        <w:t>11/15/04</w:t>
      </w:r>
    </w:p>
    <w:p>
      <w:pPr>
        <w:spacing w:after="0"/>
        <w:tabs>
          <w:tab w:leader="none" w:pos="1480" w:val="left"/>
        </w:tabs>
        <w:rPr>
          <w:sz w:val="20"/>
          <w:szCs w:val="20"/>
          <w:color w:val="auto"/>
        </w:rPr>
      </w:pPr>
      <w:r>
        <w:rPr>
          <w:rFonts w:ascii="Courier New" w:cs="Courier New" w:eastAsia="Courier New" w:hAnsi="Courier New"/>
          <w:sz w:val="17"/>
          <w:szCs w:val="17"/>
          <w:color w:val="auto"/>
        </w:rPr>
        <w:t>Loan Amount $</w:t>
      </w:r>
      <w:r>
        <w:rPr>
          <w:sz w:val="20"/>
          <w:szCs w:val="20"/>
          <w:color w:val="auto"/>
        </w:rPr>
        <w:tab/>
      </w:r>
      <w:r>
        <w:rPr>
          <w:rFonts w:ascii="Courier New" w:cs="Courier New" w:eastAsia="Courier New" w:hAnsi="Courier New"/>
          <w:sz w:val="16"/>
          <w:szCs w:val="16"/>
          <w:color w:val="auto"/>
        </w:rPr>
        <w:t>1,527,190.81</w:t>
      </w:r>
    </w:p>
    <w:p>
      <w:pPr>
        <w:spacing w:after="0"/>
        <w:tabs>
          <w:tab w:leader="none" w:pos="1380" w:val="left"/>
        </w:tabs>
        <w:rPr>
          <w:sz w:val="20"/>
          <w:szCs w:val="20"/>
          <w:color w:val="auto"/>
        </w:rPr>
      </w:pPr>
      <w:r>
        <w:rPr>
          <w:rFonts w:ascii="Courier New" w:cs="Courier New" w:eastAsia="Courier New" w:hAnsi="Courier New"/>
          <w:sz w:val="17"/>
          <w:szCs w:val="17"/>
          <w:color w:val="auto"/>
        </w:rPr>
        <w:t>Renewal Of:</w:t>
      </w:r>
      <w:r>
        <w:rPr>
          <w:sz w:val="20"/>
          <w:szCs w:val="20"/>
          <w:color w:val="auto"/>
        </w:rPr>
        <w:tab/>
      </w:r>
      <w:r>
        <w:rPr>
          <w:rFonts w:ascii="Courier New" w:cs="Courier New" w:eastAsia="Courier New" w:hAnsi="Courier New"/>
          <w:sz w:val="16"/>
          <w:szCs w:val="16"/>
          <w:color w:val="auto"/>
        </w:rPr>
        <w:t>6984201 &amp; 02</w:t>
      </w:r>
    </w:p>
    <w:p>
      <w:pPr>
        <w:spacing w:after="0"/>
        <w:rPr>
          <w:sz w:val="20"/>
          <w:szCs w:val="20"/>
          <w:color w:val="auto"/>
        </w:rPr>
      </w:pPr>
      <w:r>
        <w:rPr>
          <w:rFonts w:ascii="Courier New" w:cs="Courier New" w:eastAsia="Courier New" w:hAnsi="Courier New"/>
          <w:sz w:val="17"/>
          <w:szCs w:val="17"/>
          <w:color w:val="auto"/>
        </w:rPr>
        <w:t>TIN: 46-0440678 &amp; 720037</w:t>
      </w:r>
    </w:p>
    <w:p>
      <w:pPr>
        <w:spacing w:after="0" w:line="39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For value received, I promise to pay to you, or your order, at your address listed above the PRINCIPAL sum of one million five hundred twenty seven thousand one hundred ninety &amp; 81/100 Dollars $ 1,527,190.81</w:t>
      </w:r>
    </w:p>
    <w:p>
      <w:pPr>
        <w:spacing w:after="0" w:line="200"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X Single Advance: I will receive all of this principal sum on 09/16/02 . No additional advances are contemplated under this note.</w:t>
      </w:r>
    </w:p>
    <w:p>
      <w:pPr>
        <w:spacing w:after="0" w:line="199" w:lineRule="exact"/>
        <w:rPr>
          <w:sz w:val="20"/>
          <w:szCs w:val="20"/>
          <w:color w:val="auto"/>
        </w:rPr>
      </w:pPr>
    </w:p>
    <w:p>
      <w:pPr>
        <w:ind w:right="2799"/>
        <w:spacing w:after="0" w:line="255" w:lineRule="auto"/>
        <w:rPr>
          <w:sz w:val="20"/>
          <w:szCs w:val="20"/>
          <w:color w:val="auto"/>
        </w:rPr>
      </w:pPr>
      <w:r>
        <w:rPr>
          <w:rFonts w:ascii="Courier New" w:cs="Courier New" w:eastAsia="Courier New" w:hAnsi="Courier New"/>
          <w:sz w:val="16"/>
          <w:szCs w:val="16"/>
          <w:color w:val="auto"/>
        </w:rPr>
        <w:t>__Multiple Advance: The principal sum shown above is the maximum amount of principal I can borrow under this note. On ____________ I will receive the</w:t>
      </w:r>
    </w:p>
    <w:p>
      <w:pPr>
        <w:spacing w:after="0" w:line="233" w:lineRule="auto"/>
        <w:rPr>
          <w:sz w:val="20"/>
          <w:szCs w:val="20"/>
          <w:color w:val="auto"/>
        </w:rPr>
      </w:pPr>
      <w:r>
        <w:rPr>
          <w:rFonts w:ascii="Courier New" w:cs="Courier New" w:eastAsia="Courier New" w:hAnsi="Courier New"/>
          <w:sz w:val="17"/>
          <w:szCs w:val="17"/>
          <w:color w:val="auto"/>
        </w:rPr>
        <w:t>amount of $_____________ and future principal advances are contemplated.</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The conditions for future advances are _____________________________</w:t>
      </w:r>
    </w:p>
    <w:p>
      <w:pPr>
        <w:spacing w:after="0" w:line="20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__Open End Credit: You and I agree that I may borrow up to the maximum amount of principal more than one time. This feature is subject to all other conditions and expires on _________________.</w:t>
      </w:r>
    </w:p>
    <w:p>
      <w:pPr>
        <w:spacing w:after="0" w:line="200"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X Closed End Credit: You and I agree that I may borrow up to the maximum only one time (and subject to all other conditions).</w:t>
      </w:r>
    </w:p>
    <w:p>
      <w:pPr>
        <w:spacing w:after="0" w:line="199" w:lineRule="exact"/>
        <w:rPr>
          <w:sz w:val="20"/>
          <w:szCs w:val="20"/>
          <w:color w:val="auto"/>
        </w:rPr>
      </w:pPr>
    </w:p>
    <w:p>
      <w:pPr>
        <w:jc w:val="both"/>
        <w:ind w:right="2699"/>
        <w:spacing w:after="0" w:line="262" w:lineRule="auto"/>
        <w:rPr>
          <w:sz w:val="20"/>
          <w:szCs w:val="20"/>
          <w:color w:val="auto"/>
        </w:rPr>
      </w:pPr>
      <w:r>
        <w:rPr>
          <w:rFonts w:ascii="Courier New" w:cs="Courier New" w:eastAsia="Courier New" w:hAnsi="Courier New"/>
          <w:sz w:val="16"/>
          <w:szCs w:val="16"/>
          <w:color w:val="auto"/>
        </w:rPr>
        <w:t>INTEREST: I agree to pay interest on the outstanding principal balance from SEPTEMBER 16, 2002 at the rate of 5.7500% per year until NOVEMBER 15, 2004.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__Variable Rates: This rate may then change as stated below.</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__Index Rates: The future rate will be ____________ the following index rate:</w:t>
      </w:r>
    </w:p>
    <w:p>
      <w:pPr>
        <w:spacing w:after="0"/>
        <w:rPr>
          <w:sz w:val="20"/>
          <w:szCs w:val="20"/>
          <w:color w:val="auto"/>
        </w:rPr>
      </w:pPr>
      <w:r>
        <w:rPr>
          <w:rFonts w:ascii="Courier New" w:cs="Courier New" w:eastAsia="Courier New" w:hAnsi="Courier New"/>
          <w:sz w:val="17"/>
          <w:szCs w:val="17"/>
          <w:color w:val="auto"/>
        </w:rPr>
        <w:t>_______</w:t>
      </w:r>
    </w:p>
    <w:p>
      <w:pPr>
        <w:spacing w:after="0" w:line="198"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__No Index: The future rate will not be subject to any internal or external index. It will be entirely in your control.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__Frequency and Timing: The rate on this note may change as often as</w:t>
      </w:r>
    </w:p>
    <w:p>
      <w:pPr>
        <w:spacing w:after="0"/>
        <w:rPr>
          <w:sz w:val="20"/>
          <w:szCs w:val="20"/>
          <w:color w:val="auto"/>
        </w:rPr>
      </w:pPr>
      <w:r>
        <w:rPr>
          <w:rFonts w:ascii="Courier New" w:cs="Courier New" w:eastAsia="Courier New" w:hAnsi="Courier New"/>
          <w:sz w:val="17"/>
          <w:szCs w:val="17"/>
          <w:color w:val="auto"/>
        </w:rPr>
        <w:t>______________</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change in the interest rate will take effect</w:t>
      </w:r>
    </w:p>
    <w:p>
      <w:pPr>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__Limitations: During the term of this loan, the applicable annual interest rate will not be more than ___________% or less than ________________%, the rate may</w:t>
      </w:r>
    </w:p>
    <w:p>
      <w:pPr>
        <w:spacing w:after="0" w:line="233" w:lineRule="auto"/>
        <w:rPr>
          <w:sz w:val="20"/>
          <w:szCs w:val="20"/>
          <w:color w:val="auto"/>
        </w:rPr>
      </w:pPr>
      <w:r>
        <w:rPr>
          <w:rFonts w:ascii="Courier New" w:cs="Courier New" w:eastAsia="Courier New" w:hAnsi="Courier New"/>
          <w:sz w:val="17"/>
          <w:szCs w:val="17"/>
          <w:color w:val="auto"/>
        </w:rPr>
        <w:t>not change more than ___________% each __________________.</w:t>
      </w:r>
    </w:p>
    <w:p>
      <w:pPr>
        <w:spacing w:after="0" w:line="199"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Effect of Variable Rate: A change in the interest rate will have the following effect on the payments:</w:t>
      </w:r>
    </w:p>
    <w:p>
      <w:pPr>
        <w:spacing w:after="0" w:line="199"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__The amount of each scheduled payment will change. __The amount of the final payment will change.</w:t>
      </w:r>
    </w:p>
    <w:p>
      <w:pPr>
        <w:spacing w:after="0" w:line="194" w:lineRule="exact"/>
        <w:rPr>
          <w:sz w:val="20"/>
          <w:szCs w:val="20"/>
          <w:color w:val="auto"/>
        </w:rPr>
      </w:pPr>
    </w:p>
    <w:p>
      <w:pPr>
        <w:spacing w:after="0"/>
        <w:tabs>
          <w:tab w:leader="none" w:pos="5100" w:val="left"/>
          <w:tab w:leader="none" w:pos="6400" w:val="left"/>
        </w:tabs>
        <w:rPr>
          <w:sz w:val="20"/>
          <w:szCs w:val="20"/>
          <w:color w:val="auto"/>
        </w:rPr>
      </w:pPr>
      <w:r>
        <w:rPr>
          <w:rFonts w:ascii="Courier New" w:cs="Courier New" w:eastAsia="Courier New" w:hAnsi="Courier New"/>
          <w:sz w:val="17"/>
          <w:szCs w:val="17"/>
          <w:color w:val="auto"/>
        </w:rPr>
        <w:t>ACCRUAL METHOD: Interest will be calculated on a</w:t>
        <w:tab/>
        <w:t>ACTUAL/365</w:t>
      </w:r>
      <w:r>
        <w:rPr>
          <w:sz w:val="20"/>
          <w:szCs w:val="20"/>
          <w:color w:val="auto"/>
        </w:rPr>
        <w:tab/>
      </w:r>
      <w:r>
        <w:rPr>
          <w:rFonts w:ascii="Courier New" w:cs="Courier New" w:eastAsia="Courier New" w:hAnsi="Courier New"/>
          <w:sz w:val="16"/>
          <w:szCs w:val="16"/>
          <w:color w:val="auto"/>
        </w:rPr>
        <w:t>basis.</w:t>
      </w:r>
    </w:p>
    <w:p>
      <w:pPr>
        <w:spacing w:after="0" w:line="198"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POST MATURITY RATE: I agree to pay interest on the unpaid balance of this note owing after maturity, and until paid in full, as stated below:</w:t>
      </w:r>
    </w:p>
    <w:p>
      <w:pPr>
        <w:spacing w:after="0" w:line="199"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7"/>
          <w:szCs w:val="17"/>
          <w:color w:val="auto"/>
        </w:rPr>
        <w:t>__on the same fixed or variable rate basis in effect before maturity (as indicated above).</w:t>
      </w:r>
    </w:p>
    <w:p>
      <w:pPr>
        <w:spacing w:after="0" w:line="194" w:lineRule="exact"/>
        <w:rPr>
          <w:sz w:val="20"/>
          <w:szCs w:val="20"/>
          <w:color w:val="auto"/>
        </w:rPr>
      </w:pPr>
    </w:p>
    <w:p>
      <w:pPr>
        <w:spacing w:after="0"/>
        <w:tabs>
          <w:tab w:leader="none" w:pos="2280" w:val="left"/>
        </w:tabs>
        <w:rPr>
          <w:sz w:val="20"/>
          <w:szCs w:val="20"/>
          <w:color w:val="auto"/>
        </w:rPr>
      </w:pPr>
      <w:r>
        <w:rPr>
          <w:rFonts w:ascii="Courier New" w:cs="Courier New" w:eastAsia="Courier New" w:hAnsi="Courier New"/>
          <w:sz w:val="17"/>
          <w:szCs w:val="17"/>
          <w:color w:val="auto"/>
        </w:rPr>
        <w:t>X at a rate equal to</w:t>
      </w:r>
      <w:r>
        <w:rPr>
          <w:sz w:val="20"/>
          <w:szCs w:val="20"/>
          <w:color w:val="auto"/>
        </w:rPr>
        <w:tab/>
      </w:r>
      <w:r>
        <w:rPr>
          <w:rFonts w:ascii="Courier New" w:cs="Courier New" w:eastAsia="Courier New" w:hAnsi="Courier New"/>
          <w:sz w:val="16"/>
          <w:szCs w:val="16"/>
          <w:color w:val="auto"/>
        </w:rPr>
        <w:t>20.00%</w:t>
      </w:r>
    </w:p>
    <w:p>
      <w:pPr>
        <w:spacing w:after="0" w:line="19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X LATE CHARGE: If a payment is made more than 10 days after it is due, I agree to pay a late charge of 5.0% OF THE PAST DUE PAYMENT AMOUNT SUBJECT TO A MAXIMUM OF $50.00 AND MINIMUM OF $5.00.</w:t>
      </w:r>
    </w:p>
    <w:p>
      <w:pPr>
        <w:spacing w:after="0" w:line="200"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16"/>
          <w:szCs w:val="16"/>
          <w:color w:val="auto"/>
        </w:rPr>
        <w:t>__ ADDITIONAL CHARGES: In addition to interest, I agree to pay the following charges which are are not included in the principal amount above:</w:t>
      </w:r>
    </w:p>
    <w:p>
      <w:pPr>
        <w:sectPr>
          <w:pgSz w:w="11900" w:h="16927" w:orient="portrait"/>
          <w:cols w:equalWidth="0" w:num="1">
            <w:col w:w="10219"/>
          </w:cols>
          <w:pgMar w:left="240" w:top="136" w:right="1440" w:bottom="0" w:gutter="0" w:footer="0" w:header="0"/>
        </w:sectPr>
      </w:pPr>
    </w:p>
    <w:bookmarkStart w:id="24" w:name="page25"/>
    <w:bookmarkEnd w:id="24"/>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PAYMENTS: I agree to pay this note as follows: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 Interest: I agree to pay accrued interest ________________________________</w:t>
      </w:r>
    </w:p>
    <w:p>
      <w:pPr>
        <w:spacing w:after="0" w:line="198"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__ Principal: I agree to pay the principal ON DEMAND, BUT IF NO DEMAND IS MADE THEN:</w:t>
      </w:r>
    </w:p>
    <w:p>
      <w:pPr>
        <w:spacing w:after="0" w:line="199"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X Installments: I agree to pay this note in 26 payments. The first payment will be in the amount of $ 62,000.00 and will be due OCTOBER 15, 2002 . A payment of</w:t>
      </w:r>
    </w:p>
    <w:p>
      <w:pPr>
        <w:ind w:right="2699" w:firstLine="3"/>
        <w:spacing w:after="0" w:line="262" w:lineRule="auto"/>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62,000.00 will be due MONTHLY thereafter. The final payment of the entire unpaid balance of principal and interest will be due NOVEMBER 15, 2004 .</w:t>
      </w:r>
    </w:p>
    <w:p>
      <w:pPr>
        <w:spacing w:after="0" w:line="182"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7"/>
          <w:szCs w:val="17"/>
          <w:color w:val="auto"/>
        </w:rPr>
        <w:t>ADDITIONAL TERMS: THIS NOTE IS SECURED BY: S/A AND UCC DATED 8-29-00 AND CORPORATE GUARANTY.</w:t>
      </w:r>
    </w:p>
    <w:p>
      <w:pPr>
        <w:spacing w:after="0" w:line="392"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X SECURITY: This note is separately secured by (describe separate document by type and date):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SAME AS ADDITIONAL TERMS ABOVE</w:t>
      </w:r>
    </w:p>
    <w:p>
      <w:pPr>
        <w:spacing w:after="0" w:line="198"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(This section is for your internal use. Failure to list a separate security document does not mean the agreement will not secure this note.)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for Lender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DAVE GIBSON</w:t>
      </w:r>
    </w:p>
    <w:p>
      <w:pPr>
        <w:spacing w:after="0"/>
        <w:rPr>
          <w:sz w:val="20"/>
          <w:szCs w:val="20"/>
          <w:color w:val="auto"/>
        </w:rPr>
      </w:pPr>
      <w:r>
        <w:rPr>
          <w:rFonts w:ascii="Courier New" w:cs="Courier New" w:eastAsia="Courier New" w:hAnsi="Courier New"/>
          <w:sz w:val="17"/>
          <w:szCs w:val="17"/>
          <w:color w:val="auto"/>
        </w:rPr>
        <w:t>VICE PRESIDENT</w:t>
      </w:r>
    </w:p>
    <w:p>
      <w:pPr>
        <w:sectPr>
          <w:pgSz w:w="11900" w:h="16910" w:orient="portrait"/>
          <w:cols w:equalWidth="0" w:num="1">
            <w:col w:w="10219"/>
          </w:cols>
          <w:pgMar w:left="240" w:top="329" w:right="1440" w:bottom="0" w:gutter="0" w:footer="0" w:header="0"/>
        </w:sect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The purpose of this loan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DJG: CONSOLIDATED TERM EQUIPMENT DEBT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392" w:lineRule="exact"/>
        <w:rPr>
          <w:sz w:val="20"/>
          <w:szCs w:val="20"/>
          <w:color w:val="auto"/>
        </w:rPr>
      </w:pPr>
    </w:p>
    <w:p>
      <w:pPr>
        <w:sectPr>
          <w:pgSz w:w="11900" w:h="16910" w:orient="portrait"/>
          <w:cols w:equalWidth="0" w:num="2">
            <w:col w:w="3720" w:space="200"/>
            <w:col w:w="6299"/>
          </w:cols>
          <w:pgMar w:left="240" w:top="329" w:right="1440" w:bottom="0" w:gutter="0" w:footer="0" w:header="0"/>
          <w:type w:val="continuous"/>
        </w:sectPr>
      </w:pPr>
    </w:p>
    <w:p>
      <w:pPr>
        <w:spacing w:after="0" w:line="4" w:lineRule="exact"/>
        <w:rPr>
          <w:sz w:val="20"/>
          <w:szCs w:val="20"/>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SIGNATURES: I AGREE TO THE TERMS OF THIS NOTE (INCLUDING THOSE ON PAGE 2). I have received a copy on today's date.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SPORTS LINK LTD.</w:t>
      </w:r>
    </w:p>
    <w:p>
      <w:pPr>
        <w:spacing w:after="0" w:line="193" w:lineRule="exact"/>
        <w:rPr>
          <w:sz w:val="20"/>
          <w:szCs w:val="20"/>
          <w:color w:val="auto"/>
        </w:rPr>
      </w:pPr>
    </w:p>
    <w:p>
      <w:pPr>
        <w:ind w:left="200" w:hanging="197"/>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JAMES B. MORGAN, CHAIRMAN</w:t>
      </w:r>
    </w:p>
    <w:p>
      <w:pPr>
        <w:spacing w:after="0" w:line="200" w:lineRule="exact"/>
        <w:rPr>
          <w:sz w:val="20"/>
          <w:szCs w:val="20"/>
          <w:color w:val="auto"/>
        </w:rPr>
      </w:pPr>
    </w:p>
    <w:p>
      <w:pPr>
        <w:spacing w:after="0" w:line="384"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DEFINITIONS: As used on page 1, "X" means the terms that apply to this loan. "I," "me" or "my" means each Borrower who signs this note and each other person or legal entity (including guarantors, endorsers, and sureties) who agreed to pay this note (together referred to as "us"), "You" or "your" means the Lender and its successors and assigns.</w:t>
      </w:r>
    </w:p>
    <w:p>
      <w:pPr>
        <w:spacing w:after="0" w:line="20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APPLICABLE LAW: The law of the state in which you are located will govern this note. Any term of this note which is contrary to applicable law will not be effective, unless the law permits you and me to agree to such a variation. If any provision of this agreement cannot be enforced according to its terms, this fact will not affect the enforceability of the remainder of this agreement. No modification of this agreement may be made without your express written consent. Time is of the essence in this agreement.</w:t>
      </w:r>
    </w:p>
    <w:p>
      <w:pPr>
        <w:spacing w:after="0" w:line="19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PAYMENTS: Each payment I make on this note will first reduce the amount I owe you for charges which are neither interest nor principal. The remainder of each payment will then reduce accrued unpaid interest, and then unpaid principal. If you and I agree to a different application of payments, we will describe our agreement on this note. I may prepay a part of, or the entire balance of this loan without penalty, unless we specify to the contrary on this note. Any partial prepayment will not excuse or reduce any later scheduled payment until this note is paid in full (unless, when I make the prepayment, you and I agree in writing to the contrary).</w:t>
      </w:r>
    </w:p>
    <w:p>
      <w:pPr>
        <w:spacing w:after="0" w:line="201"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INTEREST: Interest accrues on the principal remaining unpaid from time to time, until paid in full. If I receive the principal in more than one advance, each advance will start to earn interest only when I receive the advance. The interest rate in effect on this note at any given time will apply to the entire principal advanced at that time. Notwithstanding anything to the contrary, I do not agree to pay and you do not intend to charge any rate of interest that is higher than the maximum rate of interest you could charge under applicable law for the extension of credit that is agreed to here (either before or after maturity). If any notice of interest accrual is sent and is in error, we mutually agree to correct it, and if you actually collect more interest than allowed by law and this agreement, you agree to refund it to me.</w:t>
      </w:r>
    </w:p>
    <w:p>
      <w:pPr>
        <w:spacing w:after="0" w:line="194"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INDEX RATE: The Index will serve only as a device for setting the rate on this note. You do not guarantee by selecting this index, or the margin, that the rate on this note will be the same rate you charge on any other loans or class of loans to me or other borrowers.</w:t>
      </w:r>
    </w:p>
    <w:p>
      <w:pPr>
        <w:sectPr>
          <w:pgSz w:w="11900" w:h="16910" w:orient="portrait"/>
          <w:cols w:equalWidth="0" w:num="1">
            <w:col w:w="10219"/>
          </w:cols>
          <w:pgMar w:left="240" w:top="329" w:right="1440" w:bottom="0" w:gutter="0" w:footer="0" w:header="0"/>
          <w:type w:val="continuous"/>
        </w:sectPr>
      </w:pPr>
    </w:p>
    <w:bookmarkStart w:id="25" w:name="page26"/>
    <w:bookmarkEnd w:id="25"/>
    <w:p>
      <w:pPr>
        <w:spacing w:after="0" w:line="73"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ACCRUAL METHOD: The amount of interest that I will pay on this loan will be calculated using the interest rate and accrual method stated on page 1 of this note. For the purpose of interest calculation, the accrual method will determine the number of days in a "year." If no accrual method is stated, then you may use any reasonable accrual method for calculating interest.</w:t>
      </w:r>
    </w:p>
    <w:p>
      <w:pPr>
        <w:spacing w:after="0" w:line="202"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POST MATURITY RATE: For purposes of deciding when the "Post Maturity Rate" (shown on page 1) applies, the term "maturity" means the date of the last scheduled payment indicated on page 1 of this note or the date you accelerate payment on the note, whichever is earlier.</w:t>
      </w:r>
    </w:p>
    <w:p>
      <w:pPr>
        <w:spacing w:after="0" w:line="200"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SINGLE ADVANCE LOANS: If this is a single advance loan, you and I expect that you will make only one advance of principal. However, you may add other amounts to the principal if you make any payments described in the "PAYMENTS BY LENDER" paragraph below.</w:t>
      </w:r>
    </w:p>
    <w:p>
      <w:pPr>
        <w:spacing w:after="0" w:line="200"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7"/>
          <w:szCs w:val="17"/>
          <w:color w:val="auto"/>
        </w:rPr>
        <w:t>MULTIPLE ADVANCE LOANS: If this is a multiple advance loan, you and I expect that you will make more than one advance of principal. If this is closed end credit, repaying a part of the principal will not entitle me to additional credit.</w:t>
      </w:r>
    </w:p>
    <w:p>
      <w:pPr>
        <w:spacing w:after="0" w:line="200"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PAYMENTS BY LENDER: If you are authorized to pay, on my behalf, charges I am obligated to pay (such as property insurance premiums), then you may treat those payments made by you as advances and add them to the unpaid principal under this note, or you may demand immediate payment of the charges.</w:t>
      </w:r>
    </w:p>
    <w:p>
      <w:pPr>
        <w:spacing w:after="0" w:line="20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SET-OFF: I agree that you may set off any amount due and payable under this note against any right I have to receive money from you.</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 to receive money from you" means:</w:t>
      </w:r>
    </w:p>
    <w:p>
      <w:pPr>
        <w:ind w:left="400" w:hanging="397"/>
        <w:spacing w:after="0"/>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deposit account balance I have with you;</w:t>
      </w:r>
    </w:p>
    <w:p>
      <w:pPr>
        <w:spacing w:after="0" w:line="5" w:lineRule="exact"/>
        <w:rPr>
          <w:rFonts w:ascii="Courier New" w:cs="Courier New" w:eastAsia="Courier New" w:hAnsi="Courier New"/>
          <w:sz w:val="17"/>
          <w:szCs w:val="17"/>
          <w:color w:val="auto"/>
        </w:rPr>
      </w:pPr>
    </w:p>
    <w:p>
      <w:pPr>
        <w:ind w:right="2399" w:firstLine="3"/>
        <w:spacing w:after="0" w:line="237" w:lineRule="auto"/>
        <w:tabs>
          <w:tab w:leader="none" w:pos="40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money owed to me on an item presented to you or in your possession for collection or exchange; and (3) any repurchase agreement, or other nondeposit obligation.</w:t>
      </w:r>
    </w:p>
    <w:p>
      <w:pPr>
        <w:spacing w:after="0" w:line="200"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Any amount due and payable under this note means the total amount of which you are entitled to demand payment under the terms of this note at the time you set off. This total includes any balance the due date for which you properly accelerate under this note.</w:t>
      </w:r>
    </w:p>
    <w:p>
      <w:pPr>
        <w:spacing w:after="0" w:line="200"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If my right to receive money from you is also owned by someone who has not agreed to pay this note, your right of set-off will apply to my interest in the obligation and to any other amounts I could withdraw on my sole request or endorsement. Your right of set-off does not apply to an account or other obligation where my rights are only as a representative. It also does not apply to any Individual Retirement Account or other transferred retirement account.</w:t>
      </w:r>
    </w:p>
    <w:p>
      <w:pPr>
        <w:spacing w:after="0" w:line="189"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You will not be liable for the dishonor of any check when the dishonor occurs because you set off this debt against any of my accounts. I agree to hold you harmless from any such claims arising as a result of your exercise of your right of set-off.</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REAL ESTATE OR RESIDENCE SECURITY: If this note is secured by real estate or a residence that is personal property, the existence of a default and your remedies for such a default will be determined by applicable law, by the terms of any separate instrument creating the security interest and, to the extent not prohibited by law and not contrary to the terms of the separate security instrument, by the "Default" and "Remedies" paragraphs herein.</w:t>
      </w:r>
    </w:p>
    <w:p>
      <w:pPr>
        <w:spacing w:after="0" w:line="198"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DEFAULT: I will be in default if any one or more of the following occur: (1) I fail to make a payment on time or in the amount due; (2) I fail to keep the property insured, if required; (3) I fail to pay, or keep any promise, on any debt or agreement I have with you; (4) any other creditor of mine attempts to collect any debt I owe him through court proceedings; (5) I die, am declared incompetent, make an assignment for the benefit of creditors, or become insolvent (either because my liabilities exceed my assets or I am unable to pay my debts as they become due); (6) I make any written statement or provide any financial information this is untrue or inaccurate at the time it was provided;</w:t>
      </w:r>
    </w:p>
    <w:p>
      <w:pPr>
        <w:spacing w:after="0" w:line="1" w:lineRule="exact"/>
        <w:rPr>
          <w:sz w:val="20"/>
          <w:szCs w:val="20"/>
          <w:color w:val="auto"/>
        </w:rPr>
      </w:pPr>
    </w:p>
    <w:p>
      <w:pPr>
        <w:ind w:right="2199" w:firstLine="3"/>
        <w:spacing w:after="0" w:line="256" w:lineRule="auto"/>
        <w:tabs>
          <w:tab w:leader="none" w:pos="4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do or fail to do something which causes you to believe that you will have difficulty collecting the amount I owe you; (8) any collateral securing this note is used in a manner or for a purpose which threatens confiscation by a legal authority; (9) I change my name or assume an additional name without first notifying you before making such a change; (10) I fail to plant, cultivate and harvest crops in due season if I am a producer of crops; (11) any loan proceeds are used for a purpose that will contribute to excessive erosion of highly erodible land or to the conversion of wetlands to produce an agricultural commodity, as further explained in 7 C.F.R. Part 1840, Subpart G, Exhibit M.</w:t>
      </w:r>
    </w:p>
    <w:p>
      <w:pPr>
        <w:spacing w:after="0" w:line="187"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REMEDIES: If I am in default on this note you have, but are not limited to, the following remedies:</w:t>
      </w:r>
    </w:p>
    <w:p>
      <w:pPr>
        <w:spacing w:after="0" w:line="199" w:lineRule="exact"/>
        <w:rPr>
          <w:sz w:val="20"/>
          <w:szCs w:val="20"/>
          <w:color w:val="auto"/>
        </w:rPr>
      </w:pPr>
    </w:p>
    <w:p>
      <w:pPr>
        <w:ind w:right="3299" w:firstLine="3"/>
        <w:spacing w:after="0" w:line="262" w:lineRule="auto"/>
        <w:tabs>
          <w:tab w:leader="none" w:pos="4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may demand immediate payment of all I owe you under this note (principal, accrued unpaid interest and other accrued charges).</w:t>
      </w:r>
    </w:p>
    <w:p>
      <w:pPr>
        <w:spacing w:after="0" w:line="177" w:lineRule="exact"/>
        <w:rPr>
          <w:rFonts w:ascii="Courier New" w:cs="Courier New" w:eastAsia="Courier New" w:hAnsi="Courier New"/>
          <w:sz w:val="16"/>
          <w:szCs w:val="16"/>
          <w:color w:val="auto"/>
        </w:rPr>
      </w:pPr>
    </w:p>
    <w:p>
      <w:pPr>
        <w:ind w:left="400" w:hanging="397"/>
        <w:spacing w:after="0"/>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may set off this debt against any right I have to the payment of money</w:t>
      </w:r>
    </w:p>
    <w:p>
      <w:pPr>
        <w:sectPr>
          <w:pgSz w:w="11900" w:h="16911" w:orient="portrait"/>
          <w:cols w:equalWidth="0" w:num="1">
            <w:col w:w="10219"/>
          </w:cols>
          <w:pgMar w:left="240" w:top="334"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from you, subject to the terms of the "Set-Off" paragraph herein.</w:t>
      </w:r>
    </w:p>
    <w:p>
      <w:pPr>
        <w:spacing w:after="0" w:line="198" w:lineRule="exact"/>
        <w:rPr>
          <w:sz w:val="20"/>
          <w:szCs w:val="20"/>
          <w:color w:val="auto"/>
        </w:rPr>
      </w:pPr>
    </w:p>
    <w:p>
      <w:pPr>
        <w:ind w:right="300" w:firstLine="3"/>
        <w:spacing w:after="0" w:line="262" w:lineRule="auto"/>
        <w:tabs>
          <w:tab w:leader="none" w:pos="4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may demand security, additional security, or additional parties to be obligated to pay this note as a condition for not using any other remedy.</w:t>
      </w:r>
    </w:p>
    <w:p>
      <w:pPr>
        <w:spacing w:after="0" w:line="177" w:lineRule="exact"/>
        <w:rPr>
          <w:rFonts w:ascii="Courier New" w:cs="Courier New" w:eastAsia="Courier New" w:hAnsi="Courier New"/>
          <w:sz w:val="16"/>
          <w:szCs w:val="16"/>
          <w:color w:val="auto"/>
        </w:rPr>
      </w:pPr>
    </w:p>
    <w:p>
      <w:pPr>
        <w:ind w:left="400" w:hanging="397"/>
        <w:spacing w:after="0"/>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may refuse to make advances to me or allow purchases on credit by me.</w:t>
      </w:r>
    </w:p>
    <w:p>
      <w:pPr>
        <w:spacing w:after="0" w:line="192"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may use any remedy you have under state or federal law.</w:t>
      </w:r>
    </w:p>
    <w:p>
      <w:pPr>
        <w:spacing w:after="0" w:line="198" w:lineRule="exact"/>
        <w:rPr>
          <w:sz w:val="20"/>
          <w:szCs w:val="20"/>
          <w:color w:val="auto"/>
        </w:rPr>
      </w:pPr>
    </w:p>
    <w:p>
      <w:pPr>
        <w:spacing w:after="0" w:line="238" w:lineRule="auto"/>
        <w:rPr>
          <w:sz w:val="20"/>
          <w:szCs w:val="20"/>
          <w:color w:val="auto"/>
        </w:rPr>
      </w:pPr>
      <w:r>
        <w:rPr>
          <w:rFonts w:ascii="Courier New" w:cs="Courier New" w:eastAsia="Courier New" w:hAnsi="Courier New"/>
          <w:sz w:val="17"/>
          <w:szCs w:val="17"/>
          <w:color w:val="auto"/>
        </w:rPr>
        <w:t>By selecting any one or more of these remedies you do not give up your right to later use any other remedy. By waiving your right to declare an event to be a default, you do not waive your right to later consider the event as a default if it continues or happens again.</w:t>
      </w:r>
    </w:p>
    <w:p>
      <w:pPr>
        <w:spacing w:after="0" w:line="200"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COLLECTION COSTS AND ATTORNEY'S FEES: I agree to pay all costs of collection, replevin or any other similar type of cost if I am in default. In addition, if you hire an attorney to collect this note, I also agree to pay any fee you incur with such attorney plus court costs (except where prohibited by law). To the extent permitted by the United States Bankruptcy Code, I also agree to pay the reasonable attorney's fees and costs you incur to collect this debt as awarded by any court exercising jurisdiction under the Bankruptcy Code.</w:t>
      </w:r>
    </w:p>
    <w:p>
      <w:pPr>
        <w:spacing w:after="0" w:line="199" w:lineRule="exact"/>
        <w:rPr>
          <w:sz w:val="20"/>
          <w:szCs w:val="20"/>
          <w:color w:val="auto"/>
        </w:rPr>
      </w:pPr>
    </w:p>
    <w:p>
      <w:pPr>
        <w:ind w:right="500"/>
        <w:spacing w:after="0" w:line="236" w:lineRule="auto"/>
        <w:rPr>
          <w:sz w:val="20"/>
          <w:szCs w:val="20"/>
          <w:color w:val="auto"/>
        </w:rPr>
      </w:pPr>
      <w:r>
        <w:rPr>
          <w:rFonts w:ascii="Courier New" w:cs="Courier New" w:eastAsia="Courier New" w:hAnsi="Courier New"/>
          <w:sz w:val="17"/>
          <w:szCs w:val="17"/>
          <w:color w:val="auto"/>
        </w:rPr>
        <w:t>WAIVER: I give up my rights to require you to do certain things. I will not require you to:</w:t>
      </w:r>
    </w:p>
    <w:p>
      <w:pPr>
        <w:spacing w:after="0" w:line="199" w:lineRule="exact"/>
        <w:rPr>
          <w:sz w:val="20"/>
          <w:szCs w:val="20"/>
          <w:color w:val="auto"/>
        </w:rPr>
      </w:pPr>
    </w:p>
    <w:p>
      <w:pPr>
        <w:ind w:right="100" w:firstLine="3"/>
        <w:spacing w:after="0" w:line="237" w:lineRule="auto"/>
        <w:tabs>
          <w:tab w:leader="none" w:pos="40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payment of amounts due (presentment); (2) obtain official certification of nonpayment (protest); or (3) give notice that amounts due have not been paid (notice of dishonor).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waive any defenses I have based on suretyship or impairment of collateral.</w:t>
      </w:r>
    </w:p>
    <w:p>
      <w:pPr>
        <w:spacing w:after="0" w:line="198"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OBLIGATIONS DEPENDENT: I understand that I must pay this note even if someone else has also agreed to pay it (by, for example, signing this form or a separate guarantee or endorsement). You may sue me alone, or anyone else who is obligated on this note, or any number of us together, to collect this note. You may do so without any notice that it has not been paid (notice of dishonor). You may without notice release any party to this agreement without releasing any other party. If you give up any of your rights, with or without notice, it will not affect my duty to pay this note. Any extension of new credit to any of us, or renewal of this note by all or less than all of us will not release me from my duty to pay it. (Of course, you are entitled to only one payment in full.) I agree that you may at your option extend this note or the debt represented by this note, or any portion of the note or debt, from time to time without limit or notice and for any term without affecting my liability for payment of the note. I will not assign my obligation under this agreement without your prior written approval.</w:t>
      </w:r>
    </w:p>
    <w:p>
      <w:pPr>
        <w:spacing w:after="0" w:line="207" w:lineRule="exact"/>
        <w:rPr>
          <w:sz w:val="20"/>
          <w:szCs w:val="20"/>
          <w:color w:val="auto"/>
        </w:rPr>
      </w:pPr>
    </w:p>
    <w:p>
      <w:pPr>
        <w:spacing w:after="0" w:line="256" w:lineRule="auto"/>
        <w:rPr>
          <w:sz w:val="20"/>
          <w:szCs w:val="20"/>
          <w:color w:val="auto"/>
        </w:rPr>
      </w:pPr>
      <w:r>
        <w:rPr>
          <w:rFonts w:ascii="Courier New" w:cs="Courier New" w:eastAsia="Courier New" w:hAnsi="Courier New"/>
          <w:sz w:val="16"/>
          <w:szCs w:val="16"/>
          <w:color w:val="auto"/>
        </w:rPr>
        <w:t>CREDIT INFORMATION: I agree and authorize you to obtain credit information about me from time to time (for example, by requesting a credit record) and to report to others your credit experience with me (such as a credit reporting agency). I agree to provide you, upon request, any financial statement or information you may deem necessary. I warrant that the financial statements and information I provide to you are or will be accurate, correct and complete.</w:t>
      </w:r>
    </w:p>
    <w:p>
      <w:pPr>
        <w:spacing w:after="0" w:line="189"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NOTICE: Unless otherwise required by law, any notice to me shall be given by delivering it or by mailing it first class mail addressed to me at my last known address. My current address is on page 1. I agree to inform you in writing of any change in my address. I will give any notice to you by mailing it first class to your address stated on page 1 of this agreement, or to any other address that you have designated.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DATE OF</w:t>
            </w:r>
          </w:p>
        </w:tc>
        <w:tc>
          <w:tcPr>
            <w:tcW w:w="760" w:type="dxa"/>
            <w:vAlign w:val="bottom"/>
          </w:tcPr>
          <w:p>
            <w:pPr>
              <w:spacing w:after="0"/>
              <w:rPr>
                <w:sz w:val="16"/>
                <w:szCs w:val="16"/>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PRINCIPAL</w:t>
            </w: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BORROWER'S</w:t>
            </w: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PRINCIPAL</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PRINCIPAL</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w w:val="95"/>
              </w:rPr>
              <w:t>INTEREST</w:t>
            </w:r>
          </w:p>
        </w:tc>
      </w:tr>
      <w:tr>
        <w:trPr>
          <w:trHeight w:val="193"/>
        </w:trPr>
        <w:tc>
          <w:tcPr>
            <w:tcW w:w="14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w w:val="96"/>
              </w:rPr>
              <w:t>TRANSACTION</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ADVANCE</w:t>
            </w: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INITIALS</w:t>
            </w: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PAYMENTS</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BALANCE</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RATE</w:t>
            </w:r>
          </w:p>
        </w:tc>
      </w:tr>
      <w:tr>
        <w:trPr>
          <w:trHeight w:val="193"/>
        </w:trPr>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(not required)</w:t>
            </w: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85"/>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193"/>
        </w:trPr>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INTEREST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INTEREST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PAYMENTS</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PAID</w:t>
            </w:r>
          </w:p>
        </w:tc>
        <w:tc>
          <w:tcPr>
            <w:tcW w:w="240" w:type="dxa"/>
            <w:vAlign w:val="bottom"/>
          </w:tcPr>
          <w:p>
            <w:pPr>
              <w:spacing w:after="0"/>
              <w:rPr>
                <w:sz w:val="16"/>
                <w:szCs w:val="16"/>
                <w:color w:val="auto"/>
              </w:rPr>
            </w:pPr>
          </w:p>
        </w:tc>
      </w:tr>
      <w:tr>
        <w:trPr>
          <w:trHeight w:val="193"/>
        </w:trPr>
        <w:tc>
          <w:tcPr>
            <w:tcW w:w="10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THROUGH:</w:t>
            </w:r>
          </w:p>
        </w:tc>
      </w:tr>
      <w:tr>
        <w:trPr>
          <w:trHeight w:val="385"/>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 2 of 2</w:t>
      </w:r>
    </w:p>
    <w:p>
      <w:pPr>
        <w:spacing w:after="0" w:line="6" w:lineRule="exact"/>
        <w:rPr>
          <w:sz w:val="20"/>
          <w:szCs w:val="20"/>
          <w:color w:val="auto"/>
        </w:rPr>
      </w:pPr>
    </w:p>
    <w:p>
      <w:pPr>
        <w:ind w:left="1600"/>
        <w:spacing w:after="0"/>
        <w:tabs>
          <w:tab w:leader="none" w:pos="2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2">
            <w:col w:w="8020" w:space="400"/>
            <w:col w:w="3100"/>
          </w:cols>
          <w:pgMar w:left="240" w:top="136" w:right="139" w:bottom="725" w:gutter="0" w:footer="0" w:header="0"/>
        </w:sectPr>
      </w:pPr>
    </w:p>
    <w:bookmarkStart w:id="27" w:name="page28"/>
    <w:bookmarkEnd w:id="27"/>
    <w:p>
      <w:pPr>
        <w:jc w:val="right"/>
        <w:spacing w:after="0"/>
        <w:rPr>
          <w:sz w:val="20"/>
          <w:szCs w:val="20"/>
          <w:color w:val="auto"/>
        </w:rPr>
      </w:pPr>
      <w:r>
        <w:rPr>
          <w:rFonts w:ascii="Arial" w:cs="Arial" w:eastAsia="Arial" w:hAnsi="Arial"/>
          <w:sz w:val="17"/>
          <w:szCs w:val="17"/>
          <w:color w:val="auto"/>
        </w:rPr>
        <w:t>EXHIBIT 99.1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CERTIFICATION OF THE CHIEF EXECUTIVE OFFICER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18 U.S.C. SECTION 1350,</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8"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ending November 2, 2002 as filed with the Securities and Exchange Commission on the date hereof (the “Report”), I, James B. Morgan,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7"/>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1" w:lineRule="exact"/>
        <w:rPr>
          <w:rFonts w:ascii="Arial" w:cs="Arial" w:eastAsia="Arial" w:hAnsi="Arial"/>
          <w:sz w:val="17"/>
          <w:szCs w:val="17"/>
          <w:color w:val="auto"/>
        </w:rPr>
      </w:pPr>
    </w:p>
    <w:p>
      <w:pPr>
        <w:ind w:left="340" w:right="140" w:hanging="337"/>
        <w:spacing w:after="0" w:line="273"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as of November 2, 2002 (the last date of the period covered by the Report).</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7"/>
          <w:szCs w:val="17"/>
          <w:u w:val="single" w:color="auto"/>
          <w:color w:val="auto"/>
        </w:rPr>
        <w:t>/s/ JAMES B. MORGAN</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James B. Morgan</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November 29, 2002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7"/>
          <w:szCs w:val="17"/>
          <w:color w:val="auto"/>
        </w:rPr>
        <w:t>EXHIBIT 99.2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CERTIFICATION OF THE CHIEF FINANCIAL OFFICER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18 U.S.C. SECTION 1350,</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ending November 2, 2002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65" w:lineRule="exact"/>
        <w:rPr>
          <w:sz w:val="20"/>
          <w:szCs w:val="20"/>
          <w:color w:val="auto"/>
        </w:rPr>
      </w:pPr>
    </w:p>
    <w:p>
      <w:pPr>
        <w:ind w:left="340" w:hanging="337"/>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1" w:lineRule="exact"/>
        <w:rPr>
          <w:rFonts w:ascii="Arial" w:cs="Arial" w:eastAsia="Arial" w:hAnsi="Arial"/>
          <w:sz w:val="17"/>
          <w:szCs w:val="17"/>
          <w:color w:val="auto"/>
        </w:rPr>
      </w:pPr>
    </w:p>
    <w:p>
      <w:pPr>
        <w:ind w:left="340" w:right="140" w:hanging="337"/>
        <w:spacing w:after="0" w:line="273"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as of November 2, 2002 (the last date of the period covered by the Report).</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7"/>
          <w:szCs w:val="17"/>
          <w:u w:val="single" w:color="auto"/>
          <w:color w:val="auto"/>
        </w:rPr>
        <w:t>/s/ WILLIAM R. RETTERATH</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William R. Retterath</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Financial Officer</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November 29,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abstractNum>
  <w:abstractNum w:abstractNumId="1">
    <w:nsid w:val="216231B"/>
    <w:multiLevelType w:val="hybridMultilevel"/>
    <w:lvl w:ilvl="0">
      <w:lvlJc w:val="left"/>
      <w:lvlText w:val="(%1)"/>
      <w:numFmt w:val="lowerLetter"/>
      <w:start w:val="2"/>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lvl w:ilvl="1">
      <w:lvlJc w:val="left"/>
      <w:lvlText w:val="%2)"/>
      <w:numFmt w:val="lowerLetter"/>
      <w:start w:val="1"/>
    </w:lvl>
  </w:abstractNum>
  <w:abstractNum w:abstractNumId="6">
    <w:nsid w:val="3352255A"/>
    <w:multiLevelType w:val="hybridMultilevel"/>
    <w:lvl w:ilvl="0">
      <w:lvlJc w:val="left"/>
      <w:lvlText w:val="%1."/>
      <w:numFmt w:val="decimal"/>
      <w:start w:val="5"/>
    </w:lvl>
    <w:lvl w:ilvl="1">
      <w:lvlJc w:val="left"/>
      <w:lvlText w:val="%2)"/>
      <w:numFmt w:val="lowerLetter"/>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lvl w:ilvl="1">
      <w:lvlJc w:val="left"/>
      <w:lvlText w:val="%2)"/>
      <w:numFmt w:val="lowerLetter"/>
      <w:start w:val="1"/>
    </w:lvl>
  </w:abstractNum>
  <w:abstractNum w:abstractNumId="9">
    <w:nsid w:val="7FDCC233"/>
    <w:multiLevelType w:val="hybridMultilevel"/>
    <w:lvl w:ilvl="0">
      <w:lvlJc w:val="left"/>
      <w:lvlText w:val="%1."/>
      <w:numFmt w:val="decimal"/>
      <w:start w:val="5"/>
    </w:lvl>
    <w:lvl w:ilvl="1">
      <w:lvlJc w:val="left"/>
      <w:lvlText w:val="%2)"/>
      <w:numFmt w:val="lowerLetter"/>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7"/>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3"/>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2019-12-14T02:54:25Z</dcterms:created>
  <dcterms:modified xsi:type="dcterms:W3CDTF">2019-12-14T02:54:25Z</dcterms:modified>
</cp:coreProperties>
</file>