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3" w:lineRule="exact"/>
        <w:rPr>
          <w:sz w:val="24"/>
          <w:szCs w:val="24"/>
          <w:color w:val="auto"/>
        </w:rPr>
      </w:pPr>
    </w:p>
    <w:p>
      <w:pPr>
        <w:jc w:val="center"/>
        <w:ind w:right="2220"/>
        <w:spacing w:after="0"/>
        <w:rPr>
          <w:sz w:val="20"/>
          <w:szCs w:val="20"/>
          <w:color w:val="auto"/>
        </w:rPr>
      </w:pP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Fiscal Year Ended May 2, 2026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001-38747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74295</wp:posOffset>
            </wp:positionV>
            <wp:extent cx="109728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Daktronics,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3680" w:type="dxa"/>
            <w:vAlign w:val="bottom"/>
            <w:tcBorders>
              <w:bottom w:val="single" w:sz="8" w:color="auto"/>
            </w:tcBorders>
          </w:tcPr>
          <w:p>
            <w:pPr>
              <w:jc w:val="center"/>
              <w:ind w:left="181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8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jc w:val="right"/>
              <w:ind w:right="2293"/>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10"/>
        </w:trPr>
        <w:tc>
          <w:tcPr>
            <w:tcW w:w="55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00" w:type="dxa"/>
            <w:vAlign w:val="bottom"/>
          </w:tcPr>
          <w:p>
            <w:pPr>
              <w:jc w:val="center"/>
              <w:ind w:right="1033"/>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10"/>
        </w:trPr>
        <w:tc>
          <w:tcPr>
            <w:tcW w:w="3680" w:type="dxa"/>
            <w:vAlign w:val="bottom"/>
          </w:tcPr>
          <w:p>
            <w:pPr>
              <w:jc w:val="center"/>
              <w:ind w:left="1813"/>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59"/>
        </w:trPr>
        <w:tc>
          <w:tcPr>
            <w:tcW w:w="3680" w:type="dxa"/>
            <w:vAlign w:val="bottom"/>
            <w:tcBorders>
              <w:bottom w:val="single" w:sz="8" w:color="auto"/>
            </w:tcBorders>
          </w:tcPr>
          <w:p>
            <w:pPr>
              <w:jc w:val="center"/>
              <w:ind w:left="1813"/>
              <w:spacing w:after="0"/>
              <w:rPr>
                <w:sz w:val="20"/>
                <w:szCs w:val="20"/>
                <w:color w:val="auto"/>
              </w:rPr>
            </w:pPr>
            <w:r>
              <w:rPr>
                <w:rFonts w:ascii="Times New Roman" w:cs="Times New Roman" w:eastAsia="Times New Roman" w:hAnsi="Times New Roman"/>
                <w:sz w:val="18"/>
                <w:szCs w:val="18"/>
                <w:b w:val="1"/>
                <w:bCs w:val="1"/>
                <w:color w:val="auto"/>
                <w:w w:val="99"/>
              </w:rPr>
              <w:t>Brookings, SD</w:t>
            </w:r>
          </w:p>
        </w:tc>
        <w:tc>
          <w:tcPr>
            <w:tcW w:w="8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500" w:type="dxa"/>
            <w:vAlign w:val="bottom"/>
            <w:tcBorders>
              <w:bottom w:val="single" w:sz="8" w:color="auto"/>
            </w:tcBorders>
          </w:tcPr>
          <w:p>
            <w:pPr>
              <w:jc w:val="right"/>
              <w:ind w:right="2493"/>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10"/>
        </w:trPr>
        <w:tc>
          <w:tcPr>
            <w:tcW w:w="55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00" w:type="dxa"/>
            <w:vAlign w:val="bottom"/>
          </w:tcPr>
          <w:p>
            <w:pPr>
              <w:jc w:val="center"/>
              <w:ind w:right="1033"/>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29"/>
        </w:trPr>
        <w:tc>
          <w:tcPr>
            <w:tcW w:w="3680" w:type="dxa"/>
            <w:vAlign w:val="bottom"/>
          </w:tcPr>
          <w:p>
            <w:pPr>
              <w:spacing w:after="0"/>
              <w:rPr>
                <w:sz w:val="24"/>
                <w:szCs w:val="24"/>
                <w:color w:val="auto"/>
              </w:rPr>
            </w:pPr>
          </w:p>
        </w:tc>
        <w:tc>
          <w:tcPr>
            <w:tcW w:w="3080" w:type="dxa"/>
            <w:vAlign w:val="bottom"/>
            <w:gridSpan w:val="4"/>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500" w:type="dxa"/>
            <w:vAlign w:val="bottom"/>
          </w:tcPr>
          <w:p>
            <w:pPr>
              <w:spacing w:after="0"/>
              <w:rPr>
                <w:sz w:val="24"/>
                <w:szCs w:val="24"/>
                <w:color w:val="auto"/>
              </w:rPr>
            </w:pPr>
          </w:p>
        </w:tc>
      </w:tr>
      <w:tr>
        <w:trPr>
          <w:trHeight w:val="210"/>
        </w:trPr>
        <w:tc>
          <w:tcPr>
            <w:tcW w:w="3680" w:type="dxa"/>
            <w:vAlign w:val="bottom"/>
          </w:tcPr>
          <w:p>
            <w:pPr>
              <w:spacing w:after="0"/>
              <w:rPr>
                <w:sz w:val="18"/>
                <w:szCs w:val="18"/>
                <w:color w:val="auto"/>
              </w:rPr>
            </w:pPr>
          </w:p>
        </w:tc>
        <w:tc>
          <w:tcPr>
            <w:tcW w:w="7580" w:type="dxa"/>
            <w:vAlign w:val="bottom"/>
            <w:gridSpan w:val="5"/>
          </w:tcPr>
          <w:p>
            <w:pPr>
              <w:jc w:val="center"/>
              <w:ind w:right="3613"/>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97"/>
        </w:trPr>
        <w:tc>
          <w:tcPr>
            <w:tcW w:w="3680" w:type="dxa"/>
            <w:vAlign w:val="bottom"/>
          </w:tcPr>
          <w:p>
            <w:pPr>
              <w:spacing w:after="0"/>
              <w:rPr>
                <w:sz w:val="24"/>
                <w:szCs w:val="24"/>
                <w:color w:val="auto"/>
              </w:rPr>
            </w:pPr>
          </w:p>
        </w:tc>
        <w:tc>
          <w:tcPr>
            <w:tcW w:w="7580" w:type="dxa"/>
            <w:vAlign w:val="bottom"/>
            <w:gridSpan w:val="5"/>
          </w:tcPr>
          <w:p>
            <w:pPr>
              <w:jc w:val="center"/>
              <w:ind w:right="3593"/>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28"/>
        </w:trPr>
        <w:tc>
          <w:tcPr>
            <w:tcW w:w="36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3"/>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r>
      <w:tr>
        <w:trPr>
          <w:trHeight w:val="243"/>
        </w:trPr>
        <w:tc>
          <w:tcPr>
            <w:tcW w:w="3680" w:type="dxa"/>
            <w:vAlign w:val="bottom"/>
            <w:tcBorders>
              <w:left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2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36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$0.00001 per share</w:t>
            </w:r>
          </w:p>
        </w:tc>
        <w:tc>
          <w:tcPr>
            <w:tcW w:w="82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DAKT</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8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jc w:val="both"/>
        <w:ind w:right="20"/>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right="2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73" w:orient="portrait"/>
          <w:cols w:equalWidth="0" w:num="1">
            <w:col w:w="11260"/>
          </w:cols>
          <w:pgMar w:left="320" w:top="229" w:right="319" w:bottom="0" w:gutter="0" w:footer="0" w:header="0"/>
        </w:sectPr>
      </w:pPr>
    </w:p>
    <w:p>
      <w:pPr>
        <w:spacing w:after="0" w:line="92"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434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96" w:lineRule="exact"/>
        <w:rPr>
          <w:sz w:val="24"/>
          <w:szCs w:val="24"/>
          <w:color w:val="auto"/>
        </w:rPr>
      </w:pPr>
    </w:p>
    <w:p>
      <w:pPr>
        <w:sectPr>
          <w:pgSz w:w="11900" w:h="16873" w:orient="portrait"/>
          <w:cols w:equalWidth="0" w:num="2">
            <w:col w:w="4920" w:space="720"/>
            <w:col w:w="5620"/>
          </w:cols>
          <w:pgMar w:left="320" w:top="229" w:right="319" w:bottom="0" w:gutter="0" w:footer="0" w:header="0"/>
          <w:type w:val="continuous"/>
        </w:sect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3660"/>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1" w:lineRule="exact"/>
        <w:rPr>
          <w:sz w:val="24"/>
          <w:szCs w:val="24"/>
          <w:color w:val="auto"/>
        </w:rPr>
      </w:pPr>
    </w:p>
    <w:p>
      <w:pPr>
        <w:sectPr>
          <w:pgSz w:w="11900" w:h="16873" w:orient="portrait"/>
          <w:cols w:equalWidth="0" w:num="2">
            <w:col w:w="4920" w:space="720"/>
            <w:col w:w="5620"/>
          </w:cols>
          <w:pgMar w:left="320" w:top="229" w:right="319" w:bottom="0" w:gutter="0" w:footer="0" w:header="0"/>
          <w:type w:val="continuous"/>
        </w:sectPr>
      </w:pPr>
    </w:p>
    <w:p>
      <w:pPr>
        <w:ind w:left="56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73" w:orient="portrait"/>
          <w:cols w:equalWidth="0" w:num="1">
            <w:col w:w="11260"/>
          </w:cols>
          <w:pgMar w:left="320" w:top="229" w:right="319" w:bottom="0" w:gutter="0" w:footer="0" w:header="0"/>
          <w:type w:val="continuous"/>
        </w:sectPr>
      </w:pPr>
    </w:p>
    <w:p>
      <w:pPr>
        <w:spacing w:after="0" w:line="241"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4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6" w:lineRule="exact"/>
        <w:rPr>
          <w:sz w:val="24"/>
          <w:szCs w:val="24"/>
          <w:color w:val="auto"/>
        </w:rPr>
      </w:pPr>
    </w:p>
    <w:p>
      <w:pPr>
        <w:jc w:val="both"/>
        <w:ind w:right="4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errors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as of the last business day of the registrant’s most recently completed second quarter (October 31, 2025), computed by reference to the closing sales price of the registrant’s common stock on The Nasdaq Global Select Market on such date, was approximately $867,125,359. For purposes of determining this number, the registrant has assumed that all executive officers, directors, and individual stockholders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ectPr>
          <w:pgSz w:w="11900" w:h="16873" w:orient="portrait"/>
          <w:cols w:equalWidth="0" w:num="1">
            <w:col w:w="11260"/>
          </w:cols>
          <w:pgMar w:left="320" w:top="229" w:right="31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The number of shares of the Registrant’s common stock outstanding as of June 15, 2026 was 48,284,844.</w:t>
      </w:r>
    </w:p>
    <w:p>
      <w:pPr>
        <w:spacing w:after="0" w:line="11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2026 Annual Meeting of Stockholders are incorporated by reference into Part III of this Annual Report on Form 10-K, where indicated. Such definitive proxy statement will be filed with the U.S. Securities and Exchange Commission no later than 120 days after the conclusion of the registrant’s fiscal year ended May 2, 2026.</w:t>
      </w:r>
    </w:p>
    <w:p>
      <w:pPr>
        <w:spacing w:after="0" w:line="112" w:lineRule="exact"/>
        <w:rPr>
          <w:sz w:val="20"/>
          <w:szCs w:val="20"/>
          <w:color w:val="auto"/>
        </w:rPr>
      </w:pPr>
    </w:p>
    <w:p>
      <w:pPr>
        <w:ind w:left="20"/>
        <w:spacing w:after="0"/>
        <w:tabs>
          <w:tab w:leader="none" w:pos="4340" w:val="left"/>
          <w:tab w:leader="none" w:pos="8780" w:val="left"/>
        </w:tabs>
        <w:rPr>
          <w:sz w:val="20"/>
          <w:szCs w:val="20"/>
          <w:color w:val="auto"/>
        </w:rPr>
      </w:pPr>
      <w:r>
        <w:rPr>
          <w:rFonts w:ascii="Times New Roman" w:cs="Times New Roman" w:eastAsia="Times New Roman" w:hAnsi="Times New Roman"/>
          <w:sz w:val="18"/>
          <w:szCs w:val="18"/>
          <w:color w:val="auto"/>
        </w:rPr>
        <w:t>Auditor Name: Deloitte &amp; Touche LLP</w:t>
      </w:r>
      <w:r>
        <w:rPr>
          <w:sz w:val="20"/>
          <w:szCs w:val="20"/>
          <w:color w:val="auto"/>
        </w:rPr>
        <w:tab/>
      </w:r>
      <w:r>
        <w:rPr>
          <w:rFonts w:ascii="Times New Roman" w:cs="Times New Roman" w:eastAsia="Times New Roman" w:hAnsi="Times New Roman"/>
          <w:sz w:val="18"/>
          <w:szCs w:val="18"/>
          <w:color w:val="auto"/>
        </w:rPr>
        <w:t>Location: Minneapolis, Minnesota</w:t>
      </w:r>
      <w:r>
        <w:rPr>
          <w:sz w:val="20"/>
          <w:szCs w:val="20"/>
          <w:color w:val="auto"/>
        </w:rPr>
        <w:tab/>
      </w:r>
      <w:r>
        <w:rPr>
          <w:rFonts w:ascii="Times New Roman" w:cs="Times New Roman" w:eastAsia="Times New Roman" w:hAnsi="Times New Roman"/>
          <w:sz w:val="17"/>
          <w:szCs w:val="17"/>
          <w:color w:val="auto"/>
        </w:rPr>
        <w:t>Auditor Firm ID: PCAOB No.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May 2,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0" w:type="dxa"/>
            <w:vAlign w:val="bottom"/>
          </w:tcPr>
          <w:p>
            <w:pPr>
              <w:spacing w:after="0"/>
              <w:rPr>
                <w:sz w:val="19"/>
                <w:szCs w:val="19"/>
                <w:color w:val="auto"/>
              </w:rPr>
            </w:pPr>
          </w:p>
        </w:tc>
        <w:tc>
          <w:tcPr>
            <w:tcW w:w="106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4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1A.</w:t>
            </w:r>
          </w:p>
        </w:tc>
        <w:tc>
          <w:tcPr>
            <w:tcW w:w="340" w:type="dxa"/>
            <w:vAlign w:val="bottom"/>
            <w:gridSpan w:val="2"/>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1B.</w:t>
            </w:r>
          </w:p>
        </w:tc>
        <w:tc>
          <w:tcPr>
            <w:tcW w:w="340" w:type="dxa"/>
            <w:vAlign w:val="bottom"/>
            <w:gridSpan w:val="2"/>
          </w:tcPr>
          <w:p>
            <w:pPr>
              <w:spacing w:after="0"/>
              <w:rPr>
                <w:sz w:val="21"/>
                <w:szCs w:val="21"/>
                <w:color w:val="auto"/>
              </w:rPr>
            </w:pP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720" w:type="dxa"/>
            <w:vAlign w:val="bottom"/>
            <w:gridSpan w:val="13"/>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1C.</w:t>
            </w:r>
          </w:p>
        </w:tc>
        <w:tc>
          <w:tcPr>
            <w:tcW w:w="360" w:type="dxa"/>
            <w:vAlign w:val="bottom"/>
            <w:gridSpan w:val="3"/>
          </w:tcPr>
          <w:p>
            <w:pPr>
              <w:spacing w:after="0"/>
              <w:rPr>
                <w:sz w:val="21"/>
                <w:szCs w:val="21"/>
                <w:color w:val="auto"/>
              </w:rPr>
            </w:pPr>
          </w:p>
        </w:tc>
        <w:tc>
          <w:tcPr>
            <w:tcW w:w="1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060" w:type="dxa"/>
            <w:vAlign w:val="bottom"/>
            <w:gridSpan w:val="18"/>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2.</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3.</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w:t>
            </w:r>
          </w:p>
        </w:tc>
        <w:tc>
          <w:tcPr>
            <w:tcW w:w="3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934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OF EQUITY SECURITIES</w:t>
            </w:r>
          </w:p>
        </w:tc>
        <w:tc>
          <w:tcPr>
            <w:tcW w:w="200" w:type="dxa"/>
            <w:vAlign w:val="bottom"/>
            <w:gridSpan w:val="2"/>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6.</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i w:val="1"/>
                <w:iCs w:val="1"/>
                <w:color w:val="0000FF"/>
              </w:rPr>
              <w:t>[Reserved.]</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7.</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7A.</w:t>
            </w:r>
          </w:p>
        </w:tc>
        <w:tc>
          <w:tcPr>
            <w:tcW w:w="340" w:type="dxa"/>
            <w:vAlign w:val="bottom"/>
            <w:gridSpan w:val="2"/>
          </w:tcPr>
          <w:p>
            <w:pPr>
              <w:spacing w:after="0"/>
              <w:rPr>
                <w:sz w:val="21"/>
                <w:szCs w:val="21"/>
                <w:color w:val="auto"/>
              </w:rPr>
            </w:pPr>
          </w:p>
        </w:tc>
        <w:tc>
          <w:tcPr>
            <w:tcW w:w="6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340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8.</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9.</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9A.</w:t>
            </w:r>
          </w:p>
        </w:tc>
        <w:tc>
          <w:tcPr>
            <w:tcW w:w="340" w:type="dxa"/>
            <w:vAlign w:val="bottom"/>
            <w:gridSpan w:val="2"/>
          </w:tcPr>
          <w:p>
            <w:pPr>
              <w:spacing w:after="0"/>
              <w:rPr>
                <w:sz w:val="21"/>
                <w:szCs w:val="21"/>
                <w:color w:val="auto"/>
              </w:rPr>
            </w:pPr>
          </w:p>
        </w:tc>
        <w:tc>
          <w:tcPr>
            <w:tcW w:w="2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940" w:type="dxa"/>
            <w:vAlign w:val="bottom"/>
            <w:gridSpan w:val="14"/>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9B.</w:t>
            </w:r>
          </w:p>
        </w:tc>
        <w:tc>
          <w:tcPr>
            <w:tcW w:w="340" w:type="dxa"/>
            <w:vAlign w:val="bottom"/>
            <w:gridSpan w:val="2"/>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9C.</w:t>
            </w:r>
          </w:p>
        </w:tc>
        <w:tc>
          <w:tcPr>
            <w:tcW w:w="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69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58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8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400" w:type="dxa"/>
            <w:vAlign w:val="bottom"/>
            <w:gridSpan w:val="5"/>
          </w:tcPr>
          <w:p>
            <w:pPr>
              <w:spacing w:after="0"/>
              <w:rPr>
                <w:sz w:val="21"/>
                <w:szCs w:val="21"/>
                <w:color w:val="auto"/>
              </w:rPr>
            </w:pPr>
          </w:p>
        </w:tc>
        <w:tc>
          <w:tcPr>
            <w:tcW w:w="5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740" w:type="dxa"/>
            <w:vAlign w:val="bottom"/>
            <w:gridSpan w:val="8"/>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ITEM 12.</w:t>
            </w:r>
          </w:p>
        </w:tc>
        <w:tc>
          <w:tcPr>
            <w:tcW w:w="400" w:type="dxa"/>
            <w:vAlign w:val="bottom"/>
            <w:gridSpan w:val="5"/>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MATTERS</w:t>
            </w:r>
          </w:p>
        </w:tc>
        <w:tc>
          <w:tcPr>
            <w:tcW w:w="8520" w:type="dxa"/>
            <w:vAlign w:val="bottom"/>
            <w:tcBorders>
              <w:top w:val="single" w:sz="8" w:color="0000FF"/>
            </w:tcBorders>
            <w:gridSpan w:val="20"/>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400" w:type="dxa"/>
            <w:vAlign w:val="bottom"/>
            <w:gridSpan w:val="5"/>
          </w:tcPr>
          <w:p>
            <w:pPr>
              <w:spacing w:after="0"/>
              <w:rPr>
                <w:sz w:val="21"/>
                <w:szCs w:val="21"/>
                <w:color w:val="auto"/>
              </w:rPr>
            </w:pPr>
          </w:p>
        </w:tc>
        <w:tc>
          <w:tcPr>
            <w:tcW w:w="77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1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400" w:type="dxa"/>
            <w:vAlign w:val="bottom"/>
            <w:gridSpan w:val="5"/>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400" w:type="dxa"/>
            <w:vAlign w:val="bottom"/>
            <w:gridSpan w:val="5"/>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420" w:type="dxa"/>
            <w:vAlign w:val="bottom"/>
            <w:gridSpan w:val="6"/>
          </w:tcPr>
          <w:p>
            <w:pPr>
              <w:spacing w:after="0"/>
              <w:rPr>
                <w:sz w:val="21"/>
                <w:szCs w:val="21"/>
                <w:color w:val="auto"/>
              </w:rPr>
            </w:pPr>
          </w:p>
        </w:tc>
        <w:tc>
          <w:tcPr>
            <w:tcW w:w="4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5100" w:type="dxa"/>
            <w:vAlign w:val="bottom"/>
            <w:gridSpan w:val="11"/>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460" w:type="dxa"/>
            <w:vAlign w:val="bottom"/>
            <w:gridSpan w:val="7"/>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24"/>
                <w:szCs w:val="24"/>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This Annual Report on Form 10-K (including exhibits and any information incorporated by reference herein) (this “Form 10-K” or this “Report”) contains both historical and forward-looking statements that involve risks, uncertainties and assumptions. As used in this Report, the terms the “Company,” “Daktronics,” “we,” “our,” or “us” mean Daktronics, Inc. and its subsidiaries. The statements contained in this Report that are not purely historical are forward-looking statements within the meaning of Section 27A of the Securities Act of 1933, as amended (the “Securities Act”), and Section 21E of the Securities Exchange Act of 1934, as amended (the “Exchange Act”),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orders, and capital investment projects; (vii.) raw material shortages, lead times and related supply chain disruptions; (viii.) fluctuations in margins; (ix.) the seasonality of our business; (x.) the introduction of new products and technology; (xi.) the amount and frequency of warranty claims; (xii.) our ability to manage the impact that new or adjusted tariffs or trade wars may have on the cost of raw materials and components and our ability to competitively price and sell products; (xiii.) the resolution of litigation contingencies; (xiv.) the timing and magnitude of any acquisitions or dispositions; (xv.) the impact of governmental laws, regulations, and orders; (xvi) disruptions to our business caused by geopolitical events, military actions, war (whether or not declared), work stoppages, natural disasters, or international health emergencies; (xvii) uncertainties related to market and general economic conditions; (xviii) uncertainties related to financing (including changes in interest rates) and our ability to obtain additional financing on terms favorable to us, or at all; (xix) the Company’s potential need to seek additional strategic alternatives, including seeking additional debt or equity capital or other strategic transactions and/or measures; (xx) the Company’s ability to increase cash flow to support the Company’s operating activities and fund its obligations and working capital needs; (xxi) any changes in manufacturing strategies or facilities;</w:t>
      </w:r>
    </w:p>
    <w:p>
      <w:pPr>
        <w:spacing w:after="0" w:line="3" w:lineRule="exact"/>
        <w:rPr>
          <w:sz w:val="20"/>
          <w:szCs w:val="20"/>
          <w:color w:val="auto"/>
        </w:rPr>
      </w:pPr>
    </w:p>
    <w:p>
      <w:pPr>
        <w:jc w:val="both"/>
        <w:ind w:firstLine="8"/>
        <w:spacing w:after="0" w:line="251" w:lineRule="auto"/>
        <w:tabs>
          <w:tab w:leader="none" w:pos="432"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future goodwill impairment charges; and (xxiii) the valuation of investment in and advances to affiliates. The words “may,” “might,” “would,” “could,” “should,” “will,” “expect,” “estimate,” “anticipate,” “believe,” “intend,” “plan,” “forecast,” “project,” “continue,” “outlook,” “focus,” “goal,” “target,” “transform,” “expand,” “execute,” “ongoing,” “improve,” “grow,”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cannot be predicted or quantified, and that actual results may differ materially from those projected in the forward-looking statements as a result of various factors discussed herein, including, but not limited to, those discussed in the section of this Form 10-K entitled “Part I, Item 1A. Risk Factors” and “Part II, Item 7. Management’s Discussion and Analysis of Financial Condition and Results of Operations,” and along with various disclosures in our other reports filed with or furnished to the Securities and Exchange Commission (the "SEC").</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All such forward-looking statements speak only as of the date of this Report. You are cautioned not to place undue reliance on such forward-looking statements. We expressly disclaim any obligation or undertaking to release publicly any updates or revisions to any forward-looking statements contained herein to reflect any change in our expectations with regard thereto or any change in the events, conditions, or circumstances on which any such statement is based.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Daktronics designs, manufactures, and sells electronic display systems and related solutions used in sports, commercial, and transportation applications. The Company’s offerings include standard display products as well as custom-designed and integrated systems that incorporate display hardware, control systems, and software.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product portfolio ranges from small scoreboards and electronic displays to large-scale video display systems deployed in stadiums, arenas, commercial facilities, and other public venues. These systems are often integrated with related technologies, including control, timing, and audio systems, and are used to present real-time data, graphics, animation, and video.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operates a vertically integrated business model that includes marketing and sales, engineering and product design and development, manufacturing, installation, and ongoing customer support. This lifecycle approach allows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support customers from initial system design and installation through long-term maintenance, upgrades, and replacement cycles.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equipment sales and installation, the Company provides services that include technical support, professional services, and software-based solutions that enable customers to operate and manage their display systems.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Daktronics was founded in 1968 in Brookings, South Dakota and became a publicly traded company in 1994.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globally, with manufacturing, sales, and service capabilities that support customers across multiple geographic regions and end markets. We currently employ 2,693 people globally.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are headquartered at 201 Daktronics Dr., Brookings, SD 57006, telephone 605-692-0200. Our Internet address is </w:t>
      </w:r>
      <w:r>
        <w:rPr>
          <w:rFonts w:ascii="Times New Roman" w:cs="Times New Roman" w:eastAsia="Times New Roman" w:hAnsi="Times New Roman"/>
          <w:sz w:val="18"/>
          <w:szCs w:val="18"/>
          <w:i w:val="1"/>
          <w:iCs w:val="1"/>
          <w:color w:val="auto"/>
        </w:rPr>
        <w:t>https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www.daktronics.com.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pursuant to Section 13(a) or 15(d) of the Exchange Act. Daktronics makes available, free of charge on the “Investor Relations” section of our website at https://investor.daktronics.com/, our annual reports on Form 10-K; quarterly reports on Form 10-Q; current reports on Form 8-K; Forms 3, 4 and 5 filed on behalf of directors and executive officers; and any amendments to those reports filed or furnished pursuant to the Exchange Act. Our reports and other information filed with the SEC are made available online as soon as reasonably practicable after such material is electronically filed with, or furnished to, the SEC. Information contained on our website is not deemed to be incorporated by reference into this Report or filed with the SEC.</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Additionally, you may read all of the materials that we file with the SEC by visiting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This site contains reports, proxy and information statements, and other information regarding the Company and other companies that file electronically with the SEC.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Financial information concerning these segments is set forth in this Form 10-K in “Part II, Item 7. Management’s Discussion and Analysis of Financial Condition and Results of Operations” and “Note 3. Segment Reporting” of the Notes to our Consolidated Financial Statements included in this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for large-format digital display systems has evolved from the use of traditional scoreboards and basic electronic displays to integrated visual communication systems that combine hardware, software, and services. Advancements in light emitting diode (“LED”) technology have enabled the development of high-resolution, energy-efficient displays capable of delivering dynamic video, graphics, and data in a wide range of environments.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digital display systems are used across multiple vertical markets, including sports and live events, commercial and advertising, transportation, and other public and private infrastructure applications. These systems are used to inform, entertain, and engage audiences, and increasingly serve as platforms for advertising, real-time information delivery, and enhanced user experience.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Industry demand is supported by continued adoption of digital display technologies, including the ongoing transition from static to digital signage, increasing display resolution and size, and the use of integrated software and control systems to manage content and operations. In addition, the declining cost of display technologies and advancements in manufacturing processes have expanded the accessibility and application of these systems across a broader set of customers and use cases.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engaged in a full range of activities: marketing and sales, engineering and product design and development, manufacturing, technical contracting, professional services, and customer service and support. Each of those activities is described below:</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Our sales force is comprised of direct sales staff and resellers, including AV integrators, located throughout the world supporting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types in both sales and service. We primarily use our direct sales force for large integrated display system sales in professional sports, colleges and universities, and commercial spectacular projects. We also use our direct sales force to sell to out-of-home advertising companies, transportation system operators, and certain high school, park and recreation customers. The majority of our products sold by resellers are standard catalog products such as video boards and dynamic message systems and increasingly include indoor micro-LED configurable display systems. We also utilize resellers outside North America for large integrated system sales where we do not have a direct sales presence. We support our resellers through direct mail, email advertising, social media campaigns, trade journal advertising, product and installation training, trade show exhibitions, and accessibility to our regional sales and service teams and demonstration equipment.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Design and Development. </w:t>
      </w:r>
      <w:r>
        <w:rPr>
          <w:rFonts w:ascii="Times New Roman" w:cs="Times New Roman" w:eastAsia="Times New Roman" w:hAnsi="Times New Roman"/>
          <w:sz w:val="18"/>
          <w:szCs w:val="18"/>
          <w:color w:val="auto"/>
        </w:rPr>
        <w:t>The large format electronic display industry is characterized by ongoing product innovations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developments in technology and complementary services. To remain competitive, we have a tradition of applying engineering resources throughout our business to anticipate and respond rapidly to system needs in the marketplace. We employ and contract with engineers and technicians in the areas of mechanical and electrical design; applications engineering; software design; quality design; and customer and product support. Product managers assigned to each product family assist our sales staff in training and implementing product improvements ensuring each product maintains maximum reliability and serviceability. We employ and contract with process engineers to assist in quality and reliability processing in our product design testing and manufacturing areas. We also make selected investments in and contract with affiliated companies to support and advance technologies and capabilities for our product lines and solutions.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The majority of our products are manufactured in the United States, specifically in South Dakota and Minnesota. We also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facilities in China and Ireland, and plan to open a facility in Mexico in fiscal 2027. We perform component manufacturing, system manufacturing (metal fabrication, electronic assembly, sub-assembly, and final assembly), and testing in-house for most of our products to control quality, improve response time, and maximize cost-effectiveness. Given the cyclical nature of some parts of our business and our dispersed sales geography, we balance and maintain our ability to manufacture the same products across our plants so we can efficiently utilize our capacity and reduce costs. A key strategy of ours is to increase standardization and commonality of parts and manufacturing processes across product lines using product platforms to increase efficiencies. Other strategies include supplier management programs, reduction in complexity focus, and lean manufacturing techniques. For more details on our facilities, see “Part I, Item 2. Properties” in this Form 10-K.</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Technical Contracting. </w:t>
      </w:r>
      <w:r>
        <w:rPr>
          <w:rFonts w:ascii="Times New Roman" w:cs="Times New Roman" w:eastAsia="Times New Roman" w:hAnsi="Times New Roman"/>
          <w:sz w:val="18"/>
          <w:szCs w:val="18"/>
          <w:color w:val="auto"/>
        </w:rPr>
        <w:t>We serve as a technical contractor for larger display system installations requiring custom designs and innovative product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internationally, producing an advantage in bidding and delivering on these projects. We are licensed as a general contractor in many jurisdictions.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To assist our clients’ ability to engage, inform, and entertain their audiences, we provide professional services including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event production curriculum, content creation, product maintenance, marketing assistance, initial and ongoing hardware and software training, control room design, and continuing technical support for operators.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Service and Support. </w:t>
      </w:r>
      <w:r>
        <w:rPr>
          <w:rFonts w:ascii="Times New Roman" w:cs="Times New Roman" w:eastAsia="Times New Roman" w:hAnsi="Times New Roman"/>
          <w:sz w:val="18"/>
          <w:szCs w:val="18"/>
          <w:color w:val="auto"/>
        </w:rPr>
        <w:t>We offer limited warranties on our products, ranging from one to 10 years, against failure due to defective parts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changes in volume of service requests we experience during our seasonal peaks.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two principal components of our systems are the display and the control system,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 system is comprised of various combinations of computer hardware, video processing hardware, and software products designed to compile information provided by the operator and other integrated sources to display information, graphics, video, or animation on the displays. We customize our products according to the design specifications of the customer and the conditions of the environment in which our products function.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offerings fall into two broad categories: (1) various families of digital display hardware systems and (2) the control systems and software that manage and drive those displays. The following product families reflect this 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Audio/Visual Hardware and Digital Media Players</w:t>
      </w:r>
    </w:p>
    <w:p>
      <w:pPr>
        <w:spacing w:after="0" w:line="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displays/video walls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 scoreboard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Message displays and 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(intelligent transportation systems) dynamic message 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Transit displays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billboards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street furniture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 and price displays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Indoor dynamic messaging systems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and Controllers</w:t>
      </w:r>
    </w:p>
    <w:p>
      <w:pPr>
        <w:spacing w:after="0" w:line="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Venus® Control Suite (“VCS”)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Sport Scoring Control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Control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Camino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product families is described below:</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Video Displays/Video Walls. </w:t>
      </w:r>
      <w:r>
        <w:rPr>
          <w:rFonts w:ascii="Times New Roman" w:cs="Times New Roman" w:eastAsia="Times New Roman" w:hAnsi="Times New Roman"/>
          <w:sz w:val="18"/>
          <w:szCs w:val="18"/>
          <w:color w:val="auto"/>
        </w:rPr>
        <w:t>These displays are comprised of a large number of full-color pixels capable of showing various levels of video feeds, pre-rendered graphics, and animated content with Real Time Data capabilities. These displays 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technology.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broad range of indoor and outdoor LED video displays with these varying features. Examples of offerings include centerhung displays, landmark displays, video walls, ribbon board displays, hanging banners, roadside displays, digital billboards, corporate office entrance displays, conference room displays, control room displays, and video displays designed for arenas, stadiums, retail stores, restaurants, malls, transportation hubs, and other similar indoor facilities.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Video displays deliver content that serves as a revenue generation source for our customers through advertising or as an information and entertainment communication medium (such as scoring, statistics, live video, video replays, wayfinding, advertising, and control center information), or provide interior design elements to create luxurious space to feature digital art. These displays are supported by control software, video processing hardware, and proprietary digital media players that enable playback, routing, and management of live video, graphics, and scheduled content.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control components for video displays in live event applications include our Show Control Software Suite, which can integrate newer features like our Camino graphics engine, as well as proprietary digital media players, and video processors. These control components provide capabilities for the display of live video and real-time content on our displays. The Show Control Software Suite can operate an entire network of displays within a venue from a single, intuitive control interface. Its features allow users to instantly deliver media clips, camera feeds, and streaming information to any display in a venue.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Sports Scoreboard Solutions. </w:t>
      </w:r>
      <w:r>
        <w:rPr>
          <w:rFonts w:ascii="Times New Roman" w:cs="Times New Roman" w:eastAsia="Times New Roman" w:hAnsi="Times New Roman"/>
          <w:sz w:val="18"/>
          <w:szCs w:val="18"/>
          <w:color w:val="auto"/>
        </w:rPr>
        <w:t>We provide integrated display systems for indoor and outdoor scoring applications, including fixed-digit scoreboards, video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displays, sound systems, advertising panels, and accents. These systems are used in venues ranging from youth facilities and schools to college and professional venues. Our systems are typically controlled using Daktronics All Sport® scoring controllers and Show Control display control solutions, which are described below in the software and controller section.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LED Message Displays and Signs. </w:t>
      </w:r>
      <w:r>
        <w:rPr>
          <w:rFonts w:ascii="Times New Roman" w:cs="Times New Roman" w:eastAsia="Times New Roman" w:hAnsi="Times New Roman"/>
          <w:sz w:val="18"/>
          <w:szCs w:val="18"/>
          <w:color w:val="auto"/>
        </w:rPr>
        <w:t>The Galaxy® product line is a family of full-matrix displays, available in both indoor and outdoor models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with VCS. Galaxy® displays are full color or monochrome with varying pixel spacing depending on color, size, and viewing distance. Galaxy® displays can display text, graphics and animation, as well as prerecorded video clips. They are used primarily to convey information and on-premise advertising to consumers.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ITS Dynamic Message Signs (“DMS”). </w:t>
      </w:r>
      <w:r>
        <w:rPr>
          <w:rFonts w:ascii="Times New Roman" w:cs="Times New Roman" w:eastAsia="Times New Roman" w:hAnsi="Times New Roman"/>
          <w:sz w:val="18"/>
          <w:szCs w:val="18"/>
          <w:color w:val="auto"/>
        </w:rPr>
        <w:t>DMS products include a wide range of LED displays for road management applications. The Vanguard® family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 message displays is typically used to direct traffic and inform motorists. These displays are used over freeways, on arterial roads, near bridges, at toll booths, and in other locations. We have also developed a Vanguard® control system for these displays to help transportation agencies manage large networks of displays.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Mass Transit Displays. </w:t>
      </w:r>
      <w:r>
        <w:rPr>
          <w:rFonts w:ascii="Times New Roman" w:cs="Times New Roman" w:eastAsia="Times New Roman" w:hAnsi="Times New Roman"/>
          <w:sz w:val="18"/>
          <w:szCs w:val="18"/>
          <w:color w:val="auto"/>
        </w:rPr>
        <w:t>Our Mass Transit products include a wide range of liquid crystal display (“LCD”) and LED display solutions for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applications. Installations often involve a network of displays located on railway platforms, at bus stations, or on concourses within a transportation hub to guide travelers to their intended destination.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Sound Systems. </w:t>
      </w:r>
      <w:r>
        <w:rPr>
          <w:rFonts w:ascii="Times New Roman" w:cs="Times New Roman" w:eastAsia="Times New Roman" w:hAnsi="Times New Roman"/>
          <w:sz w:val="18"/>
          <w:szCs w:val="18"/>
          <w:color w:val="auto"/>
        </w:rPr>
        <w:t>Our sound systems include both standard and custom options. Standard systems are designed to meet the needs of a variety of indoor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 sports venues based on the size and configuration of the facility. Custom indoor and outdoor systems are tailored for larger venues and venues with unique seating configurations and are often integrated into an overall venue solution for scoring, timing, message display, and/or video capability.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Digital Billboards. </w:t>
      </w:r>
      <w:r>
        <w:rPr>
          <w:rFonts w:ascii="Times New Roman" w:cs="Times New Roman" w:eastAsia="Times New Roman" w:hAnsi="Times New Roman"/>
          <w:sz w:val="18"/>
          <w:szCs w:val="18"/>
          <w:color w:val="auto"/>
        </w:rPr>
        <w:t>Our line of digital billboards offers a unique display solution for the Out-of-Home (“OOH”) advertising industry. The products are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display images which change at regular intervals. These systems include many features unique to the outdoor advertising market, such as our patented mounting system, self-adjusting brightness, optimized energy consumption, and enhanced network security.</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Digital Street Furniture. </w:t>
      </w:r>
      <w:r>
        <w:rPr>
          <w:rFonts w:ascii="Times New Roman" w:cs="Times New Roman" w:eastAsia="Times New Roman" w:hAnsi="Times New Roman"/>
          <w:sz w:val="18"/>
          <w:szCs w:val="18"/>
          <w:color w:val="auto"/>
        </w:rPr>
        <w:t>Our digital street furniture displays are pedestrian-level outdoor LED signage solutions used in OOH advertising and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They are typically integrated into urban streetscapes – for example, mounted in bus shelters, sidewalk kiosks, campuses, or transit hubs – to present dynamic advertising or messaging at eye level to people passing by. These displays share robust design features with our other outdoor products: high-brightness LED imaging for clear visibility even in direct sunlight and durable, weather-resistant enclosures to withstand full outdoor conditions. Digital street furniture allows OOH advertisers and other customers to deploy engaging digital content in locations where traditional large billboards may not be practical (such as downtown pedestrian corridors or shopping centers), extending the reach of digital advertising into closer-viewing environments.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Digit and Price Displays. </w:t>
      </w:r>
      <w:r>
        <w:rPr>
          <w:rFonts w:ascii="Times New Roman" w:cs="Times New Roman" w:eastAsia="Times New Roman" w:hAnsi="Times New Roman"/>
          <w:sz w:val="18"/>
          <w:szCs w:val="18"/>
          <w:color w:val="auto"/>
        </w:rPr>
        <w:t>We provide digit-based electronic displays for numeric information such as fuel prices, time, and temperature. Our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in this category is Fuelight™ digital price displays for fuel stations, which use high-brightness LED digits to ensure clear visibility of fuel prices and allow rapid price adjustments via our Fuelink™ control systems. The latest Fuelight™ displays incorporate flexible numeric display features, including a full-matrix digit design that enables multiple fonts and price formats for different branding or regulatory needs. The Fuelink™ control platform supports both handheld and in-store controllers, offering wired or wireless connections and integration with point-of-sale systems to update fuel prices quickly and consistently across one or many signs. We also continue to offer DataTime® time-and-temperature displays, which use electronic digits and sensors to show current time and ambient temperature, typically installed in venues like bank signs or building façades.</w:t>
      </w:r>
    </w:p>
    <w:p>
      <w:pPr>
        <w:spacing w:after="0" w:line="183"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Indoor Dynamic Messaging Systems. </w:t>
      </w:r>
      <w:r>
        <w:rPr>
          <w:rFonts w:ascii="Times New Roman" w:cs="Times New Roman" w:eastAsia="Times New Roman" w:hAnsi="Times New Roman"/>
          <w:sz w:val="18"/>
          <w:szCs w:val="18"/>
          <w:color w:val="auto"/>
        </w:rPr>
        <w:t>Our indoor dynamic messaging solutions consist of networked digital signage systems deployed within interior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environments. These solutions utilize either fine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pitch LED displays or commercial LCD screens to present scheduled digital content, advertising, and informational messaging. The systems are managed and scheduled through our Venus® Control Suite (VCS) software platform, which enables customers to efficiently distribute and update content across single or multiple displays. Our indoor solutions are used across a range of markets, including retail (such as convenience stores), education, corporate environments, transportation and operations centers, and sports and live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entertainment venues, enabling organizations to deliver targeted messaging to audiences within their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Venus® Control Suite (VCS) Software Platform.</w:t>
      </w:r>
      <w:r>
        <w:rPr>
          <w:rFonts w:ascii="Times New Roman" w:cs="Times New Roman" w:eastAsia="Times New Roman" w:hAnsi="Times New Roman"/>
          <w:sz w:val="18"/>
          <w:szCs w:val="18"/>
          <w:color w:val="auto"/>
        </w:rPr>
        <w:t>VCS is a cloud-capable enterprise software platform for digital display management. It provides centralized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content scheduling and device operation across single displays or large networks of displays, deployed on customer premises or via a hosted cloud service. The platform includes scheduling tools that support both playlist-based content playback (configured as ordered loops) and slot-based scheduling models that allocate specific time intervals or percentages of display time across multiple content items or advertisers. These scheduling approaches are used across both OOH and on-premise display applications, depending on customer requirements. VCS provides secure, web-based remote access for configuring displays, scheduling and distributing content, and managing system settings. The platform also supports data integration and network management, enabling customers to incorporate real-time data (such as scores, statistics, and point-of-sale data) into content and to monitor and manage displays across multiple locations through a centralized interface. In applications requiring both scheduled and live content control, VCS can operate in conjunction with the Company’s Show Control system to support both pre-scheduled playback and real-time display updates. Content managed within the platform includes media, scoring, statistics, timing, advertising, wayfinding information, playback loops, and other visualizations.</w:t>
      </w:r>
    </w:p>
    <w:p>
      <w:pPr>
        <w:spacing w:after="0" w:line="2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 Sport Scoring Solutions. </w:t>
      </w:r>
      <w:r>
        <w:rPr>
          <w:rFonts w:ascii="Times New Roman" w:cs="Times New Roman" w:eastAsia="Times New Roman" w:hAnsi="Times New Roman"/>
          <w:sz w:val="18"/>
          <w:szCs w:val="18"/>
          <w:color w:val="auto"/>
        </w:rPr>
        <w:t>We offer scoring control solutions for a range of sports and levels of play through our All Sport family of controllers. The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Sport product line includes console-based controllers and software-based solutions, including All Sport Pro.</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Show Control. </w:t>
      </w:r>
      <w:r>
        <w:rPr>
          <w:rFonts w:ascii="Times New Roman" w:cs="Times New Roman" w:eastAsia="Times New Roman" w:hAnsi="Times New Roman"/>
          <w:sz w:val="18"/>
          <w:szCs w:val="18"/>
          <w:color w:val="auto"/>
        </w:rPr>
        <w:t>Show Control is an integrated software and hardware platform that centralizes control of video displays in sports and entertainment 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enables synchronized, real-time and pre-programmed presentation of multimedia content and event data across multiple display assets to achieve a dynamic, seamless and immersive game-day production.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Camino. </w:t>
      </w:r>
      <w:r>
        <w:rPr>
          <w:rFonts w:ascii="Times New Roman" w:cs="Times New Roman" w:eastAsia="Times New Roman" w:hAnsi="Times New Roman"/>
          <w:sz w:val="18"/>
          <w:szCs w:val="18"/>
          <w:color w:val="auto"/>
        </w:rPr>
        <w:t>Camino is a real-time graphics and content compositing software platform that enables the creation, rendering, and automated playback of 2D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3D data-driven content for live event production and broadcast applications. It integrates with Show Control systems to support synchronized, event-triggered, real-time data visualizations, and multi-display distribution across venues and broadcast environments.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Materials used in the production of our video display and control systems are sourced from around the world. Examples of the materials we use in production include LEDs, integrated circuits, printed circuit boards, power supplies, plastics, aluminum, and steel. We source some of our materials from a single-source or a limited number of suppliers due to the proprietary nature of the materials. The loss of a key supplier, part unavailability, tariff changes, price changes, war, transportation disruptions, or other geopolitical impacts to trade or transport, or defects in the supplied material or component could have an adverse impact on our business and operations. Our sourcing group is responsible for maintaining and implementing strategies to mitigate these evolving risks. Periodically, we enter into pricing agreements or purchasing contracts under which we agree to purchase a minimum amount of product in exchange for guaranteed price terms over the length of the contract, which generally does not exceed one year. We sometimes prepay for future supply.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or hold licenses to use numerous patents, copyrights, and trademarks on a global basis. Our policy is to protect our competitive position by filing United States and international patent applications to protect technology and improvements that we consider important to the development of our business. This will allow us to pursue infringement claims against competitors for protection due to patent violations. Although we own a number of patents and possess rights under others to which we attach importance, we do not believe that our business as a whole is materially dependent upon any such patents or rights. We also own a number of trademarks that we believe are important in connection with the identification of our products and associated goodwill with customers, but no part of our business materially depends on such trademarks.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Our third fiscal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quarter sales and profit levels are generally lower than in other quarters because of the seasonality of our sports business, construction cycles, and the reduced number of production days due to holidays occurring in such quarter.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margins tend to fluctuate more on uniquely configured orders than on limited configured orders. Uniquely configured orders involving competitive bidding and substantial subcontracting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working capital items, see “Part II, Item 7. Management’s Discussion and Analysis of Financial Condition and Results of Operations - Liquidity and Capital Resources”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large and diverse worldwide customer base, ranging from local main street business owners, OOH companies, governmental agencies, and schools, colleges, and universities, to the owners and operators of premier professional sports arenas. Our customers are important to us, and we strive to serve them over the long-term to earn their future business. The loss of one or more customers could have a material adverse effect on us. See “Note 3. Segment Reporting” of the Notes to our Consolidated Financial Statements included in this Form 10-K for our primary markets and customers of each business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metrics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multimillion-dollar projects. Management uses orders to evaluate market share and performance in the competitive environment. Management uses backlog information for capacity and resource planning. Order fulfillment timing is dependent on customer schedules, supply chain conditions, and our capacity availability. We believe order information is useful to investors because it provides an indication of our market share and future revenues.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order backlog as of May 2, 2026 was $356.2 million as compared to $341.6 million as of April 26, 2025. Historically, our backlog varies due to the seasonality of our business, the timing of large projects, and customer delivery schedules for these orders. The increase in backlog is a result of more order bookings with the continued market adoption of digital display technology.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May 2, 2026 within the next 24 months. The timing of backlog fulfillment may be impacted by project delays resulting from factors outside of our control, including customer site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Other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other countries, various laws, regulations, and ordinances related to our products and controllers restrict the installation of outdoor signs and displays, particularly in the commercial and transportation markets. These laws and regulations impose greater restrictions on electronic displays versus non-electronic displays due to alleged concerns over aesthetics or driver safety. Globally, our products are also subject to various regulations and standards including electromagnetic interference, electromagnetic compatibility, electrical safety, and flammability standards. We design and have our products tested for compliance with these regulations; however, these factors may prevent or inhibit us from selling products to some prospective customers in certain geographies.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production processes require the storage, use, and disposal of a variety of hazardous chemicals under applicable 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supply chain and sales distribution channels subject us to various trade compliance regulations. These requirements can include certification of country of origin, classification within the various tariff codes and trade agreements, compliance with other specific product or country import and export regulations; and payment of certain import or export tariffs, duties, or taxes.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to conduct site work, including installations or repairs, require us to comply with environmental rules and regulations, wage requirements, and safety standards. Often, certain contracts require us to have accident prevention programs that provide for frequent and regular inspections of the jobsites, materials, and equipment by qualified persons.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operations subject us to various laws and regulations, including laws and regulations relating to tax compliance, anti-corruption, data privacy, cybersecurity, governance, climate, and disclosure reporting. These requirements vary and can involve matters and processes such as using resources for related expertise and information systems, records management, policy creation and maintenance, data protection programs, compliance filings, control design and testing, and continued training of employees.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subject to regulations restricting the movement and interaction of people and business operations. Countries and states and/or localities in the United States can issue lock down orders impacting the availability of employees, third parties, suppliers, customers, and other services we need to operate our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there is no assurance that existing or future laws applicable to our operations, services or products will not have a material adverse effect on our capital expenditures, results of operations and competitive position, we do not currently anticipate material expenditures for compliance with government regulations. We believe we are in material compliance with government and other regulatory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encounter a wide variety of competitors that vary by product, geographic area, and business unit. Our competitors include both domestic and foreign companies which range in size and product offerings. Our competitors may develop lower-cost or lower-featured products, may be willing to charge lower prices to increase their market share, or include different service and controller offerings. Some competitors have more capital, governmental funding, supply chain access,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digital and mobile, and fixed display signs.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ability to compete depends upon customer-centric product and service quality and features, technical expertise, service breadth, and cost-effective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experience in engineering, process design, product and service design, development capabilities, and investments made in affiliates are very important factors in continuing to develop, produce, and offer the most up-to-date digital displays and control system solutions desired by the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invest in our development and our affiliates to increase differentiated product platforms, advance our software architecture and offerings, support customer requirements, advance new competitive narrow pixel and micro-electronic technologies, and advance sustainable technologies and related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2026, our development teams focused on advancing product features aligned with customer needs and reducing product costs. We focused these efforts on both standard display and control software offerings and in new emerging areas, including micro-LED displays and new software capabilities.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 Management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core values of </w:t>
      </w:r>
      <w:r>
        <w:rPr>
          <w:rFonts w:ascii="Times New Roman" w:cs="Times New Roman" w:eastAsia="Times New Roman" w:hAnsi="Times New Roman"/>
          <w:sz w:val="18"/>
          <w:szCs w:val="18"/>
          <w:i w:val="1"/>
          <w:iCs w:val="1"/>
          <w:color w:val="auto"/>
        </w:rPr>
        <w:t>Honest, Helpful and Humble</w:t>
      </w:r>
      <w:r>
        <w:rPr>
          <w:rFonts w:ascii="Times New Roman" w:cs="Times New Roman" w:eastAsia="Times New Roman" w:hAnsi="Times New Roman"/>
          <w:sz w:val="18"/>
          <w:szCs w:val="18"/>
          <w:color w:val="auto"/>
        </w:rPr>
        <w:t xml:space="preserve"> support our commitment to diversity, equity, and inclusion, which leads to our vision of every person at Daktronics being able to contribute their best every day. We seek to recruit, retain, and develop our existing and future workforce for decades-long engagements to build long-term mutual prosperity. We facilitate Company-wide teams to inspire a more inclusive culture and achieve company goals through teamwork. We encourage each employee to proactively and continuously build self-awareness, an understanding of aspects of diversity, and an openness to others’ experiences and perspectives. We also foster and encourage self-development and a continuous learning environment to build talent.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safety and well-being of our team are a top priority, and we believe each and every team member plays an essential role in creating a safe and healthy workplace. We provide training for safety measures on the job site and in our facilities. We provide our employees and their families with access to a variety of health programs, including benefits that support their physical and mental health.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2, 2026, we employed approximately 2,423 full-time employees and 270 part-time and temporary employees. Of these employees, approximately 1,001 were in manufacturing, 478 were in sales and marketing, 542 were in customer service, 422 were in engineering, and 250 were in general and administrative. None of our employees are represented by a collective bargaining agreement. We believe our relations with our employees are good.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risk and our future results may be affected by a number of factors over which we have little or no control. You should carefully consider the risks and uncertainties described below, together with all of the other information set forth in this Form 10-K and documents incorporated by reference herein, including “Management’s Discussion and Analysis of Financial Condition and Results of Operations” and our Consolidated Financial Statements and related notes, before making a decision to invest in our common stock. The discussion in this Item 1A contains forward-looking statements discussed above.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risks and uncertainties described below may not be the only ones we face. If any of the risks actually occur, our business, operating results, and financial condition could be materially and adversely affected. In that event, the market price of our common stock could decline, and you could lose part or all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Macroeconomic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trade policies and the imposition of tariffs, have affected, and may continue to affect, our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2025 and fiscal 2026, our business, operations, and financial results were impacted by changes in United States import tariff policies and the resulting responses from other countries. Our complex manufacturing processes in the United States, which generate approximately 80 percent of our manufactured output, rely on components and inputs sourced from over 40 countries. China has historically been a significant source of semiconductor-related components, including LEDs, printed circuit boards, and other integrated circuits. In addition, certain jurisdictions, including Canada, have imposed or may impose retaliatory tariffs on United States-origin goods, increasing the cost of exporting our products into those markets. United States tariff rates on these imports have ranged from approximately 10 percent to significantly higher levels, with certain proposed or applied rates substantially exceeding these levels.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certain U.S. tariffs have been struck down by the courts, the United States has subsequently announced additional new tariffs on virtually all nonexempt imports, and the U.S. tariff rate remains elevated. Shifts in tariffs, trade agreements, import and export restrictions, trade sanctions, sector-specific trade barriers, and other governmental trade actions, whether enacted by the United States or other countries, especially those instituted in significant markets or markets where our significant customers or suppliers are located, and the associated uncertainty of long-term trade policies, could impact our sales volume, sales price, and production and other costs.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trade policies may also cause disruptions to material sourcing and availability, global supply chains and logistics, and access to end markets. Additionally, changes in U.S. trade policy and associated responses from trading partners may create shifts in global market dynamics, disrupt the long-term planning process for governments and private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enterprises, and result in continued global financial market volatility. The impact of these changes in trade policies and the resulting trade and market uncertainty could have a negative impact on our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invalidation of certain tariff actions, the Company has submitted, and will continue to submit, tariff recovery claims through the U.S. Customs and Border Protection (“CBP”) Commercial Accounting Program and Enforcement process seeking a refund of tariffs paid pursuant to the International Emergency Economic Powers Act (“IEEPA”). The amount, timing, and realization of any refund or credit remains uncertain and subject to CBP review.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direct tariff costs, our suppliers have incurred tariff-related costs in their own supply chains and the uncertainty of the tariff landscape continues to make these tariff-related costs volatile. Many of our supplies have passed these tariff-related costs to us and these costs may increase in the future. Alternative suppliers may charge higher prices or may not have sufficient capacity or reliability, which could further increase our costs or disrupt supply.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seek to mitigate these impacts through pricing actions, changes in manufacturing locations, supplier diversification, and product redesign, we may not be able to fully offset increased costs or implement such changes on a timely basis. Tariffs and trade policies are expected to continue to evolve, and the United States, other countries, and international trade bodies may institute new tariffs or more restrictive trade policies or remedies. As a result, we may face additional uncertainties and adverse impacts on our business, financial condition, and results of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competitors may benefit from manufacturing or sourcing strategies, including near-shoring or alternative supply chain structures, or may qualify for tariff exemptions or more favorable trade treatment that are not available to us, which could place us at a competitive disadvantage.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Impacts on our business include, but are not limited to: (i) increased raw material and component costs due to tariffs or supply constraints; (ii) disruptions in the availability of components; (iii) challenges in planning and optimizing our global supply chain, leading to increased operating costs and reduced profitability; (iv) delays or reductions in customer orders due to economic uncertainty or tariff-related pricing impacts; and (v) the need to increase prices, which may reduce demand or adversely affect our competitive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conflicts could adversely impact our business and financial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Geopolitical tensions or conflicts in regions where we conduct business, including the Middle East, may result in delays in customer decision-making, project timing, or order activity, and could reduce or disrupt demand in affected markets. To date, we have not experienced material disruptions from certain regional conflicts; however, ongoing uncertainty may negatively impact customer demand, project timing, or execution in these regions in future periods, and may also restrain shipping routes, cause increases in inflation, or result in cyberattacks. We cannot predict the extent to which these factors may affect our business, financial condition, or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sensitive to global economic conditions, including recessions, inflation, and interest rate fluctuations. Weakened global economic or recessionary conditions may materially and adversely affect our industry, business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The United States and other key international economies have experienced downturns and recessions from time to time during which economic activity was impacted by falling demand for a variety of goods and services; restricted credit; reduced liquidity; reduced corporate profitability; volatility in credit, equity and foreign exchange markets; increased unemployment; bankruptcies; and overall economic uncertainty. These conditions affect consumer and entertainment spending and could materially and adversely affect our customers’ ability or willingness to purchase our products, delay prospective customers’ purchasing decisions, reduce the value of their contracts, or affect attrition rates, all of which could adversely affect our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demand fluctuations may reduce our ability to effectively utilize our capacity and negatively impact our results of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global supply chains, and inflationary pressures may increase our input costs faster than our ability to raise prices. In addition, disruptions in global supply chains may limit our ability to obtain parts and components or increase the cost of those inputs. These factors could have a material adverse effect on our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rates applicable to borrowings under our credit agreement with JPMorgan Chase Bank, N.A. are based on variable rate benchmarks, including the Secured Overnight Financing Rate (“SOFR”), or alternative base rates, and are influenced by broader market conditions and monetary policy. As a result, increases in these benchmark rates will increase the cost of borrowings under our credit facility. In addition, we incur commitment fees on unused portions of our revolving credit facility, which may increase our overall financing costs.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Unexpected events, including natural disasters, weather events, wars, terrorist acts, and pandemics, may increase our cost of doing business or disrupt our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manufacturing operations in three locations in the United States, Brookings, South Dakota, Sioux Falls, South Dakota, and Redwood Falls, Minnesota, and we have production facilities in Ireland and China. Additionally, we plan to open a new manufacturing facility in Saltillo, Mexico during fiscal 2027. Unexpected events could result in damage to, and a complete or partial closure of, one or more of our manufacturing facilities, which could make it difficult to manufacture and deliver products to our customers, thereby adversely affecting our business, operating results, or financial condition. Additionally, such events could disrupt our data centers or cloud-based infrastructure, or result in cybersecurity incidents, potentially rendering critical computing processes and systems temporarily unavailable, which may impair our ability to operate effectively.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one or more unexpected events in the United States or in other countries may impact the operations of our suppliers and customers, may disrupt our operations and could create additional uncertainties, forcing customers to reduce, delay, or cancel already planned projects or cause our suppliers not to perform, resulting in parts and component shortages, or disrupt transportation and logistic networks.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We depend on a single-source or a limited number of suppliers for our raw materials and components from countries around the world. The loss, interruption, or material change in our business relationships with our suppliers or in global supply chain conditions may result in a disruption in our supply chains and a substantial increase in the costs of such raw materials and components.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Geopolitical tensions can impact our ability to obtain key materials and components. Such changes can result in extended lead times or supply changes, which could disrupt or delay our scheduled product deliveries to our customers and may result in lost sales and customer relationships and cause harm to our sales, financial condition, and results of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performance and financial condition of a supplier may cause us to alter our business terms with that supplier, cease doing business with that particular supplier, or change our sourcing practices. Our suppliers are subject to fluctuations in global economic cycles and conditions, governmental regulations, and other business risk factors which may impact their ability to operate their businesses. Our supply chain includes semiconductor-type components including LEDs, printed circuit boards, and other integrated circuits, which are sourced or packaged directly or indirectly primarily through suppliers in Taiwan or China. Imports from China to the United States have been subject to increased import/export controls and tariffs, which may increase costs, limit availability of key components, or disrupt our supply chain. Geopolitical tensions, tariff and trade controls, other governmental actions, and shipping disruptions can impact our suppliers’ ability to deliver components and raw materials.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interruption from our suppliers of their supply of raw materials or components could affect our ability to manufacture our products until a new source of supply is located and, therefore, could have a material adverse effect on our business, financial condition, or results of operations. Our suppliers may need to allocate available supply, and we may not be able to obtain parts needed for production. Qualifying new suppliers to compensate for such shortages may be time-consuming and costly and may increase the likelihood of errors in design or production.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reduce manufacturing lead times and plan for adequate component supply, from time to time, we may issue purchase orders or prepay for components and products that are non-cancelable and non-returnable. In addition, we may purchase components and products that have extended lead times to ensure adequate supply to support long-term customer demand and mitigate the impact of supply disruptions. If we are unable to use all of the components we have purchased, we may have excess inventory or obsolescence, or increased inventory or carrying costs, which could have an adverse impact on our results of operations or financial condition.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operate in highly competitive markets and face significant competition and pricing pressures. If we are not able to continue to enhance existing products or are unable to keep up with the rapidly changing product developments and new technologies, or effectively market and compete with our new or enhanced products that respond to customer needs and preferences, we could lose market share and orders, which would negatively impact our results of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electronic display industry is characterized by ongoing product improvement, innovation, and development and low-cost competition. We compete against products produced in foreign countries and the United States. Our competitors may develop lower-cost or lower-featured products, may be willing to charge lower prices to increase their market share, bring new products to the market faster, or offer new or differentiated products, services, and controller offerings. Some competitors have more capital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digital and mobile, and fixed display signs.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remain competitive, we must anticipate and respond quickly to provide innovative, customer-valued products and services that meet our customers’ needs, enhance our existing products, introduce new products and features, and continue to price our products competitively. Relevant innovation is an important part of our growth strategy. Product development involves complex and resource-intensive processes, including research, planning, design, engineering, testing, and marketing. We may not always be able to develop or introduce new or improved products in a timely manner, or at all.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rights effectively, or we may infringe upon the intellectual property rights of others, either of which may have a material adverse effect on our operating results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variety of intellectual property used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to the same extent as the laws 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 even if we ultimately prevail.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intellectual property rights of others have an impact on our ability to offer some of our products and services for specific uses or at competitive prices. Competitors’ patents or other intellectual property may limit our ability to offer products or services to our customers. Any infringement or claimed infringement by us of the intellectual property rights of others could result in litigation and adversely affect our ability to continue to provide, or could increase the cost of providing, products and services, even if we are successful in defending against any such claim.</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timely and effectively obtain shipments of raw materials and components from our suppliers or to send shipments of our manufactured product to our customers, our business and operating results could be materially and adversely affected.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control all of the various factors that might affect our suppliers’ timely and effective delivery of raw materials and components to our manufacturing facilities or the availability of freight capacity for us to deliver products to our customers. In addition to increased costs, these factors could delay delivery of products, which may result in the assessment of liquidated damages or other contractual damages that could negatively impact our results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utilization of a complex supply chain for raw material and component imports and the global distribution of our products makes us vulnerable to many risks, including, among other things, shortages or delays because of work restrictions; supply chain implications due to war or other geopolitical impacts on supply chains; risks of damage, destruction, or confiscation of products while in transit to and from our manufacturing facilities; organized labor strikes and work stoppages, such as labor disputes or related employee worker unavailability, that could disrupt operations at ports-of-entry; transportation and other delays in shipments as a result of heightened security screening and inspection processes or other port-of-entry limitations or restrictions; unexpected or significant port congestion; lack of freight availability; and freight cost increases. In addition, we may be required to arrange for products to be delivered through airfreight, which is significantly more expensive than standard shipping by sea. We may not be able to obtain sufficient freight capacity on a timely basis and, therefore, may not be able to timely receive shipments of raw materials and components or deliver products to customers.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Cost inflation in, and shortages of, raw materials, components, and related transportation and tariff costs can have a significant impact on our price competitiveness and/or ability to produce our products, which have caused and could continue to cause harm to our sales, financial condition, and 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inflation and shortages of the raw materials and components used to manufacture our products have and may continue to occur due to various factors, such as worldwide demand, natural disasters, logistics disruptions, war and other conflicts, and trade regulations.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currently experiencing cost inflation across certain commodity and electronic component categories. Aluminum, which is used extensively in our display cabinets, structures, and related products, has experienced price increases driven by market conditions, tariffs, and supply chain factors, increasing our manufacturing costs. Similarly, increased industry demand for certain computing components associated with artificial intelligence and data center infrastructure investments has contributed to higher costs and supply constraints for certain inputs used in our products. While we continue to pursue sourcing, design, and pricing actions to mitigate these impacts, sustained inflation or shortages in these categories could adversely affect our margins, competitiveness, financial condition,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Electronic and other components and materials used in our products are sometimes in short supply, which may impact our ability to meet customer demand. Transportation costs and availability can fluctuate due to fluctuations in oil prices and other social, economic, and geopolitical factors. Certain key components, including semiconductor memory and related electronic inputs, have experienced supply constraints and cost increases, which have increased, and may continue to increase, our input costs and adversely affect our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experience shortages or increases in the prices we pay for raw materials and components and are unable to pass on those increases to our customers or are unable to manufacture our products at all or on a timely basis, it could negatively affect our business, financial condition, or results of operations, as similar conditions have adversely affected our business in the past. In addition to increased costs, these factors could delay delivery of products, which may result in the assessment of liquidated damages or other contractual damages that could negatively impact our profits.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 disruptions and trade policies between countries could make us subject to additional regulatory costs and challenges, affect global economic and market conditions, and contribute to volatility in foreign exchange markets, which we may be unable to effectively manage through our foreign exchange risk management program. We seek to mitigate these impacts through vendor negotiations, alternative sourcing, and pricing adjustments; however, these efforts may not be successful.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global manufacturing and sales operations expose us to risks that could materially and adversely impact our business.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Expanding our international footprint is an important part of our growth strategy; however, operating across multiple countries exposes us to risks that may not present in our domestic operations. We manufacture certain products and source components in multiple international locations, including China, and a portion of these products and components are imported into the United States and other markets, which increases our exposure to tariffs, trade restrictions, and other cross-border regulatory risks.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risks include complex and evolving regulatory environments, political and economic instability, exposure to foreign currency fluctuations, differing labor laws and employment practices, and challenges related to infrastructure, logistics, and supply chain reliability. We may also face increased costs or delays due to tariffs, trade restrictions, customs regulations, or changes in international trade agreements and policies.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international operations, including our manufacturing expansion in Mexico, often require significant upfront investment in market development, personnel, and facilities, which may not yield immediate returns. Legal systems, intellectual property protections, and enforcement mechanisms may be less predictable or less robust in some jurisdictions, increasing our exposure to potential disputes or infringement.</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and other factors may impact our ability to operate efficiently and profitably in international markets. Although we attempt to manage these risks, there can be no assurance that our efforts will be successful or that international operations will not have a material adverse effect on our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third parties to complete some of our contracts.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Depending on a contract’s scope of work, we may engage third-party subcontractors for on-site installation and service-related activities, use manufacturers for structures or elements related to installations, rely on contract manufacturers for certain product lines, or purchase specialty non-display system components from third parties. If we are unable to engage qualified subcontractors, manufacturers, or other third-party providers, our ability to successfully complete a project could be impaired. If we are not able to locate qualified third party subcontractors or manufacturers, the amount we are required to pay may exceed what we have estimated, and we may suffer reduced margins or losses on these contracts. If the subcontractor or manufacturer fails to perform, we may be required to source these services to other third parties on a delayed basis or on less favorable terms, which could impact contract profitability. There is a risk that we may have disputes with our subcontractors relating to, among other things, the quality and timeliness of work performed, customer concerns about the subcontractor, or faulty workmanship, resulting in claims against us for failure to meet required project specifications and negatively impacting our financial condition and results of operations.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third parties are subject to fluctuations in global economic cycles and conditions and other business risk factors which may adversely impact their ability to operate their businesses. The performance and financial condition of the third parties may cause us to modify our business terms or cease doing business with a particular third party.</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utilize our capacity efficiently or accurately plan our capacity requirements, which may materially and adversely affect our business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adjust our production and services capacity and the overhead supporting order fulfillment based on anticipated market demand. Market demand, however, has not always developed as expected or remained consistent. These underutilization and overbooking capacity risks can potentially decrease our profitability and result in the impairment of certain assets.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factors are among those that could complicate capacity planning for market demand: (i) changes in the demand for and mix of products that our customers buy; (ii) tariff landscape and import/export controls; (iii) our ability to scale down or to add and train our manufacturing and services staff in advance of demand changes; (iv) the market’s pace of technological change; (v) variability in our manufacturing or services productivity; (vi) long lead times for and availability of raw materials and components used in production; (vii) our ability to engage qualified third parties; (viii) geographic location of orders and related shipping methods; and (ix) long lead times associated with capital expenditures for plant and equipment.</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on a quarterly and annual basis have and are likely to continue to fluctuate and be substantially affected by the size and timing of large contract order awards.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demand and the timing and size of large contracts create volatility in supply chain planning and capacity requirements to fulfill orders. Awards of large contracts and their timing and amounts are difficult to predict, may not be repeatable, and are outside of our control. Market demand has not always developed as expected or remained at a consistent level. Adjusting supply chain material planning and production and services capacity to meet this variability in demand can increase costs. Demand for our products is also influenced by trends and capital spending within key end markets, which may be adversely affected by economic or industry-specific conditions. Large contracts or customer awards include projects for college and professional sports facilities markets, the OOH niche, the transportation market, and the large spectacular niche. These projects can have short delivery time frames.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Some factors that may cause our operating results to vary due to timing and size of the awards include: (i) the timing of orders and related deliveries, including delays or cancellations of orders; (ii) our ability to obtain raw materials and components timely and at reasonable prices; (iii) our ability to adjust and utilize production and services capacity; (iv) our ability to engage third parties to support production and fulfillment; (v) new product introductions;</w:t>
      </w:r>
    </w:p>
    <w:p>
      <w:pPr>
        <w:spacing w:after="0" w:line="1" w:lineRule="exact"/>
        <w:rPr>
          <w:sz w:val="20"/>
          <w:szCs w:val="20"/>
          <w:color w:val="auto"/>
        </w:rPr>
      </w:pPr>
    </w:p>
    <w:p>
      <w:pPr>
        <w:ind w:right="1600" w:firstLine="8"/>
        <w:spacing w:after="0" w:line="487"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product mix; and (vii) customer financial wherewithal and the related economic conditions impacting their business. Operating results in one or more quarters of a fiscal year may not be indicative of future operating results.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enter into fixed price contracts, which could reduce our profits if actual costs exceed estimated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complexity of many of our client contracts, accurately estimating the cost, scope, and duration of a particular contract can be a difficult task. Unanticipated costs that exceed our original estimates may not be recoverable under fixed price contracts. Unanticipated cost increases may occur as a result of several factors including, but not limited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increases in the cost, shortages or non-availability of materials or labor; unanticipated technical problems; required project modifications not initiated by the customer; suppliers’ or subcontractors’ failure to perform or delay in performing their obligations; logistics disruptions or delays; and capacity constraints. In addition to increased costs, these factors could delay delivery of products, which may result in the assessment of liquidated damages or other contractual damages which would negatively impact our profits. We evaluate changes in estimates on a contract-by-contract basis and disclose significant changes, if material, in the Notes to Consolidated Financial Statements. The cumulative catch-up method is used to account for revisions in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backlog may not be indicative of future revenue, profitability, or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products have long sales, delivery, and acceptance cycles. In addition, our backlog is subject to order cancellations and delays. Orders normally contain cancellation provisions to permit our recovery of costs expended as well as a pro-rata portion of the profit. If projects are delayed, revenue recognition may be extended over longer periods, and projects may remain in backlog for longer than initially anticipated. If we receive relatively large orders in any given quarter, fluctuations in quarterly backlog levels may occur, as backlog levels in one period may not be sustained in subsequent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events resulting in credit losses could have a material adverse impact on our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portions of our sales are to customers who place large orders for custom products. We closely monitor the creditworthiness of our customers and have not, to date, experienced significant credit losses. We mitigate our exposure to credit risk, to some extent, by requiring deposits, payments prior to shipment, progress payments, payment bonds, and letters of credit. However, because some of our exposure to credit losses is outside of our control, unanticipated events resulting in credit losses could have a material adverse impact on our operating results.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2, 2026, a provision for expected credit losses of $3.8 million was recorded as management’s analysis concluded the loans related to an affiliate, in which the Company has an investment, are anticipated to be uncollectible.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actual results could differ from the estimates and assumptions we make to prepare our financial statements, which could have a material adverse impact on our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including the Consolidated Financial Statements included in this Form 10-K, our management is required under GAAP to make estimates and assumptions based on historical experience and other factors. Our most critical accounting estimates are described in “Part II, Item 7. Management’s Discussion and Analysis of Financial Condition and Results of Operations” in this Form 10-K.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estimates and assumptions affect the timing and amount of net sales, costs, and profits or losses in applying the principles to contracts with customers under the over time method of recording revenue using the cost-to-cost input method; credit losses for accounts receivables and contract assets; the valuation of inventory; estimated amounts for warranty and product maintenance agreement costs; the calculation and valuation of our investments and deferred tax assets; the valuation of our investment in affiliates or unconsolidated subsidiaries; fair value estimates used in goodwill and long-term assets testing; estimating the impact of uncertainties in the application of complex tax laws; and calculating share-based compensation expense. Although we believe these estimates and assumptions are reasonable under the circumstances, they are subject to significant uncertainties, some of which are beyond our control. If management’s estimates and assumptions change or are not correct, our financial condition or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warranty and other costs for defective products could adversely affect our financial condition, results of operations, and reputation.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Our products are often complex systems that must operate reliably in a variety of environmental and application conditions, and may require integration with customer infrastructure or third-party components. Failures, performance issues, or integration challenges could result in increased costs, customer dissatisfaction, contractual claims, or reputational harm. Although we continually monitor our warranty claims and accrue a liability for estimated warranty costs, unanticipated claims could have a material adverse impact on our financial results. In some cases, we may be able to subrogate a claim back to a subcontractor or supplier if the subcontractor or supplier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supplied the defective product or performed the service, but this may not always be possible. In addition, the need to repair or replace products with design and manufacturing defects could adversely affect our reputation. Remediation of a claim may take time and could result in lost or deferred revenue, lead to costly warranty expenses, and have a material adverse impact on our financial condition and operating results.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terms and conditions of our credit facilities impose restrictions on our operations, and if we default on our credit facilities, it could have a material adverse effect on our results of operations and financial condition, make us vulnerable to adverse economic or industry conditions, and result in liquidity issues.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and conditions of our credit facilities impose restrictions limiting our ability to incur debt, contingent liabilities, lease obligations or liens; to merge or consolidate with another company; to dispose of substantially all our assets; to acquire or purchase a business or its assets; to pay dividends; to repurchase our shares; or to sell our assets, among other restrictions. Our credit facilities also impose certain financial covenants on us which restrict the level of our cash dividends and capital expenditures. A breach of any of these covenants could result in an event of default under our credit facilities. Upon the occurrence of an event of default, the lender could elect to declare any and all amounts outstanding under such facilities to be immediately due and payable and terminate all commitments to extend further credit. For additional information on financing agreements, see “Note 8. Financing Agreements” of the Notes to our Consolidated Financial Statements included in this Form 10-K.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foreseeable future, it is anticipated that our cash on hand, marketable securities, cash provided by operating activities, and borrowings under our credit facilities should provide sufficient funds to finance our capital expenditures and working capital needs and otherwise meet operating expenses and debt service requirements. However, if additional capital is required or we are unable to renew our existing credit facilities at all or on a timely basis, there can be no assurance we will be able to obtain such capital when needed or on satisfactory terms.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project and we are unable to obtain a bond or letter of credit on terms acceptable to us and our client,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investments, and divestitures pose financial, management, and other risks and challenges.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routinely invest in and explore investing in or acquiring other businesses and related assets to complement or enhance our business strategies. These investments are often made to increase and enhance our customer relations and market base, expand geographically, or obtain technological advances to support our solution portfolio. Periodically, we may also consider disposing of these businesses, partial investments, assets, or other lines of business.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financial, management and other risks and challenges associated with these activities include, but are not limited to, the following: (i) diversion of management attention; (ii) difficulty with integrating acquired businesses; (iii) adverse impact on overall profitability if the expanded operations or investments in affiliates do not achieve the strategic benefits forecasted; (iv) potential loss or adverse relationship with or a change of key employees, customers, or suppliers of the acquired business; (v) inability to effectively manage our expanded operations; (vi) difficulty with the integration of different corporate cultures; (vii) personnel issues; (viii) increased expenses; (ix) assumption of unknown liabilities and indemnification obligations; (x) potential disputes with the buyers or sellers; (xi) the time involved in evaluating or modifying the financial systems of an acquired business and the establishment of appropriate internal controls; (xii) incorrect estimates made in the accounting for the transaction that cause misstatements of acquisition assets and liabilities; and (xiii) incorrect assumptions and estimates made in accounting for the value of such asset.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engage in any acquisitions or divestitures or that we will be able to do so on terms that will result in any expected benefits.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2, 2026, we had no remaining investments in or advances to affiliates. During fiscal 2026, we recorded a provision for losses of $3.8 million related to an affiliate note determined to be uncollectible. In fiscal 2025, we recorded a provision for losses of $15.5 million related to a different affiliate note determined to be uncollectible.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goodwill or other intangible assets in connection with our acquisitions become impaired, we could take significant non-cash charges against earnings.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in our Consolidated Balance Sheets as described in “Note 5. Goodwill and Intangible Assets” of the Notes to our Consolidated Financial Statements included in this Form 10-K.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purchase price paid in excess of the fair value of net tangible and intangible assets acquired in a business combination. Goodwill is not amortized and remains in our Consolidated Balance Sheets indefinitely unless there is an impairment or a sale of a portion of the business.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 our annual impairment test on the first day of our third fiscal quarter. Management concluded that no goodwill impairment existed for fiscal years 2026, 2025, and 2024 based on its annual impairment testing.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continue to attract, develop, and retain key personnel, including management personnel, which could negatively impact our operating results.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qualified employees, including experienced and skilled technical personnel, to design, market, fulfill, and serve our customers. Qualified employees can be in high demand and limited in availability. 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 to maintain and grow capacity. We have recently appointed a new Chief Executive Officer and are currently recruiting for a new Chief Financial Officer. The effectiveness of this leadership transition, including the timing and outcome of the Chief Financial Officer search, could impact our ability to execute our business strategy and achieve our objectives.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intend to continue to provide competitive compensation packages to attract and retain key personnel, some of our competitors for these employees have greater resources and more experience, making it difficult for us to compete successfully for key personnel. If we cannot attract and retain sufficiently qualified technical employees for our research and development and manufacturing operations, we may be unable to achieve the synergies expected from mergers and acquisitions or to develop and commercialize new products or new applications for existing products. Furthermore, possible shortages of key personnel, including engineers, could require us to pay more to hire and retain key personnel, thereby increasing our costs and negatively affecting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the cost of employee benefits could impact our financial results and cash flows.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expenses relating to employee benefits, particularly health benefits, are significant. Unfavorable changes in the cost of and the unpredictability of claims under such benefits, including the current inflationary pressures on wages and benefits, could negatively impact our financial results and cash flows. Although we purchase stop loss insurance, its cost and healthcare costs have risen significantly in recent years. Legislative and private sector initiatives regarding healthcare reform could result in significant changes to the United States healthcare system. Due to the breadth and complexity of the healthcare reform legislation and the uncertainty surrounding further reform proposals, we are not able to fully determine the impact that any healthcare reform will have in the future on company sponsored medical plans.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outcome of pending and future claims, investigations, or litigation can have a material adverse impact on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from time to time in a variety of litigation, investigations, inquiries or similar matters arising in our business. Litigation, investigations, and regulatory proceedings are subject to inherent uncertainties, and unfavorable rulings and outcomes can and do occur. Pending or future claims against us could result in professional liability, product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liability, criminal liability, warranty obligations, indemnity claims, or other liabilities to the extent we are not insured against a loss or our insurance fails to provide adequate coverage. Also, a well-publicized actual or perceived threat of litigation could adversely affect our reputation and reduce the demand for our products. See “Note 17. Commitments and Contingencies” of the Notes to our Consolidated Financial Statements included in this Form 10-K for further information on litigation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Systems, 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depends on numerous complex information systems and technologies. Any failure to maintain these systems, a network disruption, a misuse of technologies, or breaches in data security could result in business disruption or the loss of confidential or proprietary information and have a material adverse effect on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heavily on complex information systems and technologies for the successful operation of our business, the support of our offerings, and the collection and retention of business data. Any information system failure or security breach could adversely affect our operations, and we cannot guarantee that our data could be restored and the vulnerabilities remediated. Despite the security measures we have in place, our systems and those of our third-party service providers may be vulnerable to cybersecurity incidents, including ransomware, computer viruses, malicious attacks, programming errors, human error, or other similar events. The increasing use of artificial intelligence (“AI”) technologies may further increase the sophistication and frequency of cybersecurity threats.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use of AI technologies in our business processes and decision-making may introduce additional risks. These technologies may result in the unintended disclosure of confidential information if sensitive data is used as an input or otherwise exposed through their use. In addition, AI systems may generate inaccurate, incomplete, or misleading outputs. Reliance on such outputs could adversely affect our operations, decision-making, or customer relationships and could expose us to reputational harm, contractual claims, or other liabilities. Our use of AI technologies may also give rise to intellectual property or other legal risks, including potential claims related to the use of data or outputs generated by such systems.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misappropriation, loss, or unauthorized disclosure of confidential or personally identifiable information, whether by us or by our third-party service providers, could adversely affect our business and operations. We could face significant costs, including remediation, investigation, penalties, litigation, and reputational harm, any of which could materially and adversely affect our business, financial condition, and results of operations. For further discussion of our cybersecurity programs, please the discussion set forth in this Form 10-K “Part I, Item 1C. Cybersecurity.”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Increases in the cost or limited availability of computing infrastructure, including memory and processing resources, could adversely affect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services we provide to customers depend on access to substantial computing infrastructure, including memory, networking equipment, and cloud-based computing services. Demand for high-performance computing infrastructure has increased significantly in recent years in part due to the rapid adoption and proliferation of AI, machine learning, and other data-intensive technologies. This increased demand has contributed to supply constraints, longer procurement lead times, and higher prices in certain components, including memory and processing-related components, as well as the broader computing infrastructure. These trends may continue or intensify as AI-related workloads expand across industries.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increased demand for memory, processors, and other key electronic components may limit availability or reduce our purchasing leverage with suppliers. The cost of acquiring, leasing, or accessing compute and memory resources may continue to increase due to growing industry demand, supply chain constraints, geopolitical factors, inflationary pressures, changes in vendor pricing, tariffs, or other market conditions. In addition, shortages of high-performance computing components, including advanced memory technologies and AI-optimized processors, could limit our ability to obtain sufficient capacity on acceptable terms or within required timeframes. If we are unable to secure adequate computing or memory capacity on commercially reasonable terms, manage procurement lead times effectively, or if the costs of such infrastructure increase rapidly, or if we are unable to pass increased costs through to customers, we may experience negative effects on our business, financial condition, and results of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global operations expose us to global regulatory, geopolitical, economic, and social changes and add additional risks and uncertainties which can harm our business, operating results, and financial condition.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domestic and foreign operations, sales, earnings, and strategies for profitable growth can be adversely affected by global conditions and compliance with international laws, regulations, and governmental actions. These conditions include political developments; economic changes; unfavorable trade policies; changes in foreign and domestic laws, regulations, or governmental requirements; changes in treaty and trade relationships; the imposition of government restrictions or emergency measures that differ among jurisdictions; and changes in monetary and fiscal policies.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risks include changes in economic or political conditions; the pricing and marketing of our products; local labor conditions and regulations; reduced protection of intellectual property rights; changes in regulatory or legal environments; lack of well-developed legal systems; foreign currency restrictions and exchange rate fluctuations; and burdensome taxes, tariffs, and other trade regulations or barriers. Other exposures and uncertainties include changing social conditions and attitudes, terrorism, political instability, and armed conflicts.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face operational challenges in managing our global footprint, including staffing and managing multiple locations and addressing logistical and communication challenges. The likelihood and impact of these risks vary by country, are outside of our control, and are difficult to predict.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involves the use of hazardous materials, and we must comply with environmental, health, and safety laws and regulations, which can be expensive and restrict how we do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involves the blending, controlled storage, use, and disposal of hazardous materials. We and our suppliers are subject to federal, state, local, and foreign laws and regulations governing the use, manufacture, storage, handling, and disposal of these hazardous materials. Although we believe the safety procedures we utilize for handling and disposing of these materials comply with the standards prescribed by these laws and regulations, we cannot eliminate the risk of accidental contamination or injury from these materials. In the event of an accident, local, state, federal, or foreign authorities may curtail the use of these materials and interrupt our business operations. If we are subject to any liability as a result of activities involving hazardous materials, our business, financial condition, and results of operations may be adversely affected, and our reputation may be harmed. Additionally, future laws regarding hazardous materials may increase our costs with respect to their use and disposal.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future results may be affected by compliance risks related to United States and other countries’ anti-bribery and anti-corruption laws, trade controls, economic sanctions, and similar laws and regulations. Our failure to comply with these laws and regulations could subject us to civil, criminal, and administrative proceedings or penalties and harm our reputation.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Doing business on a worldwide basis requires us to comply with the laws and regulations of the United States government and various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laws and regulations place restrictions on our operations, trade practices, partners, customers, and investments.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we and our operations are subject to United States and foreign anti-corruption and trade control laws and regulations, such as the United States Foreign Corrupt Practices Act (the “FCPA”); the United Kingdom Bribery Act (the “Bribery Act”); and export controls and economic sanctions programs, including those administered by the United States Treasury Department’s Office of Foreign Assets Control (“OFAC”), the State Department’s Directorate of Defense Trade Controls (the “DDTC”), and the Bureau of Industry and Security of the United States Department of Commerce.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we deal with state-owned business enterprises, the employees of which are considered to be foreign officials for purposes of the FCPA’s prohibition on United States companies from engaging in bribery, providing anything of value, or making other prohibited payments to foreign officials for the purpose of obtaining or retaining business, and other similar regulations in other areas of the world. In addition, the provisions of the Bribery Act apply to the bribery of foreign officials and to transactions with individuals that a government does not employ. The FCPA also requires us to maintain specific record-keeping standards and adequate internal accounting controls. In addition, we are subject to similar requirements in other countries. Some of the international locations in which we do business lack a developed legal system and have higher than normal levels of corruption. Our expansion outside of the United States and our development of new partnerships and joint venture relations worldwide could increase the risk of violation of the FCPA, OFAC, the Bribery Act or similar laws and regulations.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exporter, we must comply with various laws and regulations relating to the export of products and technology from the United States and other countries having jurisdiction over our operations and trade sanctions against embargoed countries and destinations administered by OFAC. Before shipping certain items, we must obtain an export license or verify that license exemptions are available. Any failures to comply with these laws and regulations could result in fines, adverse publicity, and restrictions on our ability to export our products. Repeat failures could carry more significant penalties.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Anti-bribery, corruption, and trade laws and regulations, and the enforcement thereof, are increasing in frequency, complexity, and severity on a global basis. Violations of anti-corruption, anti-bribery, and trade control laws and sanctions regulations are punishable by civil penalties, including fines; the denial of export privileges; injunctions; asset seizures; debarment from government contracts and revocations or restrictions of licenses; as well as criminal fines and imprisonment, and could harm our reputation, create negative stockholder sentiment, and affect our share value. We have established policies and procedures with the intention of providing reasonable assurance of compliance with these laws and regulations and trained our employees to comply with these laws and regulations. However, our employees, contractors, agents, and licensees involved in our international operations may take actions in violations of such policies. If our employees, agents, distributors, suppliers, and other third parties with whom we do business violate anti-bribery, anti-corruption, or similar laws and regulations, we may incur severe fines, penalties, and reputational damage even if we were not aware of such violation. Additionally, there can be no assurance that our policies and procedures will effectively prevent us from violating these regulations in every transaction in which we may engage or provide a defense to any alleged violation. In particular, we may be held liable for the actions that our partners take inside or outside of the United States even though we are not aware of such actions or our partners may not be subject to these laws. Such a violation, even if our policies prohibit it, could have an adverse effect on our reputation, business, financial condition, and results of operations. In addition, various state and municipal governments, universities, and other investors maintain prohibitions or restrictions on investments in companies that do business with sanctioned countries, persons, and entities, which could adversely affect our reputation, business, financial condition, and results of operations.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Regulation in the areas of privacy, data protection, and information security could increase our costs and affect or limit our business opportunities and how we collect or use personal information.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privacy, data protection, and information security laws, including data localization laws, are interpreted and applied, our compliance costs may increase, particularly in the context of ensuring that adequate data protection and data transfer mechanisms are in place. In recent years, there have been increasing regulatory enforcement and litigation activities in the areas of privacy, data protection, and information security in the United States and in various countries in which we operate.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state and federal legislators and/or regulators in the United States and other countries in which we operate are increasingly adopting or revising privacy, data protection, and information security laws that potentially could have a significant impact on our current and planned privacy, data protection, and information security-related practices; our collection, use, sharing, retention, and safeguarding of consumer and/or employee information; and some of our current or planned business activities. New legislation or regulation could increase our costs of compliance and business operations and could reduce revenues from certain business initiatives. Moreover, the application of existing or new laws to existing technology and practices can be uncertain and may lead to additional compliance risk and cost.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current or future privacy, data protection, and information security laws relating to consumer and/or employee data, including the General Data Protection Regulation in the European Union and similar laws in other regions of the world, including the United States, could result in higher compliance and technology costs and could restrict our ability to provide certain products and services, which could materially and adversely affect our results of operations. Our failure to comply with privacy, data protection, and information security laws could result in potentially significant regulatory and/or governmental investigations and/or actions, litigation, fines, sanctions, ongoing regulatory monitoring, customer attrition, customer indemnity claims, decreases in the use or acceptance of our products and services, and damage to our reputation and our brand.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Environmental, social, and governance (“ESG”) regulations and disclosures may impact our reputation, expose us to additional costs, or have other impacts which could adversely affect our business, financial condition, or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continued focus and evolving expectations from regulators, investors, employees, customers, and other stakeholders relating to ESG matters, with regulatory approaches differing across jurisdictions. We periodically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communicate our ESG initiatives, which include prioritizing people, community, environmental, and product stewardship. Certain market participants, including major institutional investors, proxy advisory firms, and capital providers, use benchmarks and scores to assess companies’ ESG profiles in making investment or voting decisions or recommending voting positions. We have limited and in some instances no visibility or control over these scores or their underlying methodologies. Unfavorable ESG ratings could lead to increased negative investor sentiment towards us or our industry, which could negatively impact our share price as well as our access to and cost of capital.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ESG regulatory environment is evolving and, in some cases, becoming fragmented, with certain jurisdictions increasing disclosure and compliance requirements while others are reducing or revising such requirements. This may result in increased costs, complexity, and challenges in complying with applicable requirements. At the same time, there are efforts by some stakeholders to increase companies’ focus on ESG matters, while others are seeking to reduce or limit such efforts. Both advocates of and opponents to certain ESG matters are increasingly engaging in a range of activities, including media campaigns, shareholder proposals, and litigation, to advance their perspectives.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be subject to increased regulatory scrutiny, investigations, litigation, or enforcement actions relating to our ESG disclosures, initiatives, or public statements, including potential claims regarding the accuracy or completeness of such disclosures or allegations of “greenwashing.” Compliance with evolving ESG-related requirements may require significant data collection, validation, and reporting efforts, including the potential need for enhanced internal controls or third-party assurance, which could increase our costs and complexity. To the extent ESG matters negatively impact our reputation, it may also impede our ability to compete effectively to attract and retain employees or customers, which may adversely impact our operations. In addition, achieving our ESG initiatives may result in increased costs, which could have a material adverse impact on our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tax law changes may adversely affect our business,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and its various state and local governments, as well as several foreign tax jurisdictions. Our future income taxes could be materially adversely affected by changes in the amount or mix of earnings among countries with differing statutory tax rates, changes in the valuation of deferred tax assets and liabilities, changes in tax rates or the interpretation of tax rules and regulations in jurisdictions in which we do business, changes in tax laws, or the outcome of income tax audits and any related litigation. The United States Tax Cuts and Jobs Act of 2017 is one such example of legislation that has impacted our effective tax rate.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changes in tax laws in the United States and foreign jurisdictions could arise, including additional tax reform in the United States and evolving international tax frameworks, such as those developed by the Organization for Economic Co-operation and Development (“OECD”). These developments include the implementation of global minimum tax regimes and related guidance across multiple jurisdictions, which may differ in scope, timing, and application. These changes may result in increased complexity, compliance burdens, and uncertainty with respect to our global tax position.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U.S. tax reform and international tax developments may materially affect long-standing tax positions and principles, including the taxation of foreign earnings and cross-border transactions. These changes could increase tax uncertainty and may adversely affect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Ineffective internal control over financial reporting could result in errors in our financial statements, reduce investor confidence, and adversely impact our stock price.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Section 404 of the Sarbanes-Oxley Act of 2002, we are required to evaluate and determine the effectiveness of our internal controls over financial reporting. Ineffective internal control over financial reporting could result in errors in our financial statements, reduce investor confidence, and adversely affect our stock price.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identify control deficiencies that individually or together constitute significant deficiencies or material weaknesses, our ability to accurately record, process, and report financial information and, consequently, our ability to prepare financial statements within required time periods, could be adversely affected. Our failure to maintain effective internal control over financial reporting could result in violations of applicable securities laws and stock exchange listing requirements; subject us to litigation, investigations, or administrative proceedings; negatively affect investor confidence in our financial statements; and adversely impact our stock price and ability to access capital markets.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Insurance coverage can be difficult or expensive to obtain, and our failure to obtain adequate insurance coverage at reasonable costs could adversely affect our financial condition or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insurance both as a corporate risk management strategy and to satisfy the requirements of many of our contracts with customers. As the costs and availability of insurance change, we may decide not to be covered against certain losses where, in the judgment of management, the insurance is not warranted due to the cost or availability of coverage or the remoteness of the perceived risk. We cannot provide assurance that all necessary or appropriate insurance will be available, cover every type of loss incurred, or be able to be economically obtained. For example, some insurers limit or refuse coverages, increase premium costs, or increase deductibles when global catastrophic events occur. As part of our corporate risk management strategy, we monitor and place our coverages with financially strong insurers, layer our risk with multiple insurers, and seek advice on the amount, breadth, and type of insurance coverages to protect our interests. We also contractually require subcontractors and others working on our behalf to carry common insurance coverages for the types of work they perform to mitigate any risk of our loss. Our failure to obtain adequate insurance coverage at reasonable costs could adversely affect our financial condition or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has promulgated rules in connection with the Dodd-Frank Wall Street Reform and Consumer Protection Act regarding disclosure of the use of certain minerals, known as conflict minerals, mined from the Democratic Republic of the Congo and adjoining countries. As required, we have filed annual Forms SD with the SEC since 2014 reporting our work performed to gain information on the source of conflict minerals we use. We incur costs associated with complying with these disclosure requirements. As we continue our due diligence, we may face reputational challenges if we continue to be unable to verify the origins of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 which could negatively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an Investment in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protections we have adopted and to which we are subject may discourage takeover offers favored by our stockholders.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(the “Certificate of Incorporation”), by-laws, and other corporate governance documents, as well as the General Corporation Law of the State of Delaware (the “DGCL”) and other applicable Delaware laws, contain protections that could have an anti-takeover effect and discourage, delay, or prevent a change in control or an acquisition that some stockholders may find attractive. These protections under Delaware law and our governance documents, which may make it more difficult for our stockholders to take certain corporate actions related to a change in control of the Company, include, without limitation:</w:t>
      </w:r>
    </w:p>
    <w:p>
      <w:pPr>
        <w:spacing w:after="0" w:line="183"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(the “Board” or the “Board of Directors”), without stockholder approval, to authorize and issue shares of stock with voting, liquidation, dividend, and other rights and preferences that are superior to our common stock;</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Board, which effectively prevents stockholders from electing a majority of the directors at any one meeting of stockholders;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stockholders to provide advance notice to raise business matters or nominate directors at annual meetings of stockholders;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of cumulative voting in the election of directors;</w:t>
      </w:r>
    </w:p>
    <w:p>
      <w:pPr>
        <w:ind w:left="660" w:right="20" w:hanging="328"/>
        <w:spacing w:after="0" w:line="24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DGCL, stockholders who do not approve a change in control generally do not have the right, solely by reason of their dissent, to receive a judicially determined control premium or other premium for their shares, although appraisal rights may be available in certain transactions;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Section 203 of the DGCL prohibits us from engaging in a Business Combination (as defined below) with an Interested Stockholder (as defined below) for a period of three years after the date of the transaction in which the person became an Interested Stockholder unless: (i) our Board approved either the Business Combination or the transaction in which the stockholder became an Interested Stockholder prior to the date the interested stockholder became an Interested Stockholder; (ii) the Interested Stockholder acquires at least 85 percent of our common stock (excluding shares owned by our directors, officers, and certain participants in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employee stock purchase plans) in the transaction in which it became an Interested Stockholder; or (iii) the business combination is approved by our Board and the affirmative vote of at least two-thirds of the votes entitled to be cast by disinterested stockholders at an annual or special meeting of our stockholders. The DGCL permits a corporation to opt out of, or choose not to be governed by, Section 203 of the DGCL by expressly stating so in its original certificate of incorporation (or subsequent amendment to its certificate of incorporation or bylaws approved by its stockholders). The Certificate of Incorporation does not contain a provision expressly opting out of the application of Section 203 of the DGCL. Therefore, the Company is subject to Section 203 of the DGCL .</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“Business Combination” is defined under the DGCL broadly to include mergers, consolidations, asset sales, and other transactions resulting in a financial benefit to an interested stockholder. Section 203 of the DGCL generally defines an “Interested Stockholder” as an entity or person beneficially owning 15 percent or more of the outstanding voting stock of a corporation and any entity or person affiliated with or controlling or controlled by such entity or person.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above protections may deny our stockholders a premium on a sale of their common stock, which, in turn, may have a material adverse effect on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has at times been thinly traded, which may result in low liquidity and price volatility.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daily trading volume of our common stock has at times been relatively low. If this were to occur in the future, the liquidity and appreciation of our common stock may not meet our stockholders’ expectations, and the price at which our stock trades may be volatile. The market price of our common stock could be adversely impacted as a result of sales by existing stockholders of a large number of shares of common stock in the market or by the perception such sales could cause.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the market price of our common stock could result in securities litigation claims against us.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fluctuated and will likely continue to fluctuate.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even if we prevail in the litigation, which could harm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if we fail to meet or exceed the expectations of securities analysts and investors, or if one or more of the securities analysts who cover us adversely change their recommendation regarding our stock, the market price of our common stock could decline. Moreover, our stock price may be based on expectations, estimates, and forecasts of our future performance that may be unrealistic or that may not be met. Further, our stock price may fluctuate based on reporting by the financial media, including television, radio, press reports, podcasts, and blogs.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Activist stockholder activity has impacted, and may continue to impact, our governance, operations, strategic directions, and the value of our common stock.</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experienced activist stockholder activity that has led to changes in our Board composition and governance practices, and the possibility of future activism could have a material adverse effect on our business, financial condition, or results of operations, as well as the price of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 2025, we entered into a cooperation agreement with Alta Fox Capital Management, LLC (together with certain of its affiliates, “Alta Fox”) (the “Alta Fox Cooperation Agreement”), our largest stockholder. Pursuant to the Cooperation Agreement, an Alta Fox-recommended candidate was appointed to our Board of Directors and the Transformation Committee of the Board, and we committed to various governance and investor engagement initiatives, including hosting an Investor Day and seeking Alta Fox’s input on our search for a new Chief Financial Officer (“CFO”).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Alta Fox has agreed to customary standstill and voting provisions through our 2027 annual meeting of stockholders and has withdrawn its litigation against the Company with prejudice.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stockholder engagement, including activist activity, we are pursuing various strategic and operational initiatives. These initiatives may not be successfully implemented, may disrupt our operations, or may not achieve the expected benefits within the anticipated timeframes, if at all.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future activist campaigns, whether by current stockholders or new investors, could be costly and time-consuming, disrupt our operations, divert the attention of management and our Board, interfere with our ability to execute our strategic plans, and create uncertainty among employees, customers, and investors. These impacts, alone or in combination, could materially adversely affect the market price and volatility of our securities.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founder and former Chairman of the Board and his family may have the ability to significantly influence all matters submitted to our stockholders for approval.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Daktronics co-founder Dr. Aelred Kurtenbach served as our Chairman of the Board until September 3, 2014. Dr. Aelred Kurtenbach’s family members currently serve or have recently served as executive officers of the Company. His son, Mr. Reece A. Kurtenbach, served on our Board of Directors until February 1, 2026 and served as Chief Executive Officer (“CEO”) of Daktronics until March 5, 2025. One of Dr. Aelred Kurtenbach’s children currently serves as our Vice President of Manufacturing, and another of his children previously served as Vice President of Human Resources and Secretary through January 31, 2026.</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Together, these individuals, in the aggregate, beneficially own shares of our outstanding common stock. Although this does not represent a majority of our outstanding common stock, if these stockholders were to choose to act together, they would be able to significantly influence all matters submitted to our stockholders for approval, and may be able to influence our management and affairs. This concentration of voting power could delay or prevent an acquisition of us on terms that other stockholders may desire. The interests of this group of stockholders may not always coincide with the interests of other stockholders, and they may act in a manner that advances their best interests and not necessarily those of other stockholders, including seeking a premium value for their common stock, that might affect the prevailing market price for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 of our business is dependent on the secure functioning of our digital information systems and infrastructure. Our cybersecurity risk management program (our “Cybersecurity Program”) has been designed to protect the confidentiality, integrity, and availability of our critical systems and information.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design and assess our Cybersecurity Program based on published frameworks, including the National Institute of Standards and Technology, and routinely evaluate our program for ongoing adherence to those frameworks.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Cybersecurity Program is aligned with our company strategy and governance processes and is designed to deploy and monitor the prevention, detection, mitigation, and remediation of cyber risks and incidents through various means, including:</w:t>
      </w:r>
    </w:p>
    <w:p>
      <w:pPr>
        <w:spacing w:after="0" w:line="162" w:lineRule="exact"/>
        <w:rPr>
          <w:sz w:val="20"/>
          <w:szCs w:val="20"/>
          <w:color w:val="auto"/>
        </w:rPr>
      </w:pPr>
    </w:p>
    <w:p>
      <w:pPr>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responsible for monitoring our infrastructure and managing our cybersecurity risk assessment processes, our security controls, and response to cybersecurity incidents;</w:t>
      </w: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use of outside independent advisors to evaluate the maturity of our cybersecurity program, review processes and policies, conduct penetration and vulnerability tests, and to monitor and help identify potential cybersecurity incidents;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incident response plan that includes procedures for identifying, evaluating and responding to cybersecurity incidents;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training and awareness communication series addressed to our employees to help them identify potential cybersecurity threats and attacks;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management process used to assess the risks from cyber threats posed by the use of independent third-party service providers that process and store data. We assess the risks from cybersecurity threats posed by such services;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AI committee to set Company-wide policy and drive the safe and responsible use of AI technologies.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report, we have not identified any cybersecurity threats that have materially affected or are reasonably anticipated to have a material effect on us. Despite the capabilities, processes, and other security measures we employ that we believe are designed to detect, mitigate, and remediate the risk of cybersecurity incidents, we may not be aware of all vulnerabilities or might not accurately assess the risks of incidents, and such preventative measures cannot provide absolute security and may not be sufficient in all circumstances or mitigate all potential risks. For more information about the cybersecurity risks we face, see the risk factor in this Form 10-K entitled “Our business depends on numerous complex information systems.” Any failure to maintain these systems, a network disruption, or breaches in data security could cause a material adverse effect on our business” included as part of our risk factor disclosures in Part I, Item 1A.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Strategy and Risk Committee of the Board (the “Strategy and Risk Committee”) oversees the Company’s cybersecurity risks and strategy, including our Cybersecurity Program. A member of the Strategy and Risk Committee has bachelor’s and doctoral degrees relevant to and experience in cybersecurity and information technology trends. Management provides the Strategy and Risk Committee with periodic reports on cybersecurity risks, risk mitigation in place and planned, and any material cybersecurity incidents. These reports are provided to our Board of Directors. If a material cybersecurity incident were to occur, the Audit Committee of the Board (the “Audit Committee”) would oversee the financial reporting and disclosure and law compliance aspects.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Cybersecurity Program and team of cybersecurity professionals and resources are led and supervised by our Vice President of Information Technology, who has over 25 years of experience in information technology. To execute the Cybersecurity Program and promote compliance with applicable cybersecurity laws, regulations, and reporting requirements, we utilize internal and external technical experts in cybersecurity risk management, data and network security structures, and incident response and security operations. Our cybersecurity team monitors the prevention, detection, mitigation, management, and remediation of cybersecurity risks and incidents through various means, which may include briefings with internal security personnel, threat intelligence and other information obtained from governmental, public, or private sources, including external consultants engaged by us, and alerts and reports produced by security tools deployed in our information technology environment. As part of the Cybersecurity Program, our executive management team is regularly informed about the monitoring, prevention, detection, mitigation, management, and remediation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properties include space for manufacturing products, designing and testing new developments or processes, and employee collaboration space. Our properties are generally aligned with our business segments; however, we manufacture the same products across our manufacturing facilities to efficiently utilize capacity and reduce costs. We consider all our properties to be both suitable and adequate to meet our requirements for the foreseeable future. We also lease other properties to support our employees throughout the United States and internationally, none of which are individually material.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properties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25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Owned or Leased</w:t>
            </w:r>
          </w:p>
        </w:tc>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Facility Activities</w:t>
            </w:r>
          </w:p>
        </w:tc>
      </w:tr>
      <w:tr>
        <w:trPr>
          <w:trHeight w:val="27"/>
        </w:trPr>
        <w:tc>
          <w:tcPr>
            <w:tcW w:w="28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18"/>
        </w:trPr>
        <w:tc>
          <w:tcPr>
            <w:tcW w:w="2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Headquarters, Manufacturing, Sales,</w:t>
            </w:r>
          </w:p>
        </w:tc>
      </w:tr>
      <w:tr>
        <w:trPr>
          <w:trHeight w:val="241"/>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Brookings, SD, USA</w:t>
            </w:r>
          </w:p>
        </w:tc>
        <w:tc>
          <w:tcPr>
            <w:tcW w:w="2580" w:type="dxa"/>
            <w:vAlign w:val="bottom"/>
            <w:tcBorders>
              <w:bottom w:val="single" w:sz="8" w:color="CCEEFF"/>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771,000</w:t>
            </w:r>
          </w:p>
        </w:tc>
        <w:tc>
          <w:tcPr>
            <w:tcW w:w="4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Redwood Falls, MN, USA</w:t>
            </w:r>
          </w:p>
        </w:tc>
        <w:tc>
          <w:tcPr>
            <w:tcW w:w="25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151,000</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Ennistymon, Ireland</w:t>
            </w:r>
          </w:p>
        </w:tc>
        <w:tc>
          <w:tcPr>
            <w:tcW w:w="2580" w:type="dxa"/>
            <w:vAlign w:val="bottom"/>
            <w:tcBorders>
              <w:bottom w:val="single" w:sz="8" w:color="CCEEFF"/>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62,000</w:t>
            </w:r>
          </w:p>
        </w:tc>
        <w:tc>
          <w:tcPr>
            <w:tcW w:w="4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Saltillo, Mexico</w:t>
            </w:r>
          </w:p>
        </w:tc>
        <w:tc>
          <w:tcPr>
            <w:tcW w:w="25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111,000</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Sioux Falls, SD, USA</w:t>
            </w:r>
          </w:p>
        </w:tc>
        <w:tc>
          <w:tcPr>
            <w:tcW w:w="258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277,000</w:t>
            </w:r>
          </w:p>
        </w:tc>
        <w:tc>
          <w:tcPr>
            <w:tcW w:w="4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25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163,000</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17. Commitments and Contingencies” of the Notes to our Consolidated Financial Statements included in this Form 10-K for further information on any legal proceedings and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(“Nasdaq”) under the ticker symbol DAKT. Daily market activity, along with quoted prices and other trading information, are readily available for our common stock on numerous websites, including www.nasdaq.com. As of June 15, 2026, we had 726 stockholders of record.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do not pay any dividends on our common stock. However, the Board has the discretion to declare and pay dividends in the future. Payment of dividends in the future will depend upon our earnings, capital requirements, and any other factors that the Board deems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Performance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graph shows changes during the period from May 1, 2021 to May 2, 2026 in the value of $100 invested in: (1) our common stock; (2) The Nasdaq Composite; and (3) the Standard and Poor’s 600 Index for Electronic Equipment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657850" cy="3086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17, 2016, our Board of Directors authorized a share repurchase program (the “Repurchase Program”) under which the Company may repurchase up to $40.0 million of the Company’s outstanding shares of common stock (“Common Stock”). On March 4, 2025, the Board approved a $10.0 million increase in the limit under the Repurchase Program. On June 23, 2025, the Board approved an additional $10.0 million increase in the limit under the Repurchase Program. On December 9, 2025, the Board approved an additional $20.0 million increase for a maximum authorized value of $80.0 million as of May 2,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Repurchases under the Repurchase Program may be made from time to time in open market transactions or privately negotiated transactions, subject to business and market conditions, applicable legal requirements, and other relevant factors. The Repurchase Program does not obligate the Company to repurchase any specific number of shares, may be suspended or terminated at any time at the discretion of the Board and has no fixed expiration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2026, the Company repurchased 1.4 million shares of Common Stock at a total cost of $25.4 million. During fiscal 2025, the Company repurchased 2.1 million shares of Common Stock at a total cost of $29.5 million. During fiscal 2024, the Company had no repurchases of shares of our outstanding shares of common stock, no par value. As of May 2, 2026, $14.5 million of the $80.0 million authorized amount remained available for repurchase under the Repurchase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share repurchases of Common Stock during the fourth quarter of fiscal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of shares that may yet be</w:t>
            </w:r>
          </w:p>
        </w:tc>
      </w:tr>
      <w:tr>
        <w:trPr>
          <w:trHeight w:val="216"/>
        </w:trPr>
        <w:tc>
          <w:tcPr>
            <w:tcW w:w="45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plans or</w:t>
            </w:r>
          </w:p>
        </w:tc>
        <w:tc>
          <w:tcPr>
            <w:tcW w:w="160" w:type="dxa"/>
            <w:vAlign w:val="bottom"/>
          </w:tcPr>
          <w:p>
            <w:pPr>
              <w:spacing w:after="0"/>
              <w:rPr>
                <w:sz w:val="18"/>
                <w:szCs w:val="18"/>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8"/>
        </w:trPr>
        <w:tc>
          <w:tcPr>
            <w:tcW w:w="454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(including fees)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60" w:type="dxa"/>
            <w:vAlign w:val="bottom"/>
          </w:tcPr>
          <w:p>
            <w:pPr>
              <w:spacing w:after="0"/>
              <w:rPr>
                <w:sz w:val="20"/>
                <w:szCs w:val="20"/>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plans or programs (1)</w:t>
            </w:r>
          </w:p>
        </w:tc>
      </w:tr>
      <w:tr>
        <w:trPr>
          <w:trHeight w:val="27"/>
        </w:trPr>
        <w:tc>
          <w:tcPr>
            <w:tcW w:w="45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17,103,852</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2026 - March 28,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17,103,852</w:t>
            </w:r>
          </w:p>
        </w:tc>
      </w:tr>
      <w:tr>
        <w:trPr>
          <w:trHeight w:val="27"/>
        </w:trPr>
        <w:tc>
          <w:tcPr>
            <w:tcW w:w="4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29, 2026 - May 2, 2026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14,471,112</w:t>
            </w:r>
          </w:p>
        </w:tc>
      </w:tr>
      <w:tr>
        <w:trPr>
          <w:trHeight w:val="26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134,588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134,588</w:t>
            </w:r>
          </w:p>
        </w:tc>
        <w:tc>
          <w:tcPr>
            <w:tcW w:w="16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1"/>
        </w:trPr>
        <w:tc>
          <w:tcPr>
            <w:tcW w:w="4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8"/>
        <w:spacing w:after="0" w:line="282" w:lineRule="auto"/>
        <w:tabs>
          <w:tab w:leader="none" w:pos="2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repurchases described in the above table were made pursuant to the Repurchase Program authorized by the Board on June 17, 2016 and amended by the Board on March 4, 2025, June 23, 2025, and December 9,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repurchase our shares could be affected by the limitations imposed by our New Credit Facility, as further described in “Note 8. Financing Agreements” of the Notes to our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provides a narrative from the perspective of management relating to the financial condition, results of operations, liquidity, capital resources, and other factors that may impact our financial performance.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MD&amp;A should be read in conjunction with the accompanying Consolidated Financial Statements and Notes to the Consolidated Financial Statements included in this Form 10-K.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Daktronics operates on a 52- or 53-week fiscal year, with our fiscal year ending on the Saturday closest to April 30 of each year. When April 30 falls on a Wednesday, the fiscal year ends on the preceding Saturday. Within each fiscal year, each quarter is comprised of a 13-week period following the beginning of each fiscal year. In each 53-week year, an additional week is added to the first quarter, and each of the last three quarters is comprised of a 13-week period. The fiscal year ended May 2, 2026 contained operating results for 53 weeks. The fiscal years ended April 26, 2025 and April 27, 2024 contained operating results for 52 weeks.</w:t>
      </w:r>
    </w:p>
    <w:p>
      <w:pPr>
        <w:spacing w:after="0" w:line="183" w:lineRule="exact"/>
        <w:rPr>
          <w:sz w:val="20"/>
          <w:szCs w:val="20"/>
          <w:color w:val="auto"/>
        </w:rPr>
      </w:pPr>
    </w:p>
    <w:p>
      <w:pPr>
        <w:jc w:val="both"/>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year-over-year comparisons in this MD&amp;A are as of and for the fiscal years ended May 2, 2026 and April 26, 2025, unless stated otherwise. Information pertaining to fiscal year 2024, including but not limited to, a comparison of fiscal 2025 with fiscal 2024 results of operations, liquidity, and other information, can be found in Part II, Item 7 “Management’s Discussion And Analysis Of Financial Condition And Results Of Operations” of our Annual Report on </w:t>
      </w:r>
      <w:hyperlink r:id="rId44">
        <w:r>
          <w:rPr>
            <w:rFonts w:ascii="Times New Roman" w:cs="Times New Roman" w:eastAsia="Times New Roman" w:hAnsi="Times New Roman"/>
            <w:sz w:val="18"/>
            <w:szCs w:val="18"/>
            <w:u w:val="single" w:color="auto"/>
            <w:color w:val="auto"/>
          </w:rPr>
          <w:t xml:space="preserve">Form 10-K </w:t>
        </w:r>
      </w:hyperlink>
      <w:r>
        <w:rPr>
          <w:rFonts w:ascii="Times New Roman" w:cs="Times New Roman" w:eastAsia="Times New Roman" w:hAnsi="Times New Roman"/>
          <w:sz w:val="18"/>
          <w:szCs w:val="18"/>
          <w:color w:val="auto"/>
        </w:rPr>
        <w:t>for fiscal 2025 filed with the SEC on June 25, 2025 under the sections entitled “Results of Operations - Consolidated Performance Summary” and “Results of Operations - Reportable Segment Performance Summary.”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Contribution margin</w:t>
      </w:r>
      <w:r>
        <w:rPr>
          <w:rFonts w:ascii="Times New Roman" w:cs="Times New Roman" w:eastAsia="Times New Roman" w:hAnsi="Times New Roman"/>
          <w:sz w:val="18"/>
          <w:szCs w:val="18"/>
          <w:color w:val="auto"/>
        </w:rPr>
        <w:t>, which is a financial measure that is not defined under accounting principles generally accepted in the United States (“GAAP”),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utilized by management to evaluate segment profitability and guide resource allocation decisions. It is defined as gross profit less selling expenses. Selling expenses primarily include personnel-related costs, travel and entertainment, marketing expenditures (such as showroom operations, product demonstrations, depreciation and maintenance, conventions, and trade shows), costs associated with customer relationship management and marketing systems, bad debt expense, third-party commissions, and other related expenses. In the “Results of Operations - Reportable Segment Performance Summary” section of this MD&amp;A, contribution margin is reconciled to gross profit, which is the most directly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gross profit, management considers contribution margin a meaningful metric for assessing the financial performance of individual segments. Management believes this measure provides investors with a useful view of our segment-level performance consistent with the approach used by management. By presenting contribution margin, we aim to enhance transparency and allow investors to better understand how we evaluate and manage our business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Daktronics designs, manufactures, and provides electronic display systems and solutions used to inform, entertain, and communicate in a variety of end markets, including sports, commercial, and transportation. Our offerings include standard display products as well as customized digital display systems integrated with control, software, and content management capabilities.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portfolio ranges from small-scale scoreboards and message displays to large, complex video display systems deployed in stadiums, arenas, commercial facilities, and other high-visibility environments. These systems are often integrated with related technologies, including control systems, timing equipment, audio systems, and software platforms that enable customers to manage and operate display content.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 vertically integrated business model that includes product design and engineering, manufacturing, installation, and ongoing support services. This lifecycle approach allows us to support customers from initial project planning and system deployment through long-term maintenance, upgrades, and replacement cycles.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equipment sales and installation, we provide a range of services, including technical support, professional services, and software-based solutions. These offerings support customers in operating their systems and managing content over the life of the display and contribute to recurring revenue opportunities.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include marketing and sales, engineering and development, manufacturing, project execution, and customer service, supported by a global footprint that enables us to serve customers across multiple regions.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During fiscal 2026, we remained focused on the execution of initiatives intended to support sustainable growth, improve operating margins, and enhance returns on invested capital. The Company’s operating roadmap, informed by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analysis and planning, is intended to support improved alignment between demand and financial performance. Demand trends during fiscal 2026 reflected continued market adoption of digital display technologies and the breadth of Daktronics’ integrated product and service offerings, underscoring the importance of disciplined execution across our operations.</w:t>
      </w:r>
    </w:p>
    <w:p>
      <w:pPr>
        <w:spacing w:after="0" w:line="20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business environment remains dynamic, with several external factors continuing to influence customer demand and operational costs. The Company is affected by U.S.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imposed tariffs on electronic components, aluminum, steel, and copper, as well as reciprocal tariffs imposed by foreign countries. In addition, changes to U.S. trade policy, including the elimination of the de minimis exemption for certain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shipments, continue to increase logistics and import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These tariffs have adversely impacted gross margins and influenced customer purchasing behavior, particularly for projects dependent on federal funding, and may continue to do so in the future. In response, Daktronics continues to evaluate pricing strategies and sourcing plans to mitigate these effects; however, the ultimate impact on demand and profitability remains uncertain.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20, 2026, the U.S. Supreme Court ruled that tariffs imposed by the U.S. presidential administration under the International Emergency Economic Powers Act (“IEEPA”) exceeded presidential authority and were invalid. Following the ruling, the administration implemented a temporary global tariff under alternative trade authorities and has indicated an intention to increase the tariff rate to as much as 15%. The timing, duration, and final rate of these tariffs remain uncertain. In addition, on April 20, 2026, the U.S. Customs and Border Protection (“CBP”) opened a refund portal related to amounts previously paid under the invalidated IEEPA tariffs. While the Company may pursue potential refunds through this process, the timing and amount of refunds, if any, are uncertain.</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the date these financial statements were issued, no amounts related to potential refunds have been recorded in the accompanying financial statements. The Company is evaluating available information and monitoring developments related to the ongoing litigation and CBP’s refund process. Due to the uncertainty regarding eligibility, timing, and the final resolution of tariff refund related administrative matters, the Company is unable to reasonably estimate the likelihood, amount or timing of any potential refunds.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global market for digital display systems continues to expand, supported by customer investments in manufacturing capacity and ongoing advancements in display and control technologies. The industry is experiencing increased adoption of surface mount and chip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board technologies, particularly for narrow pixel pitch (“NPP”) and micro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LED applications, as customers seek higher performance, increased efficiency, and improved reliability. In addition, continued innovation in software, artificial intelligence, and professional services is influencing content creation, user interfaces, system monitoring, and security capabilities across digital display platforms.</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Daktronics participates in target markets that are large and growing and are supported by demand from customers seeking to enhance audience experiences in sports, commercial, and transportation environments. As these markets evolve, the Company continues to invest in capacity, systems, and resources to support execution, address customer requirements, and pursue growth opportunities; however, the timing and extent of market adoption and demand may vary based on economic conditions, customer funding availability, and competitive dynamics.</w:t>
      </w:r>
    </w:p>
    <w:p>
      <w:pPr>
        <w:spacing w:after="0" w:line="204"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To address evolving market conditions and competitive dynamics, we continue to focus on execution initiatives related to digital capabilities, cost structure optimization, and market expansion. These efforts are intended to enhance operating efficiency, improve delivery and service performance, and support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opportunities. While these initiatives are designed to improve financial performance and capital efficiency over time, their effectiveness depends on successful execution, sustained customer demand, and the Company’s ability to manage costs, complexity, and operational change. As a result, the timing and extent of associated benefits remain uncertain.</w:t>
      </w:r>
    </w:p>
    <w:p>
      <w:pPr>
        <w:spacing w:after="0" w:line="18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Company continues to monitor and adjust its capacity and resource levels in response to market conditions. As part of its efforts to increase manufacturing flexibility and operational agility, Daktronics is expanding its global manufacturing footprint to include a facility in Mexico. The facility is expected to commence production in fiscal 2027. While the Company expects the facility to support cost structure efficiency and manufacturing flexibility over time, the pace of the production ramp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and the extent and timing of any associated financial benefits depend on execution, staffing, and market conditions.</w:t>
      </w:r>
    </w:p>
    <w:p>
      <w:pPr>
        <w:spacing w:after="0" w:line="20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There may be periods in which sales levels and expense trends are not fully aligned, particularly as the Company continues to invest in operational execution, systems, and corporate governance. These investments may exert pressure on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profitability; however, they are intended to support operating effectiveness, scalability,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creation. The timing and magnitude of any associated benefits remain uncertain and depend on execution and market conditions.</w:t>
      </w:r>
    </w:p>
    <w:p>
      <w:pPr>
        <w:spacing w:after="0" w:line="227"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Despite ongoing uncertainties related to tariffs, geopolitical developments, and federal funding priorities, the fundamental drivers of demand within the audiovisual industry continue to influence customer purchasing decisions. Increased adoption of LED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display systems across end markets, together with the Company’s ongoing development of technologies, services, and sales channels, may support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opportunities. However, actual demand and growth levels will depend on broader economic conditions, customer funding availability, and competitive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Performance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analysis of changes in key items included in the statements of operations for fiscal 2026 as compared to fiscal 2025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of Net sales </w:t>
            </w:r>
            <w:r>
              <w:rPr>
                <w:rFonts w:ascii="Times New Roman" w:cs="Times New Roman" w:eastAsia="Times New Roman" w:hAnsi="Times New Roman"/>
                <w:sz w:val="23"/>
                <w:szCs w:val="23"/>
                <w:b w:val="1"/>
                <w:bCs w:val="1"/>
                <w:color w:val="auto"/>
                <w:vertAlign w:val="superscript"/>
              </w:rPr>
              <w:t>(1)</w:t>
            </w:r>
          </w:p>
        </w:tc>
        <w:tc>
          <w:tcPr>
            <w:tcW w:w="2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of Net sales </w:t>
            </w:r>
            <w:r>
              <w:rPr>
                <w:rFonts w:ascii="Times New Roman" w:cs="Times New Roman" w:eastAsia="Times New Roman" w:hAnsi="Times New Roman"/>
                <w:sz w:val="23"/>
                <w:szCs w:val="23"/>
                <w:b w:val="1"/>
                <w:bCs w:val="1"/>
                <w:color w:val="auto"/>
                <w:vertAlign w:val="superscript"/>
              </w:rPr>
              <w:t>(1)</w:t>
            </w:r>
          </w:p>
        </w:tc>
        <w:tc>
          <w:tcPr>
            <w:tcW w:w="1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3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838,706</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82,229</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609,700</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560,990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229,006</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195,487</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33,519</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64,815</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8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63,498</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43,458</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7"/>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168,158</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162,369</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60,848</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8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8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Pr>
          <w:p>
            <w:pPr>
              <w:spacing w:after="0"/>
              <w:rPr>
                <w:sz w:val="21"/>
                <w:szCs w:val="21"/>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58,334</w:t>
            </w:r>
          </w:p>
        </w:tc>
        <w:tc>
          <w:tcPr>
            <w:tcW w:w="8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Pr>
          <w:p>
            <w:pPr>
              <w:spacing w:after="0"/>
              <w:rPr>
                <w:sz w:val="21"/>
                <w:szCs w:val="21"/>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64,185</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1097.0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64"/>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55,497</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548.3 %</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860,835</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781,347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79,488</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orders, gross profit, and operating expenses were impacted as a result of fiscal 2026 including 53 weeks compared to the 52 weeks in fiscal 2025.</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increase in fiscal 2026 was the result of higher volumes of revenue conversion across business units, primarily driven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Live Events, High School Park and Recreation, and International business units.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associated with performance obligations satisfied in prior periods during the years ended May 2, 2026 and April 26, 2025 was immaterial.</w:t>
      </w:r>
    </w:p>
    <w:p>
      <w:pPr>
        <w:spacing w:after="0" w:line="121"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For the years ended May 2, 2026 and April 26, 2025, our operating income was negatively impacted by a net amount of 0.3 percent of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revenue, or $1.1 million and $1.2 million, respectively, reflecting a consistent level of impact from changes in contract estimates across periods. These amounts result from changes in contract estimates related to projects in progress at the beginning of the respective period. For the year ended May 2, 2026, these changes in estimates resulted primarily from favorable project execution of 0.4 percent of overtime revenue, or $1.6 million, reduced cost estimates, and contingencies that were relieved when conditions were resolved. Gross unfavorable changes in contract estimates were 0.7 percent of overtime revenue, or $2.6 million, and were immaterial in fiscal 2026. For the year ended April 26, 2025, these changes in estimates resulted primarily from favorable project execution of 0.8 percent of overtime revenue, or $2.8 million, reduced cost estimates, and contingencies that were relieved when conditions were resolved. Gross unfavorable changes in contract estimates were 1.1 percent of overtime revenue, or $4.0 million, and were immaterial in fiscal 2025. See “Note 1. Nature of Business and Summary of Significant Accounting Policies” of the Notes to our Consolidated Financial Statements included in this Form 10-K for more information regarding revenue recognition.</w:t>
      </w:r>
    </w:p>
    <w:p>
      <w:pPr>
        <w:spacing w:after="0" w:line="19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Orders: </w:t>
      </w:r>
      <w:r>
        <w:rPr>
          <w:rFonts w:ascii="Times New Roman" w:cs="Times New Roman" w:eastAsia="Times New Roman" w:hAnsi="Times New Roman"/>
          <w:sz w:val="18"/>
          <w:szCs w:val="18"/>
          <w:color w:val="auto"/>
        </w:rPr>
        <w:t>Order volume growth was driven by higher bookings in the Live Events, High School Park and Recreation, Transportation, and International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units, partially offset by reduced activity in the Commercial business unit. Demand remained supported by continued investment in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video display systems across the professional sports, transportation, education, and international markets. This activity included projects at major professional sports venues, continued momentum in aviation and intelligent transportation systems, increased adoption of video displays in school and community applications, and opportunities in international markets. As a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business, order volume can fluctuate based on the timing and size of individual projects. During fiscal 2026, bookings benefited from a higher level of large-scale projects available in the marketplace.</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The gross profit percentage increase was driven by a combination of strategic pricing, continued operational efficiencies, and overall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mix across our business. Total warranty expense as a percent of sales decreased to 1.3 percent for fiscal 2026 as compared to 1.6 percent during fiscal 2025 primarily due to favorable cost experience.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expense lines increased for variable compensation and profit sharing linked to revenue and operating margins achieved in fiscal 2026 as compared to</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achieved in fiscal 2025. For fiscal 2026, these expenses totaled $3.5 million, including $1.5 million in cost of sales, $0.8 million in selling, $0.8 million in general and administrative, and $0.4 million in product design and development. In fiscal 2025, the amounts achieved were immaterial.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 Selling expenses increased due to increases in personnel-related wages and benefits and increased staffing levels to support future growth.</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primarily due to lower professional fees and other costs as fiscal 2025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elevated expenses related to investor engagement, corporate governance activities, and transformation initiatives. These decreases were partially offset by ongoing investments in information technology and support functions.</w:t>
      </w:r>
    </w:p>
    <w:p>
      <w:pPr>
        <w:spacing w:after="0" w:line="173"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Product design and development expenses increased primarily due to higher personnel-related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staffing levels, as well as continued investments in advanced technologies and engineering services. During the year, we continued to invest in advancing our product capabilities to address evolving customer requirements and to improve product cost efficiency. Development efforts were focused on both standard product and control offerings, as well as ongoing initiatives in emerging technologies, including micro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LED products and enhanced control system capabilities.</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income increased primarily due to higher cash levels invested in interest-bearing accounts offsetting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During fiscal 2025, the interest expense included interest on the Convertible Note, which was settled during fiscal 2025.</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The change in fair value of the Convertible Note line item results from accounting for the Convertible Note.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change was primarily caused by the forced conversion of the entire Convertible Note in the third and fourth quarters of fiscal 2025. All amounts due under the Convertible Note were settled in fiscal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Net other expense decreased in fiscal 2026, primarily reflecting a $3.8 million provision for losses on loans to an equity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compared to a $15.5 million provision recorded for losses associated with a different affiliate in fiscal 2025.</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changed as a result of accounting for the Convertible Note. Our effective tax rate for fiscal 2026 was 22.2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effective tax rate for fiscal 2025 was negative 73.0 percent. The effective income tax rate for fiscal 2025 was primarily impacted due to the Convertible Note fair value adjustment to expense that is not deductible for tax purposes. Additional other items impacting the rate were valuation allowances on equity investments, state taxes, and a write down of deferred taxes related to debt issuance costs on the conversion of the Convertible Note. In fiscal 2026, there were no further impacts of fair value adjustments on the Convertible Note and our effective tax rate has normalized closer to the U.S. statutory rate. See “Note 13. Income Taxes” of the Notes to our Consolidated Financial Statements included in this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Performance Summary</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Non-GAAP Reconciliations: </w:t>
      </w:r>
      <w:r>
        <w:rPr>
          <w:rFonts w:ascii="Times New Roman" w:cs="Times New Roman" w:eastAsia="Times New Roman" w:hAnsi="Times New Roman"/>
          <w:sz w:val="18"/>
          <w:szCs w:val="18"/>
          <w:color w:val="auto"/>
        </w:rPr>
        <w:t>The following table shows information regarding our reportable segment financial performance of contribution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reconciled to GAAP operating income for the fiscal years ended May 2, 2026 and April 26, 2025 (in thousands):</w:t>
      </w:r>
    </w:p>
    <w:p>
      <w:pPr>
        <w:spacing w:after="0" w:line="21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3"/>
          <w:szCs w:val="13"/>
          <w:b w:val="1"/>
          <w:bCs w:val="1"/>
          <w:color w:val="auto"/>
        </w:rPr>
        <w:t>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29210</wp:posOffset>
            </wp:positionV>
            <wp:extent cx="63861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5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1"/>
          <w:szCs w:val="11"/>
          <w:b w:val="1"/>
          <w:bCs w:val="1"/>
          <w:color w:val="auto"/>
        </w:rPr>
        <w:t>High School</w:t>
      </w:r>
    </w:p>
    <w:tbl>
      <w:tblPr>
        <w:tblLayout w:type="fixed"/>
        <w:tblInd w:w="0" w:type="dxa"/>
        <w:tblCellMar>
          <w:top w:w="0" w:type="dxa"/>
          <w:left w:w="0" w:type="dxa"/>
          <w:bottom w:w="0" w:type="dxa"/>
          <w:right w:w="0" w:type="dxa"/>
        </w:tblCellMar>
      </w:tblPr>
      <w:tr>
        <w:trPr>
          <w:trHeight w:val="119"/>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Percent of net</w:t>
            </w:r>
          </w:p>
        </w:tc>
        <w:tc>
          <w:tcPr>
            <w:tcW w:w="60" w:type="dxa"/>
            <w:vAlign w:val="bottom"/>
          </w:tcPr>
          <w:p>
            <w:pPr>
              <w:spacing w:after="0"/>
              <w:rPr>
                <w:sz w:val="10"/>
                <w:szCs w:val="10"/>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Live Events</w:t>
            </w:r>
          </w:p>
        </w:tc>
        <w:tc>
          <w:tcPr>
            <w:tcW w:w="100" w:type="dxa"/>
            <w:vAlign w:val="bottom"/>
            <w:gridSpan w:val="2"/>
            <w:vMerge w:val="restart"/>
          </w:tcPr>
          <w:p>
            <w:pPr>
              <w:spacing w:after="0"/>
              <w:rPr>
                <w:sz w:val="10"/>
                <w:szCs w:val="10"/>
                <w:color w:val="auto"/>
              </w:rPr>
            </w:pPr>
          </w:p>
        </w:tc>
        <w:tc>
          <w:tcPr>
            <w:tcW w:w="800" w:type="dxa"/>
            <w:vAlign w:val="bottom"/>
            <w:gridSpan w:val="4"/>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Percent of net</w:t>
            </w:r>
          </w:p>
        </w:tc>
        <w:tc>
          <w:tcPr>
            <w:tcW w:w="80" w:type="dxa"/>
            <w:vAlign w:val="bottom"/>
          </w:tcPr>
          <w:p>
            <w:pPr>
              <w:spacing w:after="0"/>
              <w:rPr>
                <w:sz w:val="10"/>
                <w:szCs w:val="10"/>
                <w:color w:val="auto"/>
              </w:rPr>
            </w:pPr>
          </w:p>
        </w:tc>
        <w:tc>
          <w:tcPr>
            <w:tcW w:w="800" w:type="dxa"/>
            <w:vAlign w:val="bottom"/>
            <w:gridSpan w:val="3"/>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Percent of net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Percent of net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Percent of net</w:t>
            </w:r>
          </w:p>
        </w:tc>
        <w:tc>
          <w:tcPr>
            <w:tcW w:w="160" w:type="dxa"/>
            <w:vAlign w:val="bottom"/>
          </w:tcPr>
          <w:p>
            <w:pPr>
              <w:spacing w:after="0"/>
              <w:rPr>
                <w:sz w:val="10"/>
                <w:szCs w:val="10"/>
                <w:color w:val="auto"/>
              </w:rPr>
            </w:pPr>
          </w:p>
        </w:tc>
        <w:tc>
          <w:tcPr>
            <w:tcW w:w="620" w:type="dxa"/>
            <w:vAlign w:val="bottom"/>
            <w:vMerge w:val="restart"/>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vMerge w:val="restart"/>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Percent of net</w:t>
            </w:r>
          </w:p>
        </w:tc>
        <w:tc>
          <w:tcPr>
            <w:tcW w:w="0" w:type="dxa"/>
            <w:vAlign w:val="bottom"/>
          </w:tcPr>
          <w:p>
            <w:pPr>
              <w:spacing w:after="0"/>
              <w:rPr>
                <w:sz w:val="1"/>
                <w:szCs w:val="1"/>
                <w:color w:val="auto"/>
              </w:rPr>
            </w:pPr>
          </w:p>
        </w:tc>
      </w:tr>
      <w:tr>
        <w:trPr>
          <w:trHeight w:val="162"/>
        </w:trPr>
        <w:tc>
          <w:tcPr>
            <w:tcW w:w="1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9"/>
                <w:szCs w:val="9"/>
                <w:b w:val="1"/>
                <w:bCs w:val="1"/>
                <w:color w:val="auto"/>
              </w:rPr>
              <w:t>Commercial</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Borders>
              <w:bottom w:val="single" w:sz="8" w:color="CCEEFF"/>
            </w:tcBorders>
            <w:gridSpan w:val="2"/>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 xml:space="preserve">sales </w:t>
            </w:r>
            <w:r>
              <w:rPr>
                <w:rFonts w:ascii="Times New Roman" w:cs="Times New Roman" w:eastAsia="Times New Roman" w:hAnsi="Times New Roman"/>
                <w:sz w:val="11"/>
                <w:szCs w:val="11"/>
                <w:b w:val="1"/>
                <w:bCs w:val="1"/>
                <w:color w:val="auto"/>
                <w:w w:val="97"/>
                <w:vertAlign w:val="superscript"/>
              </w:rPr>
              <w:t>(1)</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Transportation</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 xml:space="preserve">sales </w:t>
            </w:r>
            <w:r>
              <w:rPr>
                <w:rFonts w:ascii="Times New Roman" w:cs="Times New Roman" w:eastAsia="Times New Roman" w:hAnsi="Times New Roman"/>
                <w:sz w:val="11"/>
                <w:szCs w:val="11"/>
                <w:b w:val="1"/>
                <w:bCs w:val="1"/>
                <w:color w:val="auto"/>
                <w:w w:val="97"/>
                <w:vertAlign w:val="superscript"/>
              </w:rPr>
              <w:t>(1)</w:t>
            </w:r>
          </w:p>
        </w:tc>
        <w:tc>
          <w:tcPr>
            <w:tcW w:w="10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9"/>
                <w:szCs w:val="9"/>
                <w:b w:val="1"/>
                <w:bCs w:val="1"/>
                <w:color w:val="auto"/>
              </w:rPr>
              <w:t>International</w:t>
            </w:r>
          </w:p>
        </w:tc>
        <w:tc>
          <w:tcPr>
            <w:tcW w:w="100" w:type="dxa"/>
            <w:vAlign w:val="bottom"/>
            <w:tcBorders>
              <w:bottom w:val="single" w:sz="8" w:color="CCEEFF"/>
            </w:tcBorders>
            <w:gridSpan w:val="2"/>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0" w:type="dxa"/>
            <w:vAlign w:val="bottom"/>
          </w:tcPr>
          <w:p>
            <w:pPr>
              <w:spacing w:after="0"/>
              <w:rPr>
                <w:sz w:val="1"/>
                <w:szCs w:val="1"/>
                <w:color w:val="auto"/>
              </w:rPr>
            </w:pPr>
          </w:p>
        </w:tc>
      </w:tr>
      <w:tr>
        <w:trPr>
          <w:trHeight w:val="163"/>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180,772</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321,053</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183,250</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76,700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76,931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838,706</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129,345</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245,428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122,673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66.9 %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52,825</w:t>
            </w:r>
          </w:p>
        </w:tc>
        <w:tc>
          <w:tcPr>
            <w:tcW w:w="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68.9 %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59,429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77.2 %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609,700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72.7 %</w:t>
            </w:r>
          </w:p>
        </w:tc>
        <w:tc>
          <w:tcPr>
            <w:tcW w:w="0" w:type="dxa"/>
            <w:vAlign w:val="bottom"/>
          </w:tcPr>
          <w:p>
            <w:pPr>
              <w:spacing w:after="0"/>
              <w:rPr>
                <w:sz w:val="1"/>
                <w:szCs w:val="1"/>
                <w:color w:val="auto"/>
              </w:rPr>
            </w:pPr>
          </w:p>
        </w:tc>
      </w:tr>
      <w:tr>
        <w:trPr>
          <w:trHeight w:val="36"/>
        </w:trPr>
        <w:tc>
          <w:tcPr>
            <w:tcW w:w="1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51,427</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75,625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23.6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60,577</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33.1</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23,875</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31.1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22.8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229,006</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27.3</w:t>
            </w: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17,560</w:t>
            </w:r>
          </w:p>
        </w:tc>
        <w:tc>
          <w:tcPr>
            <w:tcW w:w="100" w:type="dxa"/>
            <w:vAlign w:val="bottom"/>
          </w:tcPr>
          <w:p>
            <w:pPr>
              <w:spacing w:after="0"/>
              <w:rPr>
                <w:sz w:val="13"/>
                <w:szCs w:val="13"/>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3.7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9.4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6,206</w:t>
            </w:r>
          </w:p>
        </w:tc>
        <w:tc>
          <w:tcPr>
            <w:tcW w:w="20" w:type="dxa"/>
            <w:vAlign w:val="bottom"/>
          </w:tcPr>
          <w:p>
            <w:pPr>
              <w:spacing w:after="0"/>
              <w:rPr>
                <w:sz w:val="13"/>
                <w:szCs w:val="13"/>
                <w:color w:val="auto"/>
              </w:rPr>
            </w:pPr>
          </w:p>
        </w:tc>
        <w:tc>
          <w:tcPr>
            <w:tcW w:w="80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color w:val="auto"/>
              </w:rPr>
              <w:t>8.1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15.4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64,815</w:t>
            </w:r>
          </w:p>
        </w:tc>
        <w:tc>
          <w:tcPr>
            <w:tcW w:w="100" w:type="dxa"/>
            <w:vAlign w:val="bottom"/>
          </w:tcPr>
          <w:p>
            <w:pPr>
              <w:spacing w:after="0"/>
              <w:rPr>
                <w:sz w:val="13"/>
                <w:szCs w:val="1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36"/>
        </w:trPr>
        <w:tc>
          <w:tcPr>
            <w:tcW w:w="1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33,867</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63,691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19.8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43,304</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23.6</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17,669</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23.0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5,660</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7.4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164,191</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19.6</w:t>
            </w:r>
          </w:p>
        </w:tc>
        <w:tc>
          <w:tcPr>
            <w:tcW w:w="0" w:type="dxa"/>
            <w:vAlign w:val="bottom"/>
          </w:tcPr>
          <w:p>
            <w:pPr>
              <w:spacing w:after="0"/>
              <w:rPr>
                <w:sz w:val="1"/>
                <w:szCs w:val="1"/>
                <w:color w:val="auto"/>
              </w:rPr>
            </w:pPr>
          </w:p>
        </w:tc>
      </w:tr>
      <w:tr>
        <w:trPr>
          <w:trHeight w:val="148"/>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and</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59,885</w:t>
            </w:r>
          </w:p>
        </w:tc>
        <w:tc>
          <w:tcPr>
            <w:tcW w:w="100" w:type="dxa"/>
            <w:vAlign w:val="bottom"/>
          </w:tcPr>
          <w:p>
            <w:pPr>
              <w:spacing w:after="0"/>
              <w:rPr>
                <w:sz w:val="12"/>
                <w:szCs w:val="12"/>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Product design and</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82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43,458</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62"/>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4"/>
            <w:vMerge w:val="continue"/>
            <w:shd w:val="clear" w:color="auto" w:fill="CCEEFF"/>
          </w:tcPr>
          <w:p>
            <w:pPr>
              <w:spacing w:after="0"/>
              <w:rPr>
                <w:sz w:val="14"/>
                <w:szCs w:val="14"/>
                <w:color w:val="auto"/>
              </w:rPr>
            </w:pPr>
          </w:p>
        </w:tc>
        <w:tc>
          <w:tcPr>
            <w:tcW w:w="800" w:type="dxa"/>
            <w:vAlign w:val="bottom"/>
            <w:tcBorders>
              <w:bottom w:val="single" w:sz="8" w:color="CCEEFF"/>
            </w:tcBorders>
            <w:gridSpan w:val="4"/>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vMerge w:val="continue"/>
            <w:shd w:val="clear" w:color="auto" w:fill="CCEEFF"/>
          </w:tcPr>
          <w:p>
            <w:pPr>
              <w:spacing w:after="0"/>
              <w:rPr>
                <w:sz w:val="14"/>
                <w:szCs w:val="14"/>
                <w:color w:val="auto"/>
              </w:rPr>
            </w:pPr>
          </w:p>
        </w:tc>
        <w:tc>
          <w:tcPr>
            <w:tcW w:w="720" w:type="dxa"/>
            <w:vAlign w:val="bottom"/>
            <w:tcBorders>
              <w:bottom w:val="single" w:sz="8" w:color="CCEEFF"/>
            </w:tcBorders>
            <w:gridSpan w:val="3"/>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4"/>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3"/>
            <w:vMerge w:val="continue"/>
            <w:shd w:val="clear" w:color="auto" w:fill="CCEEFF"/>
          </w:tcPr>
          <w:p>
            <w:pPr>
              <w:spacing w:after="0"/>
              <w:rPr>
                <w:sz w:val="14"/>
                <w:szCs w:val="14"/>
                <w:color w:val="auto"/>
              </w:rPr>
            </w:pPr>
          </w:p>
        </w:tc>
        <w:tc>
          <w:tcPr>
            <w:tcW w:w="820" w:type="dxa"/>
            <w:vAlign w:val="bottom"/>
            <w:tcBorders>
              <w:bottom w:val="single" w:sz="8" w:color="CCEEFF"/>
            </w:tcBorders>
            <w:gridSpan w:val="4"/>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33,867</w:t>
            </w:r>
          </w:p>
        </w:tc>
        <w:tc>
          <w:tcPr>
            <w:tcW w:w="10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18.7 %</w:t>
            </w: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63,691</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19.8 %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43,304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23.6 %</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17,669</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5,660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60,848</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172,089</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336,012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188,245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860,835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6"/>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9"/>
          </w:tcPr>
          <w:p>
            <w:pPr>
              <w:ind w:left="360"/>
              <w:spacing w:after="0"/>
              <w:rPr>
                <w:sz w:val="20"/>
                <w:szCs w:val="20"/>
                <w:color w:val="auto"/>
              </w:rPr>
            </w:pPr>
            <w:r>
              <w:rPr>
                <w:rFonts w:ascii="Times New Roman" w:cs="Times New Roman" w:eastAsia="Times New Roman" w:hAnsi="Times New Roman"/>
                <w:sz w:val="13"/>
                <w:szCs w:val="13"/>
                <w:b w:val="1"/>
                <w:bCs w:val="1"/>
                <w:color w:val="auto"/>
              </w:rPr>
              <w:t>Fiscal Year 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4"/>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High School Park</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4"/>
          </w:tcPr>
          <w:p>
            <w:pPr>
              <w:jc w:val="center"/>
              <w:ind w:right="10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80" w:type="dxa"/>
            <w:vAlign w:val="bottom"/>
          </w:tcPr>
          <w:p>
            <w:pPr>
              <w:spacing w:after="0"/>
              <w:rPr>
                <w:sz w:val="8"/>
                <w:szCs w:val="8"/>
                <w:color w:val="auto"/>
              </w:rPr>
            </w:pPr>
          </w:p>
        </w:tc>
        <w:tc>
          <w:tcPr>
            <w:tcW w:w="800" w:type="dxa"/>
            <w:vAlign w:val="bottom"/>
            <w:gridSpan w:val="3"/>
          </w:tcPr>
          <w:p>
            <w:pPr>
              <w:jc w:val="center"/>
              <w:ind w:right="200"/>
              <w:spacing w:after="0" w:line="102" w:lineRule="exact"/>
              <w:rPr>
                <w:sz w:val="20"/>
                <w:szCs w:val="20"/>
                <w:color w:val="auto"/>
              </w:rPr>
            </w:pPr>
            <w:r>
              <w:rPr>
                <w:rFonts w:ascii="Times New Roman" w:cs="Times New Roman" w:eastAsia="Times New Roman" w:hAnsi="Times New Roman"/>
                <w:sz w:val="9"/>
                <w:szCs w:val="9"/>
                <w:b w:val="1"/>
                <w:bCs w:val="1"/>
                <w:color w:val="auto"/>
              </w:rPr>
              <w:t>and</w:t>
            </w:r>
          </w:p>
        </w:tc>
        <w:tc>
          <w:tcPr>
            <w:tcW w:w="720" w:type="dxa"/>
            <w:vAlign w:val="bottom"/>
            <w:gridSpan w:val="3"/>
          </w:tcPr>
          <w:p>
            <w:pPr>
              <w:jc w:val="center"/>
              <w:ind w:right="2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4"/>
          </w:tcPr>
          <w:p>
            <w:pPr>
              <w:jc w:val="center"/>
              <w:ind w:right="12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4"/>
          </w:tcPr>
          <w:p>
            <w:pPr>
              <w:jc w:val="center"/>
              <w:ind w:right="12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0" w:type="dxa"/>
            <w:vAlign w:val="bottom"/>
          </w:tcPr>
          <w:p>
            <w:pPr>
              <w:spacing w:after="0"/>
              <w:rPr>
                <w:sz w:val="1"/>
                <w:szCs w:val="1"/>
                <w:color w:val="auto"/>
              </w:rPr>
            </w:pPr>
          </w:p>
        </w:tc>
      </w:tr>
      <w:tr>
        <w:trPr>
          <w:trHeight w:val="152"/>
        </w:trPr>
        <w:tc>
          <w:tcPr>
            <w:tcW w:w="1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9"/>
                <w:szCs w:val="9"/>
                <w:b w:val="1"/>
                <w:bCs w:val="1"/>
                <w:color w:val="auto"/>
              </w:rPr>
              <w:t>Commercial</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Live Events</w:t>
            </w:r>
          </w:p>
        </w:tc>
        <w:tc>
          <w:tcPr>
            <w:tcW w:w="10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9"/>
                <w:szCs w:val="9"/>
                <w:b w:val="1"/>
                <w:bCs w:val="1"/>
                <w:color w:val="auto"/>
                <w:w w:val="99"/>
              </w:rPr>
              <w:t>Recreation</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Transportation</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9"/>
                <w:szCs w:val="9"/>
                <w:b w:val="1"/>
                <w:bCs w:val="1"/>
                <w:color w:val="auto"/>
              </w:rPr>
              <w:t>International</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9"/>
                <w:szCs w:val="9"/>
                <w:b w:val="1"/>
                <w:bCs w:val="1"/>
                <w:color w:val="auto"/>
                <w:w w:val="97"/>
              </w:rPr>
              <w:t>Total</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0" w:type="dxa"/>
            <w:vAlign w:val="bottom"/>
          </w:tcPr>
          <w:p>
            <w:pPr>
              <w:spacing w:after="0"/>
              <w:rPr>
                <w:sz w:val="1"/>
                <w:szCs w:val="1"/>
                <w:color w:val="auto"/>
              </w:rPr>
            </w:pPr>
          </w:p>
        </w:tc>
      </w:tr>
      <w:tr>
        <w:trPr>
          <w:trHeight w:val="163"/>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156,203</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291,484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165,921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81,061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61,808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756,477</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117,486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228,790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108,126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52,023</w:t>
            </w:r>
          </w:p>
        </w:tc>
        <w:tc>
          <w:tcPr>
            <w:tcW w:w="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64.2 %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54,565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560,990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74.2 %</w:t>
            </w:r>
          </w:p>
        </w:tc>
        <w:tc>
          <w:tcPr>
            <w:tcW w:w="0" w:type="dxa"/>
            <w:vAlign w:val="bottom"/>
          </w:tcPr>
          <w:p>
            <w:pPr>
              <w:spacing w:after="0"/>
              <w:rPr>
                <w:sz w:val="1"/>
                <w:szCs w:val="1"/>
                <w:color w:val="auto"/>
              </w:rPr>
            </w:pPr>
          </w:p>
        </w:tc>
      </w:tr>
      <w:tr>
        <w:trPr>
          <w:trHeight w:val="36"/>
        </w:trPr>
        <w:tc>
          <w:tcPr>
            <w:tcW w:w="1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38,717</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62,694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21.5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57,795</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34.8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29,038</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35.8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7,243</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11.7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195,487</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25.8</w:t>
            </w: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17,106</w:t>
            </w:r>
          </w:p>
        </w:tc>
        <w:tc>
          <w:tcPr>
            <w:tcW w:w="100" w:type="dxa"/>
            <w:vAlign w:val="bottom"/>
          </w:tcPr>
          <w:p>
            <w:pPr>
              <w:spacing w:after="0"/>
              <w:rPr>
                <w:sz w:val="13"/>
                <w:szCs w:val="13"/>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15,758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9.5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5,404</w:t>
            </w:r>
          </w:p>
        </w:tc>
        <w:tc>
          <w:tcPr>
            <w:tcW w:w="20" w:type="dxa"/>
            <w:vAlign w:val="bottom"/>
          </w:tcPr>
          <w:p>
            <w:pPr>
              <w:spacing w:after="0"/>
              <w:rPr>
                <w:sz w:val="13"/>
                <w:szCs w:val="13"/>
                <w:color w:val="auto"/>
              </w:rPr>
            </w:pPr>
          </w:p>
        </w:tc>
        <w:tc>
          <w:tcPr>
            <w:tcW w:w="80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color w:val="auto"/>
              </w:rPr>
              <w:t>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10,741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17.4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60,011</w:t>
            </w:r>
          </w:p>
        </w:tc>
        <w:tc>
          <w:tcPr>
            <w:tcW w:w="100" w:type="dxa"/>
            <w:vAlign w:val="bottom"/>
          </w:tcPr>
          <w:p>
            <w:pPr>
              <w:spacing w:after="0"/>
              <w:rPr>
                <w:sz w:val="13"/>
                <w:szCs w:val="1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35"/>
        </w:trPr>
        <w:tc>
          <w:tcPr>
            <w:tcW w:w="1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21,611</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51,692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17.7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42,037</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25.3</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23,634</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29.2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(5.7)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135,476</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35"/>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and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63,498</w:t>
            </w:r>
          </w:p>
        </w:tc>
        <w:tc>
          <w:tcPr>
            <w:tcW w:w="100" w:type="dxa"/>
            <w:vAlign w:val="bottom"/>
          </w:tcPr>
          <w:p>
            <w:pPr>
              <w:spacing w:after="0"/>
              <w:rPr>
                <w:sz w:val="12"/>
                <w:szCs w:val="12"/>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8.4</w:t>
            </w:r>
          </w:p>
        </w:tc>
        <w:tc>
          <w:tcPr>
            <w:tcW w:w="0" w:type="dxa"/>
            <w:vAlign w:val="bottom"/>
          </w:tcPr>
          <w:p>
            <w:pPr>
              <w:spacing w:after="0"/>
              <w:rPr>
                <w:sz w:val="1"/>
                <w:szCs w:val="1"/>
                <w:color w:val="auto"/>
              </w:rPr>
            </w:pPr>
          </w:p>
        </w:tc>
      </w:tr>
      <w:tr>
        <w:trPr>
          <w:trHeight w:val="35"/>
        </w:trPr>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Product design and</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38,860</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78"/>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21,611</w:t>
            </w:r>
          </w:p>
        </w:tc>
        <w:tc>
          <w:tcPr>
            <w:tcW w:w="10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13.8 %</w:t>
            </w: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51,692</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42,037</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25.3 %</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23,634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29.2 %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(3,498)</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1"/>
                <w:szCs w:val="11"/>
                <w:color w:val="auto"/>
                <w:w w:val="92"/>
              </w:rPr>
              <w:t>(5.7)%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33,118</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176,583</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283,780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176,097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72,315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72,572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781,347</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2"/>
        </w:trPr>
        <w:tc>
          <w:tcPr>
            <w:tcW w:w="1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 xml:space="preserve">Net Dollar and % Change </w:t>
            </w:r>
            <w:r>
              <w:rPr>
                <w:rFonts w:ascii="Times New Roman" w:cs="Times New Roman" w:eastAsia="Times New Roman" w:hAnsi="Times New Roman"/>
                <w:sz w:val="16"/>
                <w:szCs w:val="16"/>
                <w:b w:val="1"/>
                <w:bCs w:val="1"/>
                <w:color w:val="auto"/>
                <w:w w:val="97"/>
                <w:vertAlign w:val="superscript"/>
              </w:rPr>
              <w:t>(1)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High School</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Percent Change</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Live Events</w:t>
            </w:r>
          </w:p>
        </w:tc>
        <w:tc>
          <w:tcPr>
            <w:tcW w:w="10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8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Percent Change</w:t>
            </w:r>
          </w:p>
        </w:tc>
        <w:tc>
          <w:tcPr>
            <w:tcW w:w="80" w:type="dxa"/>
            <w:vAlign w:val="bottom"/>
          </w:tcPr>
          <w:p>
            <w:pPr>
              <w:spacing w:after="0"/>
              <w:rPr>
                <w:sz w:val="11"/>
                <w:szCs w:val="11"/>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Park and</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Percent Change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vMerge w:val="restart"/>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87"/>
              <w:spacing w:after="0"/>
              <w:rPr>
                <w:sz w:val="20"/>
                <w:szCs w:val="20"/>
                <w:color w:val="auto"/>
              </w:rPr>
            </w:pPr>
            <w:r>
              <w:rPr>
                <w:rFonts w:ascii="Times New Roman" w:cs="Times New Roman" w:eastAsia="Times New Roman" w:hAnsi="Times New Roman"/>
                <w:sz w:val="9"/>
                <w:szCs w:val="9"/>
                <w:b w:val="1"/>
                <w:bCs w:val="1"/>
                <w:color w:val="auto"/>
              </w:rPr>
              <w:t>Commercial</w:t>
            </w:r>
          </w:p>
        </w:tc>
        <w:tc>
          <w:tcPr>
            <w:tcW w:w="100" w:type="dxa"/>
            <w:vAlign w:val="bottom"/>
            <w:vMerge w:val="restart"/>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restart"/>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jc w:val="right"/>
              <w:ind w:right="87"/>
              <w:spacing w:after="0"/>
              <w:rPr>
                <w:sz w:val="20"/>
                <w:szCs w:val="20"/>
                <w:color w:val="auto"/>
              </w:rPr>
            </w:pPr>
            <w:r>
              <w:rPr>
                <w:rFonts w:ascii="Times New Roman" w:cs="Times New Roman" w:eastAsia="Times New Roman" w:hAnsi="Times New Roman"/>
                <w:sz w:val="8"/>
                <w:szCs w:val="8"/>
                <w:b w:val="1"/>
                <w:bCs w:val="1"/>
                <w:color w:val="auto"/>
                <w:w w:val="99"/>
              </w:rPr>
              <w:t>Transportation</w:t>
            </w: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 xml:space="preserve">Percent Change </w:t>
            </w:r>
            <w:r>
              <w:rPr>
                <w:rFonts w:ascii="Times New Roman" w:cs="Times New Roman" w:eastAsia="Times New Roman" w:hAnsi="Times New Roman"/>
                <w:sz w:val="11"/>
                <w:szCs w:val="11"/>
                <w:b w:val="1"/>
                <w:bCs w:val="1"/>
                <w:color w:val="auto"/>
                <w:w w:val="94"/>
                <w:vertAlign w:val="superscript"/>
              </w:rPr>
              <w:t>(1)</w:t>
            </w: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jc w:val="right"/>
              <w:ind w:right="87"/>
              <w:spacing w:after="0"/>
              <w:rPr>
                <w:sz w:val="20"/>
                <w:szCs w:val="20"/>
                <w:color w:val="auto"/>
              </w:rPr>
            </w:pPr>
            <w:r>
              <w:rPr>
                <w:rFonts w:ascii="Times New Roman" w:cs="Times New Roman" w:eastAsia="Times New Roman" w:hAnsi="Times New Roman"/>
                <w:sz w:val="9"/>
                <w:szCs w:val="9"/>
                <w:b w:val="1"/>
                <w:bCs w:val="1"/>
                <w:color w:val="auto"/>
              </w:rPr>
              <w:t>International</w:t>
            </w: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7"/>
              </w:rPr>
              <w:t xml:space="preserve">Percent Change </w:t>
            </w:r>
            <w:r>
              <w:rPr>
                <w:rFonts w:ascii="Times New Roman" w:cs="Times New Roman" w:eastAsia="Times New Roman" w:hAnsi="Times New Roman"/>
                <w:sz w:val="11"/>
                <w:szCs w:val="11"/>
                <w:b w:val="1"/>
                <w:bCs w:val="1"/>
                <w:color w:val="auto"/>
                <w:w w:val="97"/>
                <w:vertAlign w:val="superscript"/>
              </w:rPr>
              <w:t>(1)</w:t>
            </w:r>
          </w:p>
        </w:tc>
        <w:tc>
          <w:tcPr>
            <w:tcW w:w="100" w:type="dxa"/>
            <w:vAlign w:val="bottom"/>
            <w:gridSpan w:val="2"/>
            <w:vMerge w:val="restart"/>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 xml:space="preserve">Percent Change </w:t>
            </w:r>
            <w:r>
              <w:rPr>
                <w:rFonts w:ascii="Times New Roman" w:cs="Times New Roman" w:eastAsia="Times New Roman" w:hAnsi="Times New Roman"/>
                <w:sz w:val="11"/>
                <w:szCs w:val="11"/>
                <w:b w:val="1"/>
                <w:bCs w:val="1"/>
                <w:color w:val="auto"/>
                <w:w w:val="97"/>
                <w:vertAlign w:val="superscript"/>
              </w:rPr>
              <w:t>(1)</w:t>
            </w:r>
          </w:p>
        </w:tc>
        <w:tc>
          <w:tcPr>
            <w:tcW w:w="0" w:type="dxa"/>
            <w:vAlign w:val="bottom"/>
          </w:tcPr>
          <w:p>
            <w:pPr>
              <w:spacing w:after="0" w:line="20" w:lineRule="exact"/>
              <w:rPr>
                <w:sz w:val="1"/>
                <w:szCs w:val="1"/>
                <w:color w:val="auto"/>
              </w:rPr>
            </w:pPr>
          </w:p>
        </w:tc>
      </w:tr>
      <w:tr>
        <w:trPr>
          <w:trHeight w:val="122"/>
        </w:trPr>
        <w:tc>
          <w:tcPr>
            <w:tcW w:w="1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w w:val="85"/>
              </w:rPr>
              <w:t>(1)</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w w:val="85"/>
              </w:rPr>
              <w:t>(1)</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6"/>
                <w:szCs w:val="6"/>
                <w:b w:val="1"/>
                <w:bCs w:val="1"/>
                <w:color w:val="auto"/>
              </w:rPr>
              <w:t>(1)</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24,569</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29,569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10.1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17,329</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10.4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(4,361)</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(5.4)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15,123</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24.5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82,229</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10.9</w:t>
            </w:r>
          </w:p>
        </w:tc>
        <w:tc>
          <w:tcPr>
            <w:tcW w:w="0" w:type="dxa"/>
            <w:vAlign w:val="bottom"/>
          </w:tcPr>
          <w:p>
            <w:pPr>
              <w:spacing w:after="0"/>
              <w:rPr>
                <w:sz w:val="1"/>
                <w:szCs w:val="1"/>
                <w:color w:val="auto"/>
              </w:rPr>
            </w:pPr>
          </w:p>
        </w:tc>
      </w:tr>
      <w:tr>
        <w:trPr>
          <w:trHeight w:val="154"/>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11,859</w:t>
            </w:r>
          </w:p>
        </w:tc>
        <w:tc>
          <w:tcPr>
            <w:tcW w:w="100" w:type="dxa"/>
            <w:vAlign w:val="bottom"/>
          </w:tcPr>
          <w:p>
            <w:pPr>
              <w:spacing w:after="0"/>
              <w:rPr>
                <w:sz w:val="13"/>
                <w:szCs w:val="13"/>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7.3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14,548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13.5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802</w:t>
            </w:r>
          </w:p>
        </w:tc>
        <w:tc>
          <w:tcPr>
            <w:tcW w:w="20" w:type="dxa"/>
            <w:vAlign w:val="bottom"/>
          </w:tcPr>
          <w:p>
            <w:pPr>
              <w:spacing w:after="0"/>
              <w:rPr>
                <w:sz w:val="13"/>
                <w:szCs w:val="13"/>
                <w:color w:val="auto"/>
              </w:rPr>
            </w:pPr>
          </w:p>
        </w:tc>
        <w:tc>
          <w:tcPr>
            <w:tcW w:w="80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color w:val="auto"/>
              </w:rPr>
              <w:t>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4,864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48,710</w:t>
            </w:r>
          </w:p>
        </w:tc>
        <w:tc>
          <w:tcPr>
            <w:tcW w:w="100" w:type="dxa"/>
            <w:vAlign w:val="bottom"/>
          </w:tcPr>
          <w:p>
            <w:pPr>
              <w:spacing w:after="0"/>
              <w:rPr>
                <w:sz w:val="13"/>
                <w:szCs w:val="1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35"/>
        </w:trPr>
        <w:tc>
          <w:tcPr>
            <w:tcW w:w="1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12,710</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32.8</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12,931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20.6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2,781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4.8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(5,163)</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(17.8)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10,259</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141.6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33,519</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17.1</w:t>
            </w: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100" w:type="dxa"/>
            <w:vAlign w:val="bottom"/>
          </w:tcPr>
          <w:p>
            <w:pPr>
              <w:spacing w:after="0"/>
              <w:rPr>
                <w:sz w:val="13"/>
                <w:szCs w:val="13"/>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8.5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1,514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9.6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802</w:t>
            </w:r>
          </w:p>
        </w:tc>
        <w:tc>
          <w:tcPr>
            <w:tcW w:w="20" w:type="dxa"/>
            <w:vAlign w:val="bottom"/>
          </w:tcPr>
          <w:p>
            <w:pPr>
              <w:spacing w:after="0"/>
              <w:rPr>
                <w:sz w:val="13"/>
                <w:szCs w:val="13"/>
                <w:color w:val="auto"/>
              </w:rPr>
            </w:pPr>
          </w:p>
        </w:tc>
        <w:tc>
          <w:tcPr>
            <w:tcW w:w="80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color w:val="auto"/>
              </w:rPr>
              <w:t>14.8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10.3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4,804</w:t>
            </w:r>
          </w:p>
        </w:tc>
        <w:tc>
          <w:tcPr>
            <w:tcW w:w="100" w:type="dxa"/>
            <w:vAlign w:val="bottom"/>
          </w:tcPr>
          <w:p>
            <w:pPr>
              <w:spacing w:after="0"/>
              <w:rPr>
                <w:sz w:val="13"/>
                <w:szCs w:val="1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8.0</w:t>
            </w:r>
          </w:p>
        </w:tc>
        <w:tc>
          <w:tcPr>
            <w:tcW w:w="0" w:type="dxa"/>
            <w:vAlign w:val="bottom"/>
          </w:tcPr>
          <w:p>
            <w:pPr>
              <w:spacing w:after="0"/>
              <w:rPr>
                <w:sz w:val="1"/>
                <w:szCs w:val="1"/>
                <w:color w:val="auto"/>
              </w:rPr>
            </w:pPr>
          </w:p>
        </w:tc>
      </w:tr>
      <w:tr>
        <w:trPr>
          <w:trHeight w:val="35"/>
        </w:trPr>
        <w:tc>
          <w:tcPr>
            <w:tcW w:w="1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12,256</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56.7</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11,999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23.2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1,267</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3.0</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(5,965)</w:t>
            </w:r>
          </w:p>
        </w:tc>
        <w:tc>
          <w:tcPr>
            <w:tcW w:w="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(25.2)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9,158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261.8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28,715</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21.2</w:t>
            </w:r>
          </w:p>
        </w:tc>
        <w:tc>
          <w:tcPr>
            <w:tcW w:w="0" w:type="dxa"/>
            <w:vAlign w:val="bottom"/>
          </w:tcPr>
          <w:p>
            <w:pPr>
              <w:spacing w:after="0"/>
              <w:rPr>
                <w:sz w:val="1"/>
                <w:szCs w:val="1"/>
                <w:color w:val="auto"/>
              </w:rPr>
            </w:pPr>
          </w:p>
        </w:tc>
      </w:tr>
      <w:tr>
        <w:trPr>
          <w:trHeight w:val="148"/>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and</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(3,613)</w:t>
            </w:r>
          </w:p>
        </w:tc>
        <w:tc>
          <w:tcPr>
            <w:tcW w:w="10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1"/>
                <w:szCs w:val="11"/>
                <w:color w:val="auto"/>
              </w:rPr>
              <w:t>(5.7)</w:t>
            </w: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Product design and</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82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4"/>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4"/>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4,597</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11.8</w:t>
            </w:r>
          </w:p>
        </w:tc>
        <w:tc>
          <w:tcPr>
            <w:tcW w:w="0" w:type="dxa"/>
            <w:vAlign w:val="bottom"/>
          </w:tcPr>
          <w:p>
            <w:pPr>
              <w:spacing w:after="0"/>
              <w:rPr>
                <w:sz w:val="1"/>
                <w:szCs w:val="1"/>
                <w:color w:val="auto"/>
              </w:rPr>
            </w:pPr>
          </w:p>
        </w:tc>
      </w:tr>
      <w:tr>
        <w:trPr>
          <w:trHeight w:val="162"/>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4"/>
            <w:vMerge w:val="continue"/>
            <w:shd w:val="clear" w:color="auto" w:fill="CCEEFF"/>
          </w:tcPr>
          <w:p>
            <w:pPr>
              <w:spacing w:after="0"/>
              <w:rPr>
                <w:sz w:val="14"/>
                <w:szCs w:val="14"/>
                <w:color w:val="auto"/>
              </w:rPr>
            </w:pPr>
          </w:p>
        </w:tc>
        <w:tc>
          <w:tcPr>
            <w:tcW w:w="800" w:type="dxa"/>
            <w:vAlign w:val="bottom"/>
            <w:tcBorders>
              <w:bottom w:val="single" w:sz="8" w:color="CCEEFF"/>
            </w:tcBorders>
            <w:gridSpan w:val="4"/>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vMerge w:val="continue"/>
            <w:shd w:val="clear" w:color="auto" w:fill="CCEEFF"/>
          </w:tcPr>
          <w:p>
            <w:pPr>
              <w:spacing w:after="0"/>
              <w:rPr>
                <w:sz w:val="14"/>
                <w:szCs w:val="14"/>
                <w:color w:val="auto"/>
              </w:rPr>
            </w:pPr>
          </w:p>
        </w:tc>
        <w:tc>
          <w:tcPr>
            <w:tcW w:w="720" w:type="dxa"/>
            <w:vAlign w:val="bottom"/>
            <w:tcBorders>
              <w:bottom w:val="single" w:sz="8" w:color="CCEEFF"/>
            </w:tcBorders>
            <w:gridSpan w:val="3"/>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4"/>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3"/>
            <w:vMerge w:val="continue"/>
            <w:shd w:val="clear" w:color="auto" w:fill="CCEEFF"/>
          </w:tcPr>
          <w:p>
            <w:pPr>
              <w:spacing w:after="0"/>
              <w:rPr>
                <w:sz w:val="14"/>
                <w:szCs w:val="14"/>
                <w:color w:val="auto"/>
              </w:rPr>
            </w:pPr>
          </w:p>
        </w:tc>
        <w:tc>
          <w:tcPr>
            <w:tcW w:w="820" w:type="dxa"/>
            <w:vAlign w:val="bottom"/>
            <w:tcBorders>
              <w:bottom w:val="single" w:sz="8" w:color="CCEEFF"/>
            </w:tcBorders>
            <w:gridSpan w:val="4"/>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12,256</w:t>
            </w:r>
          </w:p>
        </w:tc>
        <w:tc>
          <w:tcPr>
            <w:tcW w:w="10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56.7 %</w:t>
            </w: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1,267</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(5,965)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9,158</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261.8 %</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27,730</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83.7 %</w:t>
            </w: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(4,494)</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12,148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17,153</w:t>
            </w:r>
          </w:p>
        </w:tc>
        <w:tc>
          <w:tcPr>
            <w:tcW w:w="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23.7 %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2,450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79,488</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 margin increased in fiscal 2026 compared to fiscal 2025 in the Commercial, Live Events, High School Park and Recreation, and International business units, offset by reduced contribution margin in the Transportation business unit. Overall, gross profit increased in fiscal 2026 compared to fiscal 2025, primarily driven by improved performance across most business units. The increase reflects favorable sales mix, higher sales volume in key end markets, and the continued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benefits of pricing actions and operational improvements implemented over the past several periods, partially offset by lower gross profit in the Transportation business unit. Gross profit improvements were supported by ongoing efforts to align manufacturing capacity with demand, stabilize input costs, and enhance operational efficiency. Additionally, fewer supply chain and operational disruptions contributed to improved execution on project work.</w:t>
      </w:r>
    </w:p>
    <w:p>
      <w:pPr>
        <w:spacing w:after="0" w:line="13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the years ended May 2, 2026 and April 26, 2025, our operating income was negatively impacted by a net amount of 0.3 percent of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revenue, or $1.1 million and $1.2 million, respectively, reflecting a consistent level of impact from changes in contract estimates across periods. These amounts result from changes in contract estimates related to projects in progress at the beginning of the respective period. For the year ended May 2, 2026, these changes in estimates resulted primarily from favorable project execution of 0.4 percent of overtime revenue, or $1.6 million, reduced cost estimates, and contingencies that were relieved when conditions were resolved. Gross unfavorable changes in contract estimates were 0.7 percent of overtime revenue, or $2.6 million, and were immaterial in fiscal 2026. For the year ended April 26, 2025, operating income was positively impacted by a net amount of 1.0 percent of overtime revenue, or $4.1 million. These changes are a result of changes in contract estimates related to projects in progress at the beginning of the respective period. These changes in estimates resulted primarily from favorable project execution of 0.8 percent of overtime revenue, or $2.8 million, reduced cost estimates, and contingencies that were relieved when conditions were resolved. Gross unfavorable changes in contract estimates were 1.1 percent of overtime revenue, or $4.1 million, and were immaterial. For fiscal 2026, the Live Events business unit had the largest gross positive impact of $0.9 million and $1.7 million gross negative impact, which represented 0.3 percent and 0.7 percent of overtime revenue sales in Live Events, respectively. For fiscal 2025, the Live Events business unit had the largest gross positive impact of $1.8 million and $3.0 million gross negative impact, which represented 0.8 percent and 1.3 percent of overtime revenue sales in Live Events, respectively. For both fiscal 2026 and fiscal 2025, the remaining business units had immaterial gross positive and gross negative changes. See “Note 1. Nature of Business and Summary of Significant Accounting Policies” of the Notes to our Consolidated Financial Statements included in this Form 10-K and “Critical Accounting Estimates” under “Part II, Item 7. Management’s Discussion and Analysis of Financial Condition and Results of Operations” in this Form 10-K for more information regarding revenue recognition.</w:t>
      </w:r>
    </w:p>
    <w:p>
      <w:pPr>
        <w:spacing w:after="0" w:line="167"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increase in net sales was primarily driven by the execution of orders in Spectacular LED video display projects,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signage, and OOH digital billboard applications. Order bookings decreased compared to the prior year, primarily reflecting the timing and size of project awards, as fiscal 2025 included a higher level of large project activity in the Commercial business unit. Gross profit as a percentage of sales increased due to a more favorable mix of projects, including a higher proportion of Spectaculars, as well as improved leverage of fixed costs on higher sales volume. Selling expenses remained relatively consistent year-over-year.</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increase in net sales was driven by a higher buildable backlog resulting from strong order activity in prior periods and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on large-scale projects. Order bookings increased year over year, reflecting strong demand for large venue projects, including activity in professional sports venues such as Major League Baseball, as well as the timing and size of project awards typical in this business. Gross profit as a percentage of sales increased, primarily due to higher sales volume and a more favorable mix of projects, which improved absorption of fixed costs. Selling expenses increased primarily due to personnel-related wage and benefit costs associated with investments in staffing to support future growth.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increase in net sales was primarily driven by higher project execution and continued demand for video display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Order bookings increased as a result of continued industry trends toward schools adopting video display solutions, which generally involve higher-value projects compared to more traditional product offerings. Gross profit increased in dollars but decreased as a percentage of sales, primarily reflecting higher sales volume partially offset by a less favorable mix of projects and cost pressures on certain programs. Selling expenses increased primarily due to personnel-related wage and benefit costs associated with investments in staffing to support future growth.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decrease in net sales was primarily driven by lower backlog available for execution compared to the prior year, reflecting the timing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bookings in earlier periods. Order bookings increased year over year, reflecting continued demand, particularly in the airport and intelligent transportation systems (ITS) markets, as well as the timing of project awards. Gross profit as a percentage of sales decreased, primarily due to a less favorable project mix, added tariff-related costs, and competitive pricing pressures, which resulted in higher cost of goods sold as a percentage of sales. Selling expenses increased primarily due to personnel-related wage and benefit costs associated with investments in staffing to support future growth.</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increase in net sales was primarily driven by higher project execution during the period, reflecting the timing of backlog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Order bookings increased, reflecting improved demand across various international markets. Gross profit increased due to higher sales volume and improved absorption of fixed costs. Selling expenses increased in dollars, primarily due to higher personnel-related costs and increased sales activity, but decreased as a percentage of sales due to higher revenue volume.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The $49.2 million in cash provided by operating activities for fiscal 2026 was the result of business profitability,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changes in operating assets and liabilities. Cash provided by operating activities decreased compared to fiscal 2025, reflecting higher working capital usage in fiscal 2026. Changes in operating assets and liabilities were primarily driven by increases in accounts receivable and contract assets associated with project activity, as well as continued investment in inventory, partially offset by increases in accounts payable. In the prior year, operating cash flows benefited from more favorable working capital movements.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primarily reflects capital expenditures and loans to affiliates. During fiscal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fiscal 2025, purchases of property and equipment totaled $14.9 million and $19.5 million, respectively, and investments in affiliates were $5.4 million and $4.6 million, respectively.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primarily reflects share repurchase activity and debt-related payments.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2026, financing cash outflow included $25.6 million for payments for shares repurchased and $2.9 million for payments on notes payable, partially offset by a cash inflow of $1.8 million received for the exercise of stock options. During fiscal 2025, financing cash outflow included $29.5 million for payments for shares repurchased and $2.1 million for payments on notes payable, partially offset by a cash inflow of $5.2 million received in connection with the exercise of stock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Cash</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On November 26, 2025, we entered into a new $71.5 million senior credit facility (the “New Credit Facility”) pursuant to a Credit Agreement (the “New Credit Agreement”). The New Credit Facility consists of a cash flow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revolving line of credit (the “Revolver”) and a term loan that is not collateralized by real estate (the “New Term Loan”). We believe the New Credit Facility enhances financial flexibility in managing our operations and capital structure by extending maturities and providing committed liquidity. As of May 2, 2026, there were no advances under the New Term Loan, and the balance of letters of credit outstanding under the Revolver was approximately $1.9 million.</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2, 2026, we had $131.6 million in cash and cash equivalents. We believe that our cash flow from operating activities, together with existing cash and cash equivalents and availability under the New Credit Facility, will be sufficient to fund our working capital, capital expenditures, debt service, stock repurchases, and other financial requirements for at least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equivalent balances consist of high-quality, short-term money market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cash and sources of funds for our operations are cash flows from operations, current cash and cash equivalents, investments in our affiliates, and borrowings under the New Credit Facility. We were in compliance with all debt covenants under the New Credit Agreement as of May 2, 2026, and we expect to remain in compliance with those covenants for at least the next 12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on financing agreements, see “Note 8. Financing Agreements” of the Notes to our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Working capital was $254.3 million and $209.4 million as of May 2, 2026 and April 26, 2025, respectively. The increase in working capital was primarily driven by higher levels of accounts receivable, contract assets, and inventories, reflecting increased project activity and timing of customer billings, partially offset by an increase in accounts payable. Changes in working capital can be impacted by fluctuations in inventories, accounts payable, accounts receivable, and contract assets and liabilities, which are influenced by the sports market and construction seasonality. These changes can have a significant impact on the amount of net cash provided by or used in operating activities, largely due to the timing of payments for inventory and subcontractors and receipts from our customers. On multimillion-dollar orders, the time between order acceptance and project completion may extend up to or exceed 12 months depending on the amount of custom work and a customer’s delivery needs. We use cash to purchase inventory and services at the beginning of these orders and often receive down payments or progress payments on these orders to balance cash flows.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$6.8 million of retainage on long-term contracts included in receivables and contract assets as of May 2, 2026, which we expect to collect within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and Capital Uses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long-term capital allocation strategy is to prioritize funding operations and investments in areas that support strategy execution including growth and operational excellence, while maintaining reasonable liquidity and leverage ratios that reflect a prudent and compliant capital structure in light of the cyclicality of our business, and the reduction of debt. We expect to invest in value-accretive inorganic opportunities, and then return excess cash over time to stockholders through dividends or share repurchases. During fiscal year 2026, we did repurchase shares of common stock, and we did not pay a dividend.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growth and forward strategies depend on investments in capital expenditures and strategic investments. We project total capital expenditures to be approximately $26.6 million for fiscal 2027.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 In addition to capital expenditures, we plan to make additional investments in our general and administrative expenses to execute our broad digital transformation strategies to modernize our service systems for field service automation, advance our enterprise performance planning capabilities, and to improve and automate quoting and sales processes. We also evaluate and may make strategic investments in new technologies, in our affiliates, or acquire companies aligned with our business strategy.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$190.0 million bonding line available through surety companies. If we were unable to complete the installation work, and our customer would call upon the bond for payment, the surety company would subrogate its loss to Daktronics. As of May 2, 2026, we had $49.0 million of bonded work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Notes to the Consolidated Financial Statements included in this Form 10-K have been prepared in accordance with accounting principles generally accepted in the United States of America (“GAAP”). The preparation of these financial statements requires us to make estimates and judgments affecting the reported amounts of assets, liabilities, revenues, and expenses and related disclosure of contingent assets and liabilities. Although our significant accounting policies are described in “Note 1. Nature of Business and Summary of Significant Accounting Policies” of the Notes to our Consolidated Financial Statements included in this Form 10-K, the following discussion is intended to identify and describe those accounting estimates made in accordance with GAAP that involve a significant level of uncertainty at the time the estimate was made and where changes in the estimates have had, or are reasonably likely to have, a material impact on our financial condition or results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estimation process for uniquely configured contracts and warranties is material and critical. These areas contain estimates with a reasonable likelihood to change, and those changes could have a material impact on our financial condition and results of operations. The estimation processes for these areas are also difficult, subjective, and use complex</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judgments. Our critical accounting estimates are based on historical experience, our interpretation of GAAP, current laws and regulations,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on uniquely configured contracts. </w:t>
      </w:r>
      <w:r>
        <w:rPr>
          <w:rFonts w:ascii="Times New Roman" w:cs="Times New Roman" w:eastAsia="Times New Roman" w:hAnsi="Times New Roman"/>
          <w:sz w:val="18"/>
          <w:szCs w:val="18"/>
          <w:color w:val="auto"/>
        </w:rPr>
        <w:t>Revenue for uniquely configured (custom) or integrated systems is recognized over time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cost-to-cost input method by comparing cumulative costs incurred to the total estimated costs and applying that percentage of completion to the transaction price to recognize revenue. Over time revenue recognition is appropriate because we have no alternative use for the uniquely configured system and have an enforceable right to payment for work performed, including a reasonable profit margin. The cost-to-cost input method measures costs incurred to date compared to estimated total costs for each contract. This method is the most faithful depiction of our performance because it measures the value of the contract transferred to the customer. Costs to perform a contract include direct and indirect costs for contract design, production, integration, installation, and assurance-type warranty reserve. Direct costs include materials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in which such losses are capable of being estimated.</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our customer is to provide significant integration services and incorporate individual goods and services into a combined output or system. Occasionally, the system is customized or significantly modified to the customer’s desired configuration and location, and the interrelated goods and services provide utility to the customer as a package. See “Note 1. Nature of Business and Summary of Significant Accounting Policies” of the Notes to our Consolidated Financial Statements included in this Form 10-K for further information on our revenue recognition policies.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We have recognized an accrued liability for warranty obligations equal to our estimate of the actual costs to be incurred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under contractual warranties. Warranty estimates include the cost of direct material and labor estimates to repair products over their warranty coverage period. Generally, estimates are based on historical experience considering known or expected changes. If we would become aware of an increase in our estimated warranty costs, additional accruals may become necessary, resulting in an increase in cost of sales. Although prior estimates have been materially correct, estimates for warranty liabilities can change based on actual versus estimated defect rates over the lifetime of the warranty coverage, a difference in actual to estimated costs to conduct repairs for the components and related labor needed, and other site related actual to estimated cost changes.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2, 2026 and April 26, 2025, we had approximately $36.8 million and $35.8 million accrued for these warranty obligations, respectively. Due to the difficulty in estimating probable costs related to certain warranty obligations, there is a reasonable likelihood that the ultimate remaining costs to remediate the warranty claims could differ materially from the recorded accrued liabilities. See “Note 17. Commitments and Contingencies” of the Notes to our Consolidated Financial Statements included in this Form 10-K for further information on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those pronouncements have on our financial results, refer to “Note 1. Nature of Business and Summary of Significant Accounting Policies” of the Notes to our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could be affected by factors such as changes in foreign currency rates or weak economic conditions in foreign markets. We derive net sales in United States dollars and other currencies, including Canadian dollars, Euros, British pounds, Australian dollars, and other currencies. For fiscal 2026, 11.5 percent of net sales were derived in currencies other than United States dollars. We incur expenses in currencies other than United States dollars relating to specific contracts with customers and for our operations outside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believe currency risk in any foreign location or with respect to specific sales or purchase transactions is significant, we utilize foreign exchange hedging contracts to manage our exposure to the currency fluctuations. There were no foreign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currency agreements outstanding as of May 2, 2026. These contracts are marked to market each balance sheet date and are not designated as hedges. See “Note 16. Derivative Financial Instruments” of the Notes to our Consolidated Financial Statements included in this Form 10-K for further details. We estimate that a 10 percent change in all foreign exchange rates would impact our reported income before taxes by approximately $1.0 million. This sensitivity analysis disregards the possibilities that rates can move in opposite directions and that losses from one geographic area may be offset by gains from another geographic area.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the long term, net sales to international markets are expected to increase as a percentage of total net sales and, consequently, a greater portion of our business could be denominated in foreign currencies. As a result, operating results may become more subject to fluctuations based upon changes in the exchange rates of certain currencies in relation to the United States dollar. To the extent we engage in international sales denominated in United States dollars, an increase in the value of the United States dollar relative to foreign currencies could make our products less competitive in international markets. This effect is also impacted by sources of raw materials from international sources and costs of our sales, service, and manufacturing locations outside the United States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monitor and minimize our exposure to currency fluctuations and, when appropriate, use financial hedging techniques to minimize the effect of these fluctuations. However, exchange rate fluctuations as well as differing economic conditions, changes in political climates, and other rules and regulations could adversely affect our ability to effectively hedge exchange rate fluctuations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As of May 2, 2026, of our $131.6 million in cash and cash equivalents, $121.9 million was denominated in United States dollars, of which $9.8 million was held by our foreign subsidiaries, and $9.7 million was denominated in foreign currencies, of which $7.6 million was maintained in accounts of our foreign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exposure to market risks relates primarily to changes in interest rates on our financing agreements, cash, and marketable securities. These securities are subject to interest rate risk, decreasing in value if market interest rates increase and increasing in value if market interest rates decrease. Due to the relatively short-term nature of our investment portfolio, we believe that an immediate change in interest rates will not have a material impact on the fair value of our available-for-sale securities. For information regarding our available-for-sale securities, see our Consolidated Statements of Comprehensive Income (Loss), our Consolidated Statements of Stockholders’ Equity, and Note 1 to our Consolidated Financial Statements in Part II, Item 8 of this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our borrowings under our financing agreements are minimal, a change in the interest rates for such borrowings would not have a material impact.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if our borrowings increase materially, a change in interest rates under our financing agreements may affect our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and Availability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dependent on basic raw materials, sub-assemblies, components, and other supplies used in our production operations. Our financial results have been and could continue to be affected by changes in the availability, prices, and global tariff regulation of these materials. Some of these materials are sourced from one or a limited number of suppliers in countries around the world. Some of these materials are also key source materials for our competitors and for other technology companies. These materials may also be sourced outside of the countries in which we manufacture our products and are subject to transportation delays. Any of these factors may cause a sudden increase in costs and/or limited or unavailable supplies. As a result, we may not be able to acquire key production materials on a timely basis or at a reasonable cost, which could adversely impact our ability to produce products and satisfy incoming sales orders on a timely basis. Our sourcing and material groups work to implement strategies to monitor and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Daktronics,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Daktronics, Inc. and subsidiaries (the “Company”) as of May 2, 2026 and April 26, 2025, the related consolidated statements of operations, comprehensive income (loss), stockholders' equity, and cash flows, for each of the three years in the period ended May 2, 2026, and the related notes (collectively referred to as the “financial statements”). In our opinion, the financial statements present fairly, in all material respects, the financial position of the Company as of May 2, 2026 and April 26, 2025, and the results of its operations and its cash flows for each of the three years in the period ended May 2, 2026,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May 2,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June 24, 2026,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Uniquely Configured Contracts — Refer to Notes 1 and 2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as its contractual performance obligations are satisfied, which may be at a point in time or over time. Certain of the Company’s contracts are for the delivery, installation, and integration of uniquely configured audio-visual communication systems. Revenue for these uniquely configured systems is recognized over time using the cost-to-cost input method. This input method requires management to make estimates of the costs that will ultimately be incurred at the completion of each contract. Revenue is recognized based on the transaction price and the percentage of cost incurred as of the balance sheet date in relation to the total estimated inputs at completion. We identified revenue associated with uniquely configured contracts as a critical audit matter because of the significant judgments necessary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to estimate total costs to be incurred to recognize revenue under these contracts. Changes in estimated costs could have a significant impact on the timing and amount of revenue recognized. This required an increased level of auditor judgment due to the complexity of uniquely configured contracts and extent of effort when performing audit procedures to audit management’s estimate of total costs and evaluating the reasonableness of the underlying estimates.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estimates of total cost used to recognize revenue for uniquely configured contracts included the following, among others:</w:t>
      </w:r>
    </w:p>
    <w:p>
      <w:pPr>
        <w:spacing w:after="0" w:line="252"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over uniquely configured contracts, including management’s controls over the estimates of total costs.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uniquely configured contracts and performed the following:</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costs incurred to date to the costs management estimated to be incurred to date.</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ability to achieve the estimates of total cost by performing corroborating inquiries with the Company’s project managers and engineers, and compared the estimates to management’s work plans, engineering specifications, and supplier contracts.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contractual terms with third parties.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estimate of total costs.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total costs by comparing actual costs to management’s historical estimates for uniquely configured contracts that have been fulfilled.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36"/>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92,762</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105,839</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41,169</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receivables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4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447,982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381,451</w:t>
            </w:r>
          </w:p>
        </w:tc>
      </w:tr>
      <w:tr>
        <w:trPr>
          <w:trHeight w:val="257"/>
        </w:trPr>
        <w:tc>
          <w:tcPr>
            <w:tcW w:w="8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73,884</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 net</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5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investment in affiliates, and 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32,104</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502,892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024"/>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 (continued)</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43"/>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46,669</w:t>
            </w: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69,050</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172,005</w:t>
            </w:r>
          </w:p>
        </w:tc>
      </w:tr>
      <w:tr>
        <w:trPr>
          <w:trHeight w:val="257"/>
        </w:trPr>
        <w:tc>
          <w:tcPr>
            <w:tcW w:w="12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w:t>
            </w: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77"/>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81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58,956</w:t>
            </w:r>
          </w:p>
        </w:tc>
      </w:tr>
      <w:tr>
        <w:trPr>
          <w:trHeight w:val="256"/>
        </w:trPr>
        <w:tc>
          <w:tcPr>
            <w:tcW w:w="1280" w:type="dxa"/>
            <w:vAlign w:val="bottom"/>
            <w:shd w:val="clear" w:color="auto" w:fill="CCEEFF"/>
          </w:tcPr>
          <w:p>
            <w:pPr>
              <w:spacing w:after="0"/>
              <w:rPr>
                <w:sz w:val="22"/>
                <w:szCs w:val="22"/>
                <w:color w:val="auto"/>
              </w:rPr>
            </w:pPr>
          </w:p>
        </w:tc>
        <w:tc>
          <w:tcPr>
            <w:tcW w:w="6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7"/>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Shares, $0.00001 par value, authorized 5,000 shares; no shares issued and outstanding</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Common stock, $0.00001 par value, authorized 115,000 shares; 53,650 and 53,030 shares issued as of</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May 2, 2026 and April 26, 2025, respectively</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189,940</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127,910</w:t>
            </w: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5,406 and 3,979 shares as of May 2, 2026 and April 26, 2025,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(39,759)</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300,747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554,412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502,892</w:t>
            </w:r>
          </w:p>
        </w:tc>
      </w:tr>
      <w:tr>
        <w:trPr>
          <w:trHeight w:val="27"/>
        </w:trPr>
        <w:tc>
          <w:tcPr>
            <w:tcW w:w="12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838,706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609,700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595,640</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222,443</w:t>
            </w:r>
          </w:p>
        </w:tc>
      </w:tr>
      <w:tr>
        <w:trPr>
          <w:trHeight w:val="257"/>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56,954</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35,742</w:t>
            </w:r>
          </w:p>
        </w:tc>
      </w:tr>
      <w:tr>
        <w:trPr>
          <w:trHeight w:val="257"/>
        </w:trPr>
        <w:tc>
          <w:tcPr>
            <w:tcW w:w="66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135,328</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87,115</w:t>
            </w:r>
          </w:p>
        </w:tc>
      </w:tr>
      <w:tr>
        <w:trPr>
          <w:trHeight w:val="263"/>
        </w:trPr>
        <w:tc>
          <w:tcPr>
            <w:tcW w:w="6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r>
      <w:tr>
        <w:trPr>
          <w:trHeight w:val="257"/>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19,430</w:t>
            </w:r>
          </w:p>
        </w:tc>
      </w:tr>
      <w:tr>
        <w:trPr>
          <w:trHeight w:val="282"/>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45,901</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46,543</w:t>
            </w:r>
          </w:p>
        </w:tc>
      </w:tr>
      <w:tr>
        <w:trPr>
          <w:trHeight w:val="270"/>
        </w:trPr>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5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DAKTRONICS, INC. AND SUBSIDIARIES CONSOLIDATED STATEMENTS OF COMPREHENSIVE INCOME (LOSS) </w:t>
      </w: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57"/>
        </w:trPr>
        <w:tc>
          <w:tcPr>
            <w:tcW w:w="66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r>
      <w:tr>
        <w:trPr>
          <w:trHeight w:val="257"/>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Additional Paid-</w:t>
            </w:r>
          </w:p>
        </w:tc>
        <w:tc>
          <w:tcPr>
            <w:tcW w:w="14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tcPr>
          <w:p>
            <w:pPr>
              <w:ind w:left="240"/>
              <w:spacing w:after="0" w:line="68" w:lineRule="exact"/>
              <w:rPr>
                <w:sz w:val="20"/>
                <w:szCs w:val="20"/>
                <w:color w:val="auto"/>
              </w:rPr>
            </w:pPr>
            <w:r>
              <w:rPr>
                <w:rFonts w:ascii="Times New Roman" w:cs="Times New Roman" w:eastAsia="Times New Roman" w:hAnsi="Times New Roman"/>
                <w:sz w:val="7"/>
                <w:szCs w:val="7"/>
                <w:b w:val="1"/>
                <w:bCs w:val="1"/>
                <w:color w:val="auto"/>
              </w:rPr>
              <w:t>In</w:t>
            </w:r>
          </w:p>
        </w:tc>
        <w:tc>
          <w:tcPr>
            <w:tcW w:w="1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29,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113,282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200,878</w:t>
            </w:r>
          </w:p>
        </w:tc>
        <w:tc>
          <w:tcPr>
            <w:tcW w:w="0" w:type="dxa"/>
            <w:vAlign w:val="bottom"/>
          </w:tcPr>
          <w:p>
            <w:pPr>
              <w:spacing w:after="0"/>
              <w:rPr>
                <w:sz w:val="1"/>
                <w:szCs w:val="1"/>
                <w:color w:val="auto"/>
              </w:rPr>
            </w:pPr>
          </w:p>
        </w:tc>
      </w:tr>
      <w:tr>
        <w:trPr>
          <w:trHeight w:val="193"/>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34,621</w:t>
            </w:r>
          </w:p>
        </w:tc>
        <w:tc>
          <w:tcPr>
            <w:tcW w:w="1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34,621</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80"/>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(loss) on available-for-sale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securities,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for taxes on Restricted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Unit issuances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6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issued upon vesting of</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27,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117,571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138,031</w:t>
            </w:r>
          </w:p>
        </w:tc>
        <w:tc>
          <w:tcPr>
            <w:tcW w:w="100" w:type="dxa"/>
            <w:vAlign w:val="bottom"/>
          </w:tcPr>
          <w:p>
            <w:pPr>
              <w:spacing w:after="0"/>
              <w:rPr>
                <w:sz w:val="16"/>
                <w:szCs w:val="16"/>
                <w:color w:val="auto"/>
              </w:rPr>
            </w:pPr>
          </w:p>
        </w:tc>
        <w:tc>
          <w:tcPr>
            <w:tcW w:w="9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238,792</w:t>
            </w: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on available-for-sale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securities, net of tax</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Conversion of an equity award to a liability</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award</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for taxes on Restricted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Unit issuances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80"/>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issued upon vesting of</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Settlement of convertible note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64,366</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purchase</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(29,474)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(29,474)</w:t>
            </w: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26, 2025:</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53,030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189,940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127,910</w:t>
            </w:r>
          </w:p>
        </w:tc>
        <w:tc>
          <w:tcPr>
            <w:tcW w:w="100" w:type="dxa"/>
            <w:vAlign w:val="bottom"/>
          </w:tcPr>
          <w:p>
            <w:pPr>
              <w:spacing w:after="0"/>
              <w:rPr>
                <w:sz w:val="16"/>
                <w:szCs w:val="16"/>
                <w:color w:val="auto"/>
              </w:rPr>
            </w:pPr>
          </w:p>
        </w:tc>
        <w:tc>
          <w:tcPr>
            <w:tcW w:w="9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(3,978)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(39,759)</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271,931</w:t>
            </w: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45,376</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45,376</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on available-for-sale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securities, net of tax</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Conversion of an equity award to a liability</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award</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93"/>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for taxes on Restricted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Unit issuances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16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issued upon vesting of</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0" w:type="dxa"/>
            <w:vAlign w:val="bottom"/>
          </w:tcPr>
          <w:p>
            <w:pPr>
              <w:spacing w:after="0"/>
              <w:rPr>
                <w:sz w:val="1"/>
                <w:szCs w:val="1"/>
                <w:color w:val="auto"/>
              </w:rPr>
            </w:pPr>
          </w:p>
        </w:tc>
      </w:tr>
      <w:tr>
        <w:trPr>
          <w:trHeight w:val="193"/>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Treasury stock purchase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(1,428)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(25,565)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(25,565)</w:t>
            </w: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Settlement of convertible note</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May 2, 2026:</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53,650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196,837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173,286</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(5,406)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(65,324)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300,747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34,621</w:t>
            </w:r>
          </w:p>
        </w:tc>
      </w:tr>
      <w:tr>
        <w:trPr>
          <w:trHeight w:val="21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19,291</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loss on sale of property, equipment and other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loss of affiliates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Allowance for credit losses on affiliate loan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(recovery) for doubtful accounts, net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issuance costs write-off</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50"/>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(14,135)</w:t>
            </w:r>
          </w:p>
        </w:tc>
      </w:tr>
      <w:tr>
        <w:trPr>
          <w:trHeight w:val="250"/>
        </w:trPr>
        <w:tc>
          <w:tcPr>
            <w:tcW w:w="66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63,241</w:t>
            </w:r>
          </w:p>
        </w:tc>
      </w:tr>
      <w:tr>
        <w:trPr>
          <w:trHeight w:val="135"/>
        </w:trPr>
        <w:tc>
          <w:tcPr>
            <w:tcW w:w="6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sales of property, equipment and other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sales or maturities of marketable securities</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50"/>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Loans to equity investees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r>
      <w:tr>
        <w:trPr>
          <w:trHeight w:val="250"/>
        </w:trPr>
        <w:tc>
          <w:tcPr>
            <w:tcW w:w="66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w:t>
            </w:r>
          </w:p>
        </w:tc>
      </w:tr>
      <w:tr>
        <w:trPr>
          <w:trHeight w:val="135"/>
        </w:trPr>
        <w:tc>
          <w:tcPr>
            <w:tcW w:w="6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41,172</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for common shares repurchased</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50"/>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50"/>
        </w:trPr>
        <w:tc>
          <w:tcPr>
            <w:tcW w:w="66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w:t>
            </w:r>
          </w:p>
        </w:tc>
      </w:tr>
      <w:tr>
        <w:trPr>
          <w:trHeight w:val="203"/>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56,988</w:t>
            </w:r>
          </w:p>
        </w:tc>
      </w:tr>
      <w:tr>
        <w:trPr>
          <w:trHeight w:val="135"/>
        </w:trPr>
        <w:tc>
          <w:tcPr>
            <w:tcW w:w="6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r>
      <w:tr>
        <w:trPr>
          <w:trHeight w:val="244"/>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81,678</w:t>
            </w:r>
          </w:p>
        </w:tc>
      </w:tr>
      <w:tr>
        <w:trPr>
          <w:trHeight w:val="27"/>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Summary of Significant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Daktronics, Inc. and its subsidiaries (collectively, the “Company,” “Daktronics,” “we,” “our,” or “us”) is engaged principally in the design, marketing, and manufacture of a wide range of integrated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We operate on a 52- or 53-week fiscal year, with our fiscal year ending on the Saturday closest to April 30 of each year. When April 30 falls on a Wednesday, the fiscal year ends on the preceding Saturday. Within each fiscal year, each quarter is comprised of a 13-week period following the beginning of each fiscal year. In each 53-week year, an additional week is added to the first quarter, and each of the last three quarters is comprised of a 13-week period. The fiscal year ended May 2, 2026 contained operating results for 53 weeks. The fiscal years ended April 26, 2025 and April 27, 2024 contained operating results for 52 weeks.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xml:space="preserve">: The Consolidated Financial Statements included in this Annual Report on Form 10-K for the fiscal year ended May 2, 2026 (this “Form 10-K”) include financial information for Daktronics, Inc. and its subsidiaries. All intercompany accounts and transactions are eliminated in consolidation. We have a variable interest in a business where we have elected to follow the proportionate consolidation method because certain criteria were met under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arrangements involving entities we concluded were variable interest entities (“VIEs”) and accounted for under the proportionate consolidation method. These arrangements had an aggregate amount of contract assets, contract liabilities, and gross profit of $211, $39, and $276, respectively, as of and for the year ended May 2, 2026. As of April 26, 2025, the aggregate amount of contract assets, contract liabilities, and gross profit was $0, $41, and $89,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Investments in affiliates</w:t>
      </w:r>
      <w:r>
        <w:rPr>
          <w:rFonts w:ascii="Times New Roman" w:cs="Times New Roman" w:eastAsia="Times New Roman" w:hAnsi="Times New Roman"/>
          <w:sz w:val="18"/>
          <w:szCs w:val="18"/>
          <w:color w:val="auto"/>
        </w:rPr>
        <w:t>: We consolidate entities in which we have a controlling financial interest by first considering if an entity meets the definition of a VIE for which we are deemed to be the primary beneficiary, or if we have the power to control an entity through a majority of voting interest or through other arrangements.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A VIE is an entity (i) that lacks sufficient equity to finance its activities without additional subordinated financial support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(ii) whose equity holders lack the characteristics of a controlling financial interest; and/or (iii) that is established with non-substantive voting rights. A VIE is consolidated by its primary beneficiary, which is defined as the party who has a controlling financial interest in the VIE through (a) the power to direct the activities of the VIE that most significantly affect the VIE’s economic performance, and (b) the obligation to absorb losses or the right to receive benefits of the VIE that could be significant to the VIE. This assessment may involve subjectivity in the determination of which activities most significantly affect the VIE’s performance and making estimates about the current and future fair value of the assets held by the VIE and the financial performance of the VIE. In assessing the Company’s interests in a VIE, we also consider interests held by its related parties, including de facto agents. Additionally, we assess whether it is a member of a related party group that collectively meets the “power and benefits” criteria stated above and, if so, whether we are most closely associated with the VIE. In performing the related party analysis, we consider both qualitative and quantitative factors including, but not limited to: the characteristics and size of its investment relative to the related party; our and the related party’s ability to control or significantly influence key decisions of the VIE, including consideration of involvement by de facto agents; the obligation or likelihood for us or the related party to fund operating losses of the VIE; and the similarity and significance of the VIE’s business activities to those of us and the related party. The determination of whether an entity is a VIE and whether we are the primary beneficiary may involve significant judgment and depends upon facts and circumstances specific to an entity at the time of the assessment.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occurrence of certain events such as changes to the entity’s legal formation or equity at risk, we reassess whether changes in facts and circumstances cause a change in the status of an entity as a VIE or a voting interest entity and/or a change in our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us in the entity prior to us obtaining control will be remeasured at fair value, which may result in a gain or loss recognized upon initial consolidation. However,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consolidation represents an asset acquisition of a voting interest entity, our existing interest in the acquired assets, if any, is not remeasured to fair value but continues to be carried at historical cost. We may also deconsolidate a subsidiary as a result of this reassessment, which may result in a gain or loss recognized upon deconsolidation depending on the carrying values of the deconsolidated assets and liabilities compared to the fair value of any interests retained.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equity method to account for investments in companies if our investment provides us with the ability to exercise significant influence over operating and financial policies of the investee. Our judgment regarding the level of influence over each equity method investee includes considering key factors such as our ownership interest, representation on the board of directors, participation in policy-making decisions, other commercial arrangements, and material intercompany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affiliate - Miortech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evaluated the nature of our investment in an affiliate of Miortech (dba Etulipa) (“Miortech”), which is focused on developing low power outdoor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electrowetting technology. Our ownership in Miortech was 55.9 percent as of May 2, 2026. The aggregate amount of our investments accounted for under the equity method was $0 and $0 as of May 2, 2026 and April 26, 2025,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determined Miortech to be a VIE, and, based on management’s analysis, we determined that Daktronics is not the primary beneficiary because the power criterion was not met. Therefore, as Daktronics does not have control, but is able to exercise significant influence, the investment in Miortech is accounted for under the equity method. Our proportional share of the affiliate earnings or losses is included in the “Other expense, net” line item in our Consolidated Statements of Operations. For the fiscal years 2026, 2025, and 2024, our share of the losses of our affiliate in Miortech was $993, $891 and $1,758, respectively.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review our investment in Miortech for impairment indicators. We recorded no impairment losses for the fiscal years 2026 and 2025. For the fiscal year 2024, we recorded impairment losses of $1,392 to reflect the investments at fair market value (level 3) when we concluded there was an other-than-temporary impairment in our investment in affiliate.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affiliate - XDC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22, 2025, the Company acquired certain assets of a display business (the “Display Business”) consisting of intellectual property, equipment assets, technical expertise, contract rights, other personal property, and related assets (collectively, the “Display Business Assets”) from X Display Company Technology Limited (“XDC,” and such acquisition, the “XDC Acquisition”). Historically, the Company held an equity interest in XDC which was accounted for under the equity method. Refer to “Note 4. Business Combination” of the Notes to the Consolidated Financial Statements included in this Form 10-K for further information on the XDC Acquisition.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proportional share of the affiliate earnings or losses is included in the “Other expense, net” line item in our Consolidated Statements of Operations. For the fiscal years 2026, 2025, and 2024, our share of the losses of our affiliate in XDC was $1,015, $2,162 and $2,006, respectively. Losses in fiscal 2026 were recognized through December 22,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XDC Acquisition, we periodically reviewed our investment in XDC for impairment indicators. We recorded no impairment losses for the fiscal years 2026 and 2025. For the fiscal year 2024, we recorded impairment losses of $4,967 to reflect the investments at fair market value (level 3) when we concluded there was an other-than-temporary impairment in our investment in affiliate.</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we also engaged in related party transactions with XDC, primarily for research and development services. The total of these related party transactions for fiscal years 2026, 2025, and 2024 was $325, $771, and $577, respectively, which is included in the “Product design and development” line item in our Consolidated Statements of Operations, and, as of May 2, 2026 and April 26, 2025, $0 and $75, respectively, remained unpaid and is included in the “Accounts payable” line item in our Consolidated Balance Sheets.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equity method investments consist of the following. Fiscal 2026 consists only of Miortech, while fiscal 2025 and 2024 consist of both Miortech and XDC: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4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5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5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33,672</w:t>
            </w: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Loans to Miortech affiliate.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advanced loans to Miortech under convertible and promissory notes (collectively, the “Miortech Affiliate Notes”). We advanced $1,283 in fiscal 2026 and $1,340 in fiscal 2025 under the Miortech Affiliate Notes. We have accrued interest related to the Miortech Affiliate Notes of $228 and $149 as of May 2, 2026 and April 26, 2025, respectively. The total face value of the outstanding amount of the Miortech Affiliate Notes was $5,429 and $3,809 as of May 2, 2026 and April 26, 2025, respectively. The balances of Miortech Affiliate Notes are included in the “Right of use, investment in affiliates, and other assets” line item in our Consolidated Balance Sheets. We evaluate the Miortech Affiliate Notes for impairment and credit losses. During the fourth quarter of fiscal 2026, we recorded a provision of $3,750 related to the Miortech Affiliate Notes which were deemed to be uncollectible. This is included in the “Other expense, net” line item in our Consolidated Statements of Operations. As of April 26, 2025, no provision for losses were recorded.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our Miortech Affiliate Note totaled $0 and $3,123 as of May 2, 2026 and April 26, 2025,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Loans to XDC affiliate.</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had provided funding to XDC through promissory notes, some of which were convertible (collectively, the “XDC Affiliate Notes”). During fiscal 2026, through December 22, 2025, we advanced $4,100 to XDC under the XDC Affiliate Notes, as compared to $3,225 during fiscal year 2025. Accrued interest on the XDC Affiliate Notes was $449 and $689 as of December 22, 2025 and April 26, 2025, respectively. The total face value of the outstanding XDC Affiliate Note was $16,034 as of April 26, 2025, which is included in “Right of use, investment in affiliates, and other assets” in our Consolidated Balance Sheets. We periodically assessed the XDC Affiliate Notes for impairment and expected credit losses. During the fourth quarter of fiscal 2025, we recorded a provision of $15,480 related to the XDC Affiliate Notes which were deemed to be uncollectible. During fiscal 2026, through December 22, 2025, an additional provision of $1,012 was recorded for the XDC Affiliate Notes expected to be uncollectible. These provisions are included in “Other expense, net.” In connection with the XDC Acquisition, we forgave $16,492 of the XDC Affiliate Notes.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 (“GAAP”) requires management to make estimates and assumptions affecting the reported amounts of assets and liabilities; the disclosure of contingent assets and liabilities at the date of the financial statements; the reported amounts of revenues and expenses during the reporting period; and our ability to continue as a going concern. Due to the inherent uncertainty involved in making estimates, actual results in future periods may differ from those estimates. Risks and uncertainties include, but are not limited to, uncertainty in the current economic environment as a result of macroeconomic factors such as inflation, tariffs, fluctuations in foreign currency exchange rates relative to the U.S. dollar, changes in interest rates, and ongoing and new geopolitical conflicts.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 in the near-term relate to the determination of the estimated total costs on uniquely configured contracts and estimated costs to be incurred for product warranties, income taxes, and the valuation of investments in and advances to affiliates. Estimation processes are also used in inventory valuation and for determining the allowance for credit losses, share-based compensation, goodwill impairment, the value of long-term assets, and extended warranty and product maintenance agreements.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estimates are reflected in the periods in which they become known.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Restricted cash consists of cash and cash equivalents held in bank deposit accounts to secure certain issuances of foreign bank guarantees.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totals of the same amounts shown in the Consolidated Statements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98"/>
        </w:trPr>
        <w:tc>
          <w:tcPr>
            <w:tcW w:w="660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Statements of</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As of May 2, 2026, of our $131,639 in cash and cash equivalents, $121,929 was denominated in United States dollars, of which $9,830 was held by our foreign subsidiaries, and $9,710 was denominated in foreign currencies, of which $7,570 was maintained in accounts of our foreign subsidiaries.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xml:space="preserve"> In accordance with ASC 330</w:t>
      </w:r>
      <w:r>
        <w:rPr>
          <w:rFonts w:ascii="Times New Roman" w:cs="Times New Roman" w:eastAsia="Times New Roman" w:hAnsi="Times New Roman"/>
          <w:sz w:val="18"/>
          <w:szCs w:val="18"/>
          <w:i w:val="1"/>
          <w:iCs w:val="1"/>
          <w:color w:val="auto"/>
        </w:rPr>
        <w:t>, Inventory,</w:t>
      </w:r>
      <w:r>
        <w:rPr>
          <w:rFonts w:ascii="Times New Roman" w:cs="Times New Roman" w:eastAsia="Times New Roman" w:hAnsi="Times New Roman"/>
          <w:sz w:val="18"/>
          <w:szCs w:val="18"/>
          <w:color w:val="auto"/>
        </w:rPr>
        <w:t xml:space="preserve"> our inventories are stated at the lower of cost (first-in, first-out method) and net realizable value. Net realizable value is the estimated selling price in the ordinary course of business, less reasonably predictable costs of completion, disposal, and transportation. Cost is measured as the price of the components and allocated expenses for production or betterment of the inventory item that are applied to the purchase cost of the raw materials. When we estimate net realizable value to be lower than cost, any necessary adjustments are charged to cost of sales in that period. In determining net realizable value, we review various factors such as current inventory levels, forecast demand, costs of completion, and technological obsolescence.</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Allowance for credit losses:</w:t>
      </w:r>
      <w:r>
        <w:rPr>
          <w:rFonts w:ascii="Times New Roman" w:cs="Times New Roman" w:eastAsia="Times New Roman" w:hAnsi="Times New Roman"/>
          <w:sz w:val="18"/>
          <w:szCs w:val="18"/>
          <w:color w:val="auto"/>
        </w:rPr>
        <w:t xml:space="preserve"> We make estimates regarding the collectability of our accounts receivable, long-term receivables, notes receivable, contract assets, and other receivables. In evaluating the adequacy of our allowance for credit losses,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In addition, in accordance with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an allowance is maintained for estimated forward-looking losses resulting from the possible inability of customers to make required payments (current expected losses). The amount of the allowance is determined principally on the basis of past collection experience and known financial factors regarding specific customers. We charge off receivables at such time it is determined collection will not occur against the allowance for credit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Our accounting policies and estimates are in accordance with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xml:space="preserve"> and are as follows: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are identified and follow the revenue recognition policies when all of the following occur: we have evidence that all parties to the contract have approved the contract and are committed to perform their respective obligations; we can identify each party’s rights regarding the goods or services to be transferred; we can identify the payment terms for the goods or services to be transferred; the contract has commercial substance; and it is probable we will collect substantially all of the consideration to which we would be entitled in exchange for the goods or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Pre-contract costs are generally expensed as incurred, unless they are directly associated with an anticipated contract and recoverability from that contract is probable. Pre-contract costs directly associated with anticipated contracts expected to be recoverable include $704 and $321 as of May 2, 2026 and April 26, 2025, respectively. These are included in the “Inventories” line item in our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we identify performance obligations by reviewing the agreement for material distinct goods and services. Goods and services are distinct when the customer can benefit from them on its own and our promises to transfer these items are identifiable from other promises within the contract. When we are contracted to provide a single promise (an integrated system), we often treat it as a single performance obligation if we are providing goods and services with the same pattern of transfer that are highly integrated or interdependent, that are modified or customized by other goods or services promised, or that provide a combined outcome for which the customer has contracted. When less interdependency or integration is necessary, or when the customer can benefit from distinct items, we separate the contract into multiple performance obligations. We account for extended warranties and other services (“service-type warranties”) that represent a distinct service as a separate performance obligation.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contracts can contain multiple components of transaction price. We evaluate each contract for these components and include fixed consideration, variable consideration, financing components, and non-cash consideration and exclude consideration payable to a customer and sales taxes in the transaction price. When we are responsible for site installations which include subcontracted work, we maintain the contractual responsibilities and risks and include the consideration for these services in the transaction price. When our contract contains variable consideration, including return rights, discounts, claims, unpriced change orders, and liquidated damages, we estimate the transaction price using the expected value (that is, the sum of the probability-weighted amount) or the most likely amount method, whichever is expected to better predict revenue for that contract situation. We also constrain the revenue to the extent that it is probable that a significant reversal of the amount of cumulative revenue recognized will not occur when the uncertainty associated with the variable consideration is subsequently resolved. We consider the following factors in determining revenue associated with variable consideration: (a) the contract or other evidence providing the legal basis, (b) additional costs caused by unforeseen circumstances, (c) evidence supporting the claim, and (d) historical evidence and patterns of customers. We adjust the contract price for the effects of a significant financing component if we expect, at contract inception, that the period between when we transfer goods and services to a customer will exceed one year from the time the customer pays and represents financing. If the payment structures exceed a year but are structured to account for risks with a contract or correspond to payments on milestones or are scheduled for performance, we do not adjust the contract price for a financing component. See “Note 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Accounts Receivable, Net” of the Notes to our Consolidated Financial Statements included in this Form 10-K for amounts recorded in long-term receivables.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separate performance obligations are identified, we allocate the transaction price to the individual performance obligations based on the best method we judge to be a faithful depiction of the value of each performance obligation. Many of our contracts are bundled, and we do not have separate selling prices for each performance obligation; therefore, for these contracts, we primarily use the cost plus a margin approach to allocate the relative transaction price to identified performance obligations, as it is the best representative of our pricing methods.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Estimated contract revenues and costs include management’s latest estimate using significant judgments with respect to the complexity of the scope and duration of a particular contract, project to-date performance and conditions, knowledge of any stated or expected project dispute or other claim, government tariffs, and market conditions for input costs. Unanticipated costs that exceed our original estimates may not be recoverable under fixed price contracts. Changes in costs may occur as a result of several factors including, but not limited to, the cost, shortages or non-availability of materials or labor; increases in tariffs on imports of inputs, unanticipated technical problems; required project modifications not initiated by the customer; suppliers’ or subcontractors’ failure to perform or delay in performing their obligations; logistics disruptions or delays; and capacity constraints. Contingencies for unknown or uncertain cost estimates may be utilized based on the complexity of scope and duration of a project and are relieved when conditions resolve. We evaluate changes in estimates on a contract-by-contract basis, and estimates are made when the revisions are probable and reasonably estimable. Provisions of estimated losses on uncompleted contracts are made in the period when such losses are capable of being estimated. The cumulative catch-up method is used to account for revisions in estimates.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we satisfy a performance obligation. We receive payments from customers based on a billing schedule as established in our contracts. Billing schedules include down payments and progress billings over time; set milestone payments that are specific to the project are scheduled for performance-based payments or are set time-based payment(s). Variability in contract assets and contract liabilities relates to the timing of billings and revenue recognition, which can vary significantly depending on contractual payment terms, build and installation schedules, and the related timing differences in transfer of control. Balances are also impacted by the seasonality in our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judgments and estimates are used in applying our revenue policies. In order to assure appropriate and consistent revenue recognition, we regularly evaluate available project related information and update estimates accordingly. We maintain internal policies and procedures to provide guidance for those involved in recording revenue. We monitor for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our business sales practices and customer interactions to capture the appropriate types of performance obligations and adjust for any change in control terms and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performance obligation types include:</w:t>
      </w:r>
    </w:p>
    <w:p>
      <w:pPr>
        <w:spacing w:after="0" w:line="22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Unique configuration contracts</w:t>
      </w:r>
      <w:r>
        <w:rPr>
          <w:rFonts w:ascii="Times New Roman" w:cs="Times New Roman" w:eastAsia="Times New Roman" w:hAnsi="Times New Roman"/>
          <w:sz w:val="18"/>
          <w:szCs w:val="18"/>
          <w:color w:val="auto"/>
        </w:rPr>
        <w:t>: Audio-visual communication systems uniquely configured (custom) or integrated for a customer’s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and 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18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customers is to provide significant integration services and incorporate individual goods and services into a combined output or system. Occasionally, the system is customized or significantly modified to the customer’s desired configuration and location, and the interrelated goods and services provide utility to the customer as a package.</w:t>
      </w:r>
    </w:p>
    <w:p>
      <w:pPr>
        <w:spacing w:after="0" w:line="18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Revenue for uniquely configured (custom) or integrated systems is recognized over time using the cost-to-cost input method by comparing cumulative costs incurred to the total estimated costs and applying that percentage of completion to the transaction price to recognize revenue. Over time revenue recognition is appropriate because we have no alternative use for the uniquely configured system and have an enforceable right to payment for work performed, including a reasonable profit margin. The cost-to-cost input method measures costs incurred to date compared to estimated total costs for each contract. This method is the most faithful depiction of our performance because it measures the value of the contract transferred to the customer. Costs to perform the contract include direct and indirect costs for contract design, production, integration, installation, and assurance-type warranty reserve. Direct costs include materials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8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time between contract order and project completion is typically less than 12 months but may extend longer depending on the amount of custom work and customer’s delivery needs.</w:t>
      </w:r>
    </w:p>
    <w:p>
      <w:pPr>
        <w:spacing w:after="0" w:line="16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i w:val="1"/>
          <w:iCs w:val="1"/>
          <w:color w:val="auto"/>
        </w:rPr>
        <w:t>Limited configuration (standard systems) and after-sale parts contracts</w:t>
      </w:r>
      <w:r>
        <w:rPr>
          <w:rFonts w:ascii="Times New Roman" w:cs="Times New Roman" w:eastAsia="Times New Roman" w:hAnsi="Times New Roman"/>
          <w:sz w:val="18"/>
          <w:szCs w:val="18"/>
          <w:color w:val="auto"/>
        </w:rPr>
        <w:t>: Limited configuration (standard systems) or after-sale parts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or no configuration or limited integration are recognized as distinct individual performance obligations when material. When not distinct, we combine into one performance obligation the goods and/or services until the bundle of goods or services is distinct. For standard display purchases made in large quantities, we account for each piece of equipment separately as a distinct performance obligation from which a customer derives benefit.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Revenue is recognized at a point in time when control passes, or over time as services are performed or control passes. When fulfilling limited configuration performance obligations, we are typically able to redirect the video displays or scoring, messaging, or audio equipment to another customer without incurring significant economic losses. Therefore, we have an alternative use for the performance obligation and recognize revenue upon our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substantial completion and at the point in time we estimate control has transferred to the customer. When limited configured single performance obligations are more service-type (that is, installation and integration services), we recognize revenue over time using the cost-to-cost input method by comparing cumulative costs incurred to the total estimated costs and applying that percentage of completion to the transaction price to recognize revenue. We believe the cost-to-cost input method is the most faithful depiction of the customer obtaining control and benefits from the work performed.</w:t>
      </w:r>
    </w:p>
    <w:p>
      <w:pPr>
        <w:spacing w:after="0" w:line="18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Services sold on a stand-alone basis or after the initial system sale include performance obligations such as event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room design, on-site training, equipment service, service-type warranties, technical support, software sold as a service, and other immaterial revenue streams. These are generally contracted with a customer per service event or service type on a stand-alone basis. Services, service type warranties, and other are recognized as net sales when the services are performed, and control is transferred to the customer at a point in time when title or control passes or over time as services are performed and for time-based “stand ready to perform” type obligations. We use professional judgment to determine control transfer. If we have the right to consideration from a customer that directly corresponds with the value of our performance (where we bill a fixed amount for each hour of service provided), we recognize revenue related to the work completed.</w:t>
      </w:r>
    </w:p>
    <w:p>
      <w:pPr>
        <w:spacing w:after="0" w:line="183"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Revenues from software license fees on sales, other than uniquely configured type contracts, are recognized when delivery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has occurred. Subscription-based licenses include the right for a customer to use our licenses and receive related support for a specified term, and revenue is recognized pro-rata over the term of the agreement.</w:t>
      </w:r>
    </w:p>
    <w:p>
      <w:pPr>
        <w:spacing w:after="0" w:line="17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Shipping and handling costs collected from our customers in connection with our sales are recorded as a 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sales. We record shipping and handling costs as a component of cost of sales at the time the product is shipped.</w:t>
      </w:r>
    </w:p>
    <w:p>
      <w:pPr>
        <w:spacing w:after="0" w:line="15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We offer a standard parts coverage warranty for periods varying from one to five years for most of our products. We also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types of warranties to include on-site labor, routine maintenance, and event support.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 cost of our warranty obligations include government tariffs,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 For service-type warranty contracts, we allocate revenue to this performance obligation, recognize the revenue over time, and recognize costs as incurred.</w:t>
      </w:r>
    </w:p>
    <w:p>
      <w:pPr>
        <w:spacing w:after="0" w:line="18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u w:val="single" w:color="auto"/>
          <w:color w:val="auto"/>
        </w:rPr>
        <w:t>Property and equipment</w:t>
      </w:r>
      <w:r>
        <w:rPr>
          <w:rFonts w:ascii="Times New Roman" w:cs="Times New Roman" w:eastAsia="Times New Roman" w:hAnsi="Times New Roman"/>
          <w:sz w:val="18"/>
          <w:szCs w:val="18"/>
          <w:color w:val="auto"/>
        </w:rPr>
        <w:t xml:space="preserv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property and equipment are stated at cost and depreciated principally on the straight-line method over the following estimated useful lives: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6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5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5 - 40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5 - 7</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held for rental</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2 - 7</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Demonstration equipment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5 - 7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depreciated over the lesser of the useful life of the asset or the term of the lease.</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we assess long-lived tangible assets and definite-lived intangible assets for impairment whenever events or changes in circumstances indicate the carrying value may not be recoverable.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Goodwill and Other Intangible Assets</w:t>
      </w:r>
      <w:r>
        <w:rPr>
          <w:rFonts w:ascii="Times New Roman" w:cs="Times New Roman" w:eastAsia="Times New Roman" w:hAnsi="Times New Roman"/>
          <w:sz w:val="18"/>
          <w:szCs w:val="18"/>
          <w:color w:val="auto"/>
        </w:rPr>
        <w:t>: We account for goodwill and other intangible assets with indefinite lives in accordance with ASC 350</w:t>
      </w:r>
      <w:r>
        <w:rPr>
          <w:rFonts w:ascii="Times New Roman" w:cs="Times New Roman" w:eastAsia="Times New Roman" w:hAnsi="Times New Roman"/>
          <w:sz w:val="18"/>
          <w:szCs w:val="18"/>
          <w:i w:val="1"/>
          <w:iCs w:val="1"/>
          <w:color w:val="auto"/>
        </w:rPr>
        <w:t>, 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w:t>
      </w:r>
      <w:r>
        <w:rPr>
          <w:rFonts w:ascii="Times New Roman" w:cs="Times New Roman" w:eastAsia="Times New Roman" w:hAnsi="Times New Roman"/>
          <w:sz w:val="18"/>
          <w:szCs w:val="18"/>
          <w:color w:val="auto"/>
        </w:rPr>
        <w:t>Under these provisions, goodwill is not amortized but is tested for impairment on at least an annual basis. Impairment testing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more often than annually if an event or circumstance indicates an impairment or a decline in value may have occurred.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qualitative assessment may be used to first determine whether it is “more likely than not” that the fair value of a reporting unit is less its carrying value. Based on this assessment, if it is determined that it is more likely than not that impairment has occurred, a quantitative analysis will be performed. The quantitative assessment uses an income approach to estimate the fair value of each reporting unit. The income approach is based on the projected cash flows, which are discounted to their present value using discount rates which consider the timing and risk of the forecasted cash flows. Fair value is estimated using internally developed forecasts and assumptions and takes into account management plans, business trends, and market and economic conditions. If the quantitative assessment of goodwill impairment fails, an impairment loss equal to the amount that a reporting unit’s carrying value exceeds its fair value will be recognized.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currency translation</w:t>
      </w:r>
      <w:r>
        <w:rPr>
          <w:rFonts w:ascii="Times New Roman" w:cs="Times New Roman" w:eastAsia="Times New Roman" w:hAnsi="Times New Roman"/>
          <w:sz w:val="18"/>
          <w:szCs w:val="18"/>
          <w:color w:val="auto"/>
        </w:rPr>
        <w:t xml:space="preserve">: We follow the provisions of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Our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stockholders’ equity in accumulated other comprehensive loss.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We account for income taxes in accordance with ASC 740</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 We record a tax provision for anticipated tax consequences of the reported results of operations. Deferred tax assets and liabilities are measured using currently enacted tax rates and statutory tax rates applicable to the years in which we expect these temporary differences will affect taxable income. These assets and liabilities are analyzed regularly, and we assess the likelihood that deferred tax assets will be recoverable from future taxable income. When necessary, a valuation allowance is established if it is more likely than not the deferred tax asset will not be realized. We report the net deferred tax asset and liability as a long-term asset or liability. Net deferred assets or liabilities are calculated by combining them based on their jurisdiction.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because we operate in multiple income tax jurisdictions both within the United States and internationally, the calculation of tax liabilities involves judgment in estimating the impact of uncertainties in the application of complex tax laws. Resolution of these uncertainties in a manner inconsistent with our expectations could have a material impact on our financial condition and operating results. See “Note 13. Income Taxes” of the Notes to our Consolidated Financial Statements included in this Form 10-K for further information.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Self-Insurance</w:t>
      </w:r>
      <w:r>
        <w:rPr>
          <w:rFonts w:ascii="Times New Roman" w:cs="Times New Roman" w:eastAsia="Times New Roman" w:hAnsi="Times New Roman"/>
          <w:sz w:val="18"/>
          <w:szCs w:val="18"/>
          <w:color w:val="auto"/>
        </w:rPr>
        <w:t>: Generally, we self-insure a portion of health insurance, product liability claims, and workers’ compensation. Under these plans, liabilities are recognized for claims incurred, including those incurred but not reported. We use historical expense trend information, claim information, or third-party administrators and actuaries who use historical claims experience and various state statutes to assist in the determination of the accrued liability balance. For workers’ compensation and health insurance claims, we maintain an excess liability insurance policy with outside insurance carriers to minimize the risks related to catastrophic claims in excess of $250 per occurrence for health insurance and personal injury matters. Any material change in the aforementioned factors could have an adverse impact on operating results. Balances are included in the “Accrued expenses” line item in our Consolidated Balance Sheets included in this Form 10-K.</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u w:val="single" w:color="auto"/>
          <w:color w:val="auto"/>
        </w:rPr>
        <w:t>Comprehensive income (loss)</w:t>
      </w:r>
      <w:r>
        <w:rPr>
          <w:rFonts w:ascii="Times New Roman" w:cs="Times New Roman" w:eastAsia="Times New Roman" w:hAnsi="Times New Roman"/>
          <w:sz w:val="18"/>
          <w:szCs w:val="18"/>
          <w:color w:val="auto"/>
        </w:rPr>
        <w:t>: We follow the provisions of ASC 220</w:t>
      </w:r>
      <w:r>
        <w:rPr>
          <w:rFonts w:ascii="Times New Roman" w:cs="Times New Roman" w:eastAsia="Times New Roman" w:hAnsi="Times New Roman"/>
          <w:sz w:val="18"/>
          <w:szCs w:val="18"/>
          <w:i w:val="1"/>
          <w:iCs w:val="1"/>
          <w:color w:val="auto"/>
        </w:rPr>
        <w:t>, Reporting Comprehensive Income</w:t>
      </w:r>
      <w:r>
        <w:rPr>
          <w:rFonts w:ascii="Times New Roman" w:cs="Times New Roman" w:eastAsia="Times New Roman" w:hAnsi="Times New Roman"/>
          <w:sz w:val="18"/>
          <w:szCs w:val="18"/>
          <w:color w:val="auto"/>
        </w:rPr>
        <w:t>, which establishes standards for reporting and displaying comprehensive income (loss) and its components, and we disclose these components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Consolidated Statements of Comprehensive Income. Comprehensive income (loss) reflects the change in equity of a business enterprise during a period from transactions and other events and circumstances from non-owner sources. For us, comprehensive income (loss) represents net (loss) income adjusted for cumulative foreign currency translation adjustments and unrealized gains and losses on available-for-sale securities. The foreign currency translation adjustment included in the comprehensive income (loss) calculation has not been tax affected, as the investments in foreign affiliates are deemed to be permanent.</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Product design and development</w:t>
      </w:r>
      <w:r>
        <w:rPr>
          <w:rFonts w:ascii="Times New Roman" w:cs="Times New Roman" w:eastAsia="Times New Roman" w:hAnsi="Times New Roman"/>
          <w:sz w:val="18"/>
          <w:szCs w:val="18"/>
          <w:color w:val="auto"/>
        </w:rPr>
        <w:t xml:space="preserve">: We follow the provisions of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which states all expenses related to product design and development are charged to operations as incurred. Our product design and development activities include the enhancement of existing products and technologies and the development of new products and technologies.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In April 2025, the Company filed a certificate of incorporation with the State of Delaware to incorporate under the laws of that state (the “Certification of Incorporation”). The Company assigned a par value of $0.00001 to each share of the Company’s common stock (“Common Stock”) and preferred stock (“Preferred Stock”), as provided in the Certificate of Incorporation. Prior to incorporation in the State of Delaware, the Company’s shares of common and preferred shares had no par value. In connection with this incorporation and change in par value, the Company has recast prior periods to reflect issued and outstanding shares of common and preferred stock as they would have been presented under the new certificate of incorporation.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Earnings per share (“EPS”)</w:t>
      </w:r>
      <w:r>
        <w:rPr>
          <w:rFonts w:ascii="Times New Roman" w:cs="Times New Roman" w:eastAsia="Times New Roman" w:hAnsi="Times New Roman"/>
          <w:sz w:val="18"/>
          <w:szCs w:val="18"/>
          <w:color w:val="auto"/>
        </w:rPr>
        <w:t>: We follow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xml:space="preserve"> where basic EPS is computed by dividing income attributable to holders of Common Stock by the weighted average number of shares of Common Stock outstanding for the period. Diluted EPS reflects the potential dilution which may occur if securities or other obligations to issue Common Stock were exercised or converted into shares of Common Stock or resulted in the issuance of shares of Common Stock which share in our earnings.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income (loss) and shares of Common Stock amounts used in the calculation of basic and diluted EPS for the fiscal years ended May 2, 2026, April 26, 2025, and April 27,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6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00" w:type="dxa"/>
            <w:vAlign w:val="bottom"/>
          </w:tcPr>
          <w:p>
            <w:pPr>
              <w:spacing w:after="0"/>
              <w:rPr>
                <w:sz w:val="21"/>
                <w:szCs w:val="21"/>
                <w:color w:val="auto"/>
              </w:rPr>
            </w:pPr>
          </w:p>
        </w:tc>
      </w:tr>
      <w:tr>
        <w:trPr>
          <w:trHeight w:val="236"/>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00" w:type="dxa"/>
            <w:vAlign w:val="bottom"/>
          </w:tcPr>
          <w:p>
            <w:pPr>
              <w:spacing w:after="0"/>
              <w:rPr>
                <w:sz w:val="23"/>
                <w:szCs w:val="23"/>
                <w:color w:val="auto"/>
              </w:rPr>
            </w:pPr>
          </w:p>
        </w:tc>
      </w:tr>
      <w:tr>
        <w:trPr>
          <w:trHeight w:val="263"/>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2"/>
                <w:szCs w:val="22"/>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3"/>
                <w:szCs w:val="23"/>
                <w:color w:val="auto"/>
              </w:rPr>
            </w:pPr>
          </w:p>
        </w:tc>
      </w:tr>
      <w:tr>
        <w:trPr>
          <w:trHeight w:val="26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2"/>
                <w:szCs w:val="22"/>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3"/>
                <w:szCs w:val="23"/>
                <w:color w:val="auto"/>
              </w:rPr>
            </w:pPr>
          </w:p>
        </w:tc>
      </w:tr>
      <w:tr>
        <w:trPr>
          <w:trHeight w:val="237"/>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assuming dilution</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46,543</w:t>
            </w:r>
          </w:p>
        </w:tc>
        <w:tc>
          <w:tcPr>
            <w:tcW w:w="1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2"/>
                <w:szCs w:val="22"/>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Options outstanding to purchase 49 and 675 shares of common stock with a weighted average exercise price of $10.57 and $10.29 for the fiscal years ended April 26, 2025 and April 27, 2024, respectively, were not included in the computation of diluted EPS because the effects would be anti-dilutive.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 ended April 27, 2024, shares of common stock issuable upon conversion of the secured convertible note in the original amount of $25,000 due on May 11, 2027 (the “Convertible Note”) were not included in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computation of diluted EPS, as the effect would be anti-dilutive. For the fiscal year ended April 27, 2024, 3,915 potential common shares related to the Convertible Note were excluded from the calculation of diluted EPS.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Share-based compensation</w:t>
      </w:r>
      <w:r>
        <w:rPr>
          <w:rFonts w:ascii="Times New Roman" w:cs="Times New Roman" w:eastAsia="Times New Roman" w:hAnsi="Times New Roman"/>
          <w:sz w:val="18"/>
          <w:szCs w:val="18"/>
          <w:color w:val="auto"/>
        </w:rPr>
        <w:t>: We account for share-based compensation in accordance with ASC 718</w:t>
      </w:r>
      <w:r>
        <w:rPr>
          <w:rFonts w:ascii="Times New Roman" w:cs="Times New Roman" w:eastAsia="Times New Roman" w:hAnsi="Times New Roman"/>
          <w:sz w:val="18"/>
          <w:szCs w:val="18"/>
          <w:i w:val="1"/>
          <w:iCs w:val="1"/>
          <w:color w:val="auto"/>
        </w:rPr>
        <w:t>, Compensation-Stock Compensation.</w:t>
      </w:r>
      <w:r>
        <w:rPr>
          <w:rFonts w:ascii="Times New Roman" w:cs="Times New Roman" w:eastAsia="Times New Roman" w:hAnsi="Times New Roman"/>
          <w:sz w:val="18"/>
          <w:szCs w:val="18"/>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11. Stockholders’ Equity and Share-Based Compensation” of the Notes to our Consolidated Financial Statements included in this Form 10-K for additional information on, and the assumptions we use to calculate, the fair value of share-based employee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the disclosure of specified additional information in the income tax rate reconciliation and to provide additional information for reconciling items that meet a quantitative threshold. ASU 2023-09 also requires the disaggregation of the disclosures of income taxes paid by federal, state, and foreign taxes, with further disaggregation required for significant individual jurisdictions. The Company adopted ASU 2023-09 for the fiscal year ending May 2, 2026, retrospectively, and it did not have a material effect on our financial statements. See “Note 13. Income Taxes” of the Notes to our Consolidated Financial Statements included in this Form 10-K for additional discussion.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requiring disclosure in the notes to the financial statements for specified information about certain costs and expenses.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is effective for annual periods beginning after December 15, 2026 and for interim periods beginning after December 15, 2027; however, early adoption is permitted and can be applied either prospectively or retrospectively. We are currently evaluating the impact of ASU 2024-03 on our expense disaggregation disclosures.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ASU 2025-05 provides a practical expedient that all entities can use when estimating expected credit losses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current accounts receivable and current contract assets arising from transactions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Company is required to adopt this guidance in fiscal year 2027 on a prospective basis. We are currently evaluating the impact of ASU 2025-05 on our accounting policies and disclosures.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w:t>
      </w:r>
      <w:r>
        <w:rPr>
          <w:rFonts w:ascii="Times New Roman" w:cs="Times New Roman" w:eastAsia="Times New Roman" w:hAnsi="Times New Roman"/>
          <w:sz w:val="18"/>
          <w:szCs w:val="18"/>
          <w:color w:val="auto"/>
        </w:rPr>
        <w:t>ASU 2025-06”), which modernizes the accounting for internal-use software costs to reflect current development practices. The update eliminates the previous three-stage model (preliminary, application development, and post-implementation) and instead introduces a principles-based approach. Under the new guidance, capitalization begins when (1) management authorizes and commits to funding the project, and (2) it is probable the project will be completed and the software will be used for its intended purpose. ASU 2025-06 is effective for annual periods beginning after December 15, 2027, with early adoption permitted and transition options including prospective, retrospective, or modified retrospective application. We are currently evaluating the impact of ASU 2025-06 on our accounting policies and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 (“</w:t>
      </w:r>
      <w:r>
        <w:rPr>
          <w:rFonts w:ascii="Times New Roman" w:cs="Times New Roman" w:eastAsia="Times New Roman" w:hAnsi="Times New Roman"/>
          <w:sz w:val="18"/>
          <w:szCs w:val="18"/>
          <w:color w:val="auto"/>
        </w:rPr>
        <w:t>ASU 2025-11”).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ASU 2025-11 is effective for annual periods beginning after December 15, 2027, including interim periods within that annual period. We are currently evaluating the impact of ASU 2025-11 on our accounting policies and disclosures.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Fiscal Year 2026</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Park and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4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25,443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37,279</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22,935</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379,486</w:t>
            </w:r>
          </w:p>
        </w:tc>
        <w:tc>
          <w:tcPr>
            <w:tcW w:w="0" w:type="dxa"/>
            <w:vAlign w:val="bottom"/>
          </w:tcPr>
          <w:p>
            <w:pPr>
              <w:spacing w:after="0"/>
              <w:rPr>
                <w:sz w:val="1"/>
                <w:szCs w:val="1"/>
                <w:color w:val="auto"/>
              </w:rPr>
            </w:pPr>
          </w:p>
        </w:tc>
      </w:tr>
      <w:tr>
        <w:trPr>
          <w:trHeight w:val="277"/>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132,803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375,986</w:t>
            </w:r>
          </w:p>
        </w:tc>
        <w:tc>
          <w:tcPr>
            <w:tcW w:w="0" w:type="dxa"/>
            <w:vAlign w:val="bottom"/>
          </w:tcPr>
          <w:p>
            <w:pPr>
              <w:spacing w:after="0"/>
              <w:rPr>
                <w:sz w:val="1"/>
                <w:szCs w:val="1"/>
                <w:color w:val="auto"/>
              </w:rPr>
            </w:pPr>
          </w:p>
        </w:tc>
      </w:tr>
      <w:tr>
        <w:trPr>
          <w:trHeight w:val="263"/>
        </w:trPr>
        <w:tc>
          <w:tcPr>
            <w:tcW w:w="2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22,526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83,234</w:t>
            </w:r>
          </w:p>
        </w:tc>
        <w:tc>
          <w:tcPr>
            <w:tcW w:w="0" w:type="dxa"/>
            <w:vAlign w:val="bottom"/>
          </w:tcPr>
          <w:p>
            <w:pPr>
              <w:spacing w:after="0"/>
              <w:rPr>
                <w:sz w:val="1"/>
                <w:szCs w:val="1"/>
                <w:color w:val="auto"/>
              </w:rPr>
            </w:pPr>
          </w:p>
        </w:tc>
      </w:tr>
      <w:tr>
        <w:trPr>
          <w:trHeight w:val="275"/>
        </w:trPr>
        <w:tc>
          <w:tcPr>
            <w:tcW w:w="2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180,772</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838,706</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point in time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143,543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405,768</w:t>
            </w:r>
          </w:p>
        </w:tc>
        <w:tc>
          <w:tcPr>
            <w:tcW w:w="0" w:type="dxa"/>
            <w:vAlign w:val="bottom"/>
          </w:tcPr>
          <w:p>
            <w:pPr>
              <w:spacing w:after="0"/>
              <w:rPr>
                <w:sz w:val="1"/>
                <w:szCs w:val="1"/>
                <w:color w:val="auto"/>
              </w:rPr>
            </w:pPr>
          </w:p>
        </w:tc>
      </w:tr>
      <w:tr>
        <w:trPr>
          <w:trHeight w:val="225"/>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37,229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275,108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0" w:type="dxa"/>
            <w:vAlign w:val="bottom"/>
          </w:tcPr>
          <w:p>
            <w:pPr>
              <w:spacing w:after="0"/>
              <w:rPr>
                <w:sz w:val="1"/>
                <w:szCs w:val="1"/>
                <w:color w:val="auto"/>
              </w:rPr>
            </w:pPr>
          </w:p>
        </w:tc>
      </w:tr>
      <w:tr>
        <w:trPr>
          <w:trHeight w:val="275"/>
        </w:trPr>
        <w:tc>
          <w:tcPr>
            <w:tcW w:w="2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180,772</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838,706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Park and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27,405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356,415</w:t>
            </w:r>
          </w:p>
        </w:tc>
        <w:tc>
          <w:tcPr>
            <w:tcW w:w="0" w:type="dxa"/>
            <w:vAlign w:val="bottom"/>
          </w:tcPr>
          <w:p>
            <w:pPr>
              <w:spacing w:after="0"/>
              <w:rPr>
                <w:sz w:val="1"/>
                <w:szCs w:val="1"/>
                <w:color w:val="auto"/>
              </w:rPr>
            </w:pPr>
          </w:p>
        </w:tc>
      </w:tr>
      <w:tr>
        <w:trPr>
          <w:trHeight w:val="263"/>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105,358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320,079</w:t>
            </w:r>
          </w:p>
        </w:tc>
        <w:tc>
          <w:tcPr>
            <w:tcW w:w="0" w:type="dxa"/>
            <w:vAlign w:val="bottom"/>
          </w:tcPr>
          <w:p>
            <w:pPr>
              <w:spacing w:after="0"/>
              <w:rPr>
                <w:sz w:val="1"/>
                <w:szCs w:val="1"/>
                <w:color w:val="auto"/>
              </w:rPr>
            </w:pPr>
          </w:p>
        </w:tc>
      </w:tr>
      <w:tr>
        <w:trPr>
          <w:trHeight w:val="25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Pr>
          <w:p>
            <w:pPr>
              <w:spacing w:after="0"/>
              <w:rPr>
                <w:sz w:val="21"/>
                <w:szCs w:val="21"/>
                <w:color w:val="auto"/>
              </w:rPr>
            </w:pP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23,440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79,983</w:t>
            </w:r>
          </w:p>
        </w:tc>
        <w:tc>
          <w:tcPr>
            <w:tcW w:w="0" w:type="dxa"/>
            <w:vAlign w:val="bottom"/>
          </w:tcPr>
          <w:p>
            <w:pPr>
              <w:spacing w:after="0"/>
              <w:rPr>
                <w:sz w:val="1"/>
                <w:szCs w:val="1"/>
                <w:color w:val="auto"/>
              </w:rPr>
            </w:pPr>
          </w:p>
        </w:tc>
      </w:tr>
      <w:tr>
        <w:trPr>
          <w:trHeight w:val="275"/>
        </w:trPr>
        <w:tc>
          <w:tcPr>
            <w:tcW w:w="23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156,203</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116,605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352,201</w:t>
            </w:r>
          </w:p>
        </w:tc>
        <w:tc>
          <w:tcPr>
            <w:tcW w:w="0" w:type="dxa"/>
            <w:vAlign w:val="bottom"/>
          </w:tcPr>
          <w:p>
            <w:pPr>
              <w:spacing w:after="0"/>
              <w:rPr>
                <w:sz w:val="1"/>
                <w:szCs w:val="1"/>
                <w:color w:val="auto"/>
              </w:rPr>
            </w:pPr>
          </w:p>
        </w:tc>
      </w:tr>
      <w:tr>
        <w:trPr>
          <w:trHeight w:val="21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Pr>
          <w:p>
            <w:pPr>
              <w:spacing w:after="0"/>
              <w:rPr>
                <w:sz w:val="20"/>
                <w:szCs w:val="20"/>
                <w:color w:val="auto"/>
              </w:rPr>
            </w:pP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39,598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404,276</w:t>
            </w:r>
          </w:p>
        </w:tc>
        <w:tc>
          <w:tcPr>
            <w:tcW w:w="0" w:type="dxa"/>
            <w:vAlign w:val="bottom"/>
          </w:tcPr>
          <w:p>
            <w:pPr>
              <w:spacing w:after="0"/>
              <w:rPr>
                <w:sz w:val="1"/>
                <w:szCs w:val="1"/>
                <w:color w:val="auto"/>
              </w:rPr>
            </w:pPr>
          </w:p>
        </w:tc>
      </w:tr>
      <w:tr>
        <w:trPr>
          <w:trHeight w:val="275"/>
        </w:trPr>
        <w:tc>
          <w:tcPr>
            <w:tcW w:w="23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156,203</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Fiscal Year 2024</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Park and</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269,184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38,819</w:t>
            </w:r>
          </w:p>
        </w:tc>
        <w:tc>
          <w:tcPr>
            <w:tcW w:w="10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29,562</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422,621</w:t>
            </w:r>
          </w:p>
        </w:tc>
        <w:tc>
          <w:tcPr>
            <w:tcW w:w="0" w:type="dxa"/>
            <w:vAlign w:val="bottom"/>
          </w:tcPr>
          <w:p>
            <w:pPr>
              <w:spacing w:after="0"/>
              <w:rPr>
                <w:sz w:val="1"/>
                <w:szCs w:val="1"/>
                <w:color w:val="auto"/>
              </w:rPr>
            </w:pPr>
          </w:p>
        </w:tc>
      </w:tr>
      <w:tr>
        <w:trPr>
          <w:trHeight w:val="277"/>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24,164</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327,453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68,009</w:t>
            </w:r>
          </w:p>
        </w:tc>
        <w:tc>
          <w:tcPr>
            <w:tcW w:w="0" w:type="dxa"/>
            <w:vAlign w:val="bottom"/>
          </w:tcPr>
          <w:p>
            <w:pPr>
              <w:spacing w:after="0"/>
              <w:rPr>
                <w:sz w:val="1"/>
                <w:szCs w:val="1"/>
                <w:color w:val="auto"/>
              </w:rPr>
            </w:pPr>
          </w:p>
        </w:tc>
      </w:tr>
      <w:tr>
        <w:trPr>
          <w:trHeight w:val="275"/>
        </w:trPr>
        <w:tc>
          <w:tcPr>
            <w:tcW w:w="2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343,825</w:t>
            </w: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289,609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35,161</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474,258</w:t>
            </w:r>
          </w:p>
        </w:tc>
        <w:tc>
          <w:tcPr>
            <w:tcW w:w="0" w:type="dxa"/>
            <w:vAlign w:val="bottom"/>
          </w:tcPr>
          <w:p>
            <w:pPr>
              <w:spacing w:after="0"/>
              <w:rPr>
                <w:sz w:val="1"/>
                <w:szCs w:val="1"/>
                <w:color w:val="auto"/>
              </w:rPr>
            </w:pPr>
          </w:p>
        </w:tc>
      </w:tr>
      <w:tr>
        <w:trPr>
          <w:trHeight w:val="275"/>
        </w:trPr>
        <w:tc>
          <w:tcPr>
            <w:tcW w:w="2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Segment Reporting” of the Notes to our Consolidated Financial Statements included in this Form 10-K for a disaggregation of revenue by geography.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clients in excess of revenue recognized to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4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27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41,169</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25,383</w:t>
            </w:r>
          </w:p>
        </w:tc>
        <w:tc>
          <w:tcPr>
            <w:tcW w:w="100" w:type="dxa"/>
            <w:vAlign w:val="bottom"/>
            <w:tcBorders>
              <w:top w:val="single" w:sz="8" w:color="CCEEFF"/>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61.7 %</w:t>
            </w:r>
          </w:p>
        </w:tc>
      </w:tr>
      <w:tr>
        <w:trPr>
          <w:trHeight w:val="26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Pr>
          <w:p>
            <w:pPr>
              <w:spacing w:after="0"/>
              <w:rPr>
                <w:sz w:val="22"/>
                <w:szCs w:val="22"/>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7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12.1</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26, 2025 to May 2, 2026 were due to the timing of billing schedules and revenue recognition, which can vary significantly depending on the contractual payment terms and the seasonality of the sports markets. We had no significant impairments of contract assets for fiscal 2026, 2025, and 2024.</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 line items of our Consolidated Balance Sheets. Changes in unearned service-type warranty contracts, net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5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w:t>
            </w:r>
          </w:p>
        </w:tc>
      </w:tr>
      <w:tr>
        <w:trPr>
          <w:trHeight w:val="26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55,480</w:t>
            </w:r>
          </w:p>
        </w:tc>
      </w:tr>
      <w:tr>
        <w:trPr>
          <w:trHeight w:val="27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(52,885)</w:t>
            </w:r>
          </w:p>
        </w:tc>
      </w:tr>
      <w:tr>
        <w:trPr>
          <w:trHeight w:val="264"/>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provision on contracts in process identified as loss contracts as of May 2, 2026 and April 26, 2025 were immaterial. Loss provisions are recorded in the “Accrued expenses” line item in our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2026, we recognized revenue of $64,356 related to our contract liabilities as of April 26,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 and revenue recognized from past 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May 2, 2026, the aggregate amount of the transaction price allocated to the remaining performance obligations was $424,756. Remaining performance obligations related to product and service agreements as of May 2, 2026 were $356,182 and $68,574, respectively. We expect approximately $368,272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years during the years ended May 2, 2026 and April 26, 2025 was immaterial.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Segment Reporting</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organize and manage our business by the following five segments which meet the definition of reportable segments under ASC 280-10</w:t>
      </w:r>
      <w:r>
        <w:rPr>
          <w:rFonts w:ascii="Times New Roman" w:cs="Times New Roman" w:eastAsia="Times New Roman" w:hAnsi="Times New Roman"/>
          <w:sz w:val="18"/>
          <w:szCs w:val="18"/>
          <w:i w:val="1"/>
          <w:iCs w:val="1"/>
          <w:color w:val="auto"/>
        </w:rPr>
        <w:t>,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Commercial, Live Events, High School Park and Recreation, Transportation, and International. These segments are based on the customer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geography and are the same as our operating segments/business units.</w:t>
      </w:r>
    </w:p>
    <w:p>
      <w:pPr>
        <w:spacing w:after="0" w:line="16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Our chief operating decision-maker (“CODM”), who is our president and chief executive officer, regularly reviews the consolidated financial results in their entirety and the operating segment financial results to the GAAP measure of gross profit. The CODM uses gross profit and considers budget-to-actual variances on a quarterly basis when making decisions about the allocation of operating and capital resources to each segment. The CODM also uses segment gross profit for evaluating pricing strategy to assess the performance of each segment by comparing the results of each segment with one another. Assets and capital expenditures are reviewed by the CODM at the consolidated level, rather than segment level, as the information is not used in evaluating segment performance or allocating resources. The CODM has ultimate responsibility for enterprise decisions and making resource allocation decisions for our Company and our segments. Management of each operating segment has the responsibility for operating decisions, allocating resources, and assessing performance within their segment.</w:t>
      </w:r>
    </w:p>
    <w:p>
      <w:pPr>
        <w:spacing w:after="0" w:line="185" w:lineRule="exact"/>
        <w:rPr>
          <w:sz w:val="20"/>
          <w:szCs w:val="20"/>
          <w:color w:val="auto"/>
        </w:rPr>
      </w:pPr>
    </w:p>
    <w:p>
      <w:pPr>
        <w:jc w:val="both"/>
        <w:ind w:left="660" w:hanging="328"/>
        <w:spacing w:after="0" w:line="23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business unit primarily consists of sales of our integrated video display systems, digital billboards, Galaxy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Fuelight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lines, and dynamic messaging systems to resellers (primarily sign companies), out-of-home (“OOH”) companies, national retailers, quick-serve restaurants, casinos, shopping centers, cruise ships, commercial building owners, and petroleum retailers.</w:t>
      </w:r>
    </w:p>
    <w:p>
      <w:pPr>
        <w:spacing w:after="0" w:line="20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20" w:hanging="328"/>
        <w:spacing w:after="0" w:line="23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School Park and Recreation business unit primarily consists of sales of scoring systems, Galaxy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displays, and video display systems to primary and secondary education facilities and resellers (primarily sign companies).</w:t>
      </w:r>
    </w:p>
    <w:p>
      <w:pPr>
        <w:spacing w:after="0" w:line="199"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Transportation business unit primarily consists of sales of intelligent transportation systems dynamic messaging signs for road management, mass transit, and aviation applications and other electronic signage for advertising and way-finding needs, which includes our Vanguard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Galaxy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lines and other intelligent transportation systems dynamic message signs, to governmental transportation departments, transportation industry contractors, airlines, and other transportation-related customers.</w:t>
      </w:r>
    </w:p>
    <w:p>
      <w:pPr>
        <w:spacing w:after="0" w:line="19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architectural lighting, and transportation related products for sale outside of the United States and Canada to the related type of company, including sports and commercial business facilities, OOH companies, and governmental transportation agencies.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segments follow the same accounting policies as those described in “Note 1. Nature of Business and Summary of Significant Accounting Policies.” Some expenses or services are not directly allocable to a sale or segment, or the resources and related expenses are shared across business segment areas. These expenses are allocated using estimates and allocation methodologies based on financial measures and professional judgment. Shared or unabsorbed manufacturing costs are allocated to the business unit benefiting most from that manufacturing location’s production capabilities. Shared or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 in the segment analysis. Assets are not allocated to the segments. Depreciation and amortization are allocated to each segment based on various financial measures; however, some depreciation and amortization are corporate in nature and remain unallocated.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maintain information on sales by product; therefore, disclosure of such information is not practical.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37"/>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161,626</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170,349</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85,390</w:t>
            </w:r>
          </w:p>
        </w:tc>
      </w:tr>
      <w:tr>
        <w:trPr>
          <w:trHeight w:val="264"/>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62,210</w:t>
            </w: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sales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r>
      <w:tr>
        <w:trPr>
          <w:trHeight w:val="270"/>
        </w:trPr>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127,393</w:t>
            </w:r>
          </w:p>
        </w:tc>
      </w:tr>
      <w:tr>
        <w:trPr>
          <w:trHeight w:val="27"/>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242,524</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112,985</w:t>
            </w:r>
          </w:p>
        </w:tc>
      </w:tr>
      <w:tr>
        <w:trPr>
          <w:trHeight w:val="27"/>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59,369</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53,369</w:t>
            </w:r>
          </w:p>
        </w:tc>
      </w:tr>
      <w:tr>
        <w:trPr>
          <w:trHeight w:val="27"/>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6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34,233</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95,984</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57,364</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26,021</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r>
      <w:tr>
        <w:trPr>
          <w:trHeight w:val="24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gross profit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229,006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222,443</w:t>
            </w:r>
          </w:p>
        </w:tc>
      </w:tr>
      <w:tr>
        <w:trPr>
          <w:trHeight w:val="256"/>
        </w:trPr>
        <w:tc>
          <w:tcPr>
            <w:tcW w:w="6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42,632</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13,096</w:t>
            </w: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6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for reportable segments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No single country comprises a material amount of our net sales or property and equipment, net of accumulated depreciation, other than the United States. The following table presents information about net sales, which are based on where the end user is located, and property and equipment, net of accumulated depreciation, in the United States and elsewhere: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36"/>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742,294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676,192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744,419</w:t>
            </w: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United States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73,664</w:t>
            </w:r>
          </w:p>
        </w:tc>
      </w:tr>
      <w:tr>
        <w:trPr>
          <w:trHeight w:val="250"/>
        </w:trPr>
        <w:tc>
          <w:tcPr>
            <w:tcW w:w="66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838,706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818,083</w:t>
            </w:r>
          </w:p>
        </w:tc>
      </w:tr>
      <w:tr>
        <w:trPr>
          <w:trHeight w:val="21"/>
        </w:trPr>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64,332</w:t>
            </w: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United States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50"/>
        </w:trPr>
        <w:tc>
          <w:tcPr>
            <w:tcW w:w="66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71,752</w:t>
            </w:r>
          </w:p>
        </w:tc>
      </w:tr>
      <w:tr>
        <w:trPr>
          <w:trHeight w:val="27"/>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Business Combination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22, 2025, the Company acquired the Display Business from XDC, which consisted of intellectual property, equipment assets, technical expertise, contract rights, other personal property, and related assets.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Display Business Assets acquired by the Company pursuant to the XDC Acquisition comprise substantially all of the Display Business’s assets. Certain employees of XDC were also hired by the Company in connection with the acquisition. As consideration for the hiring of such employees and the acquisition of the Display Business Assets, the Company assumed specific liabilities of XDC and settled a portion of principal and accrued interest owed to the Company by XDC under certain promissory notes. The total consideration for the XDC Acquisition was $4,141. We accounted for the XDC Acquisition as a business combination using the acquisition method of accounting and performed an allocation of the purchase price to the tangible and intangible assets acquired and liabilities assumed based on their estimated fair values as of the acquisition date.</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XDC Acquisition is not significant to our Consolidated Financial Statements included in this Form 10-K, and, as such, we have not included disclosures of the allocation of the purchase price. Additionally, we have not included any pro forma disclosures as the results of its operations are not significant to our consolidated financial results. The results of the Display Business operations have been included in our Consolidated Financial Statements included in this Form 10-K since the date of acquisition.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fiscal year ended May 2, 2026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26,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6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XDC Acquisition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5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2, 2026: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performed our annual impairment test on November 2, 2025 and concluded no goodwill impairment existed for fiscal year 2026. The annual impairment test for fiscal year 2025 concluded no goodwill impairment existed.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XDC Acquisition, we recorded $450 of goodwill which is related to the value of the assembled workforce acquired and is not deductible for tax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accumulated impairments to goodwill as of May 2, 2026 and April 26, 2025 was $4,576.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May 2, 2026 and April 26,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07"/>
        </w:trPr>
        <w:tc>
          <w:tcPr>
            <w:tcW w:w="50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5"/>
        </w:trPr>
        <w:tc>
          <w:tcPr>
            <w:tcW w:w="50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trademarks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0"/>
        </w:trPr>
        <w:tc>
          <w:tcPr>
            <w:tcW w:w="5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21"/>
        </w:trPr>
        <w:tc>
          <w:tcPr>
            <w:tcW w:w="502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50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trademarks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6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fiscal years 2026, 2025, and 2024, amortization expense was $253, $278, and $287, respectively. Amortization expenses are included primarily in product design and development and selling expense in the Consolidated Statements of Operations. Intangible assets are written off when fully amortized.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2, 2026, amortization expenses for future periods were estimated to be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3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63"/>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82"/>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expected amortization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Selected Financial Statement Data</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0" w:type="dxa"/>
            <w:vAlign w:val="bottom"/>
          </w:tcPr>
          <w:p>
            <w:pPr>
              <w:spacing w:after="0"/>
              <w:rPr>
                <w:sz w:val="1"/>
                <w:szCs w:val="1"/>
                <w:color w:val="auto"/>
              </w:rPr>
            </w:pPr>
          </w:p>
        </w:tc>
      </w:tr>
      <w:tr>
        <w:trPr>
          <w:trHeight w:val="25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49,276</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110,471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105,839</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0" w:type="dxa"/>
            <w:vAlign w:val="bottom"/>
          </w:tcPr>
          <w:p>
            <w:pPr>
              <w:spacing w:after="0"/>
              <w:rPr>
                <w:sz w:val="1"/>
                <w:szCs w:val="1"/>
                <w:color w:val="auto"/>
              </w:rPr>
            </w:pPr>
          </w:p>
        </w:tc>
      </w:tr>
      <w:tr>
        <w:trPr>
          <w:trHeight w:val="25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Demonstration equipment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285,019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221,520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211,135</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depreciation expense was $17,477, $17,654, and $17,453 for the fiscal years 2026,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May 2, 2026</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accrued expenses</w:t>
            </w:r>
          </w:p>
        </w:tc>
        <w:tc>
          <w:tcPr>
            <w:tcW w:w="18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Interest income (expense), net consisted of the following:</w:t>
            </w: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amortization expense</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81"/>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 consisted of the following:</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6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affiliate loans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XDC Acquisition</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equity method investees</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 write off</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50"/>
        </w:trPr>
        <w:tc>
          <w:tcPr>
            <w:tcW w:w="66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(13,096)</w:t>
            </w:r>
          </w:p>
        </w:tc>
      </w:tr>
      <w:tr>
        <w:trPr>
          <w:trHeight w:val="27"/>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Accounts Receivable,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credit losses of $1,732 and $1,927 as of May 2, 2026 and April 26, 2025, respectively. Included in accounts receivable as of May 2, 2026 and April 26, 2025 was $2,049 and $3,727, respectively, of retainage on construction-type contracts, all of which is expected to be collected within one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some contracts with customers, we agree to installment payments exceeding 12 months. The present value of these contracts is recorded as a receivable as the revenue is recognized in accordance with GAAP, and profit is recognized to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extent the present value is in excess of cost. We generally retain a security interest in the equipment or in the cash flow generated by the equipment until the contract is paid. The present value of long-term contracts, including the current maturities, was $4,365 and $3,287 as of May 2, 2026 and April 26, 2025, respectively. Contract receivables bearing annual interest rates of 8.0 to 9.0 percent are due in varying annual installments through October 2027. The face value of long-term receivables, including the current maturities, was $4,495 and $3,698 as of May 2, 2026 and April 26, 2025,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Financing Agreements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91"/>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38"/>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37"/>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 gross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w:t>
      </w:r>
    </w:p>
    <w:p>
      <w:pPr>
        <w:spacing w:after="0" w:line="4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November 26, 2025, the Company entered into a new $71,500 senior secured credit facility (the “New Credit Facility”) pursuant to a Credit Agreement (the “New Credit Agreement”), between and among the Company, JPMorgan Chase Bank, N.A., as administrative agent (the “Administrative Agent”), the Lenders, and the other Loan Parties. The following capitalized terms have specific meanings as defined in the New Credit Agreement: Lenders; Loan Parties; Adjusted Term SOFR Rate; Adjusted Daily Simple SOFR; CB Floating Rate; Total Leverage Ratio; and Fixed Charge Coverage Ratio.</w:t>
      </w:r>
    </w:p>
    <w:p>
      <w:pPr>
        <w:spacing w:after="0" w:line="212"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In connection with entering into the New Credit Agreement, the Company terminated its prior senior credit facility dated May 11, 2023 (as amended, the “Prior Credit Agreement”), which consisted of an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revolving credit facility and a delayed draw term loan. All outstanding obligations under the Prior Credit Agreement were repaid in full, and all related liens, including the mortgage on the Company’s Brookings, South Dakota real property, were released. No material early termination penalties were incurred in connection with the termination of the Prior Credit Agreement. Certain customary obligations, including indemnification and confidentiality provisions, survive the termination of the Prior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Credit Facility created pursuant to the New Credit Agreement is comprised of:</w:t>
      </w:r>
    </w:p>
    <w:p>
      <w:pPr>
        <w:spacing w:after="0" w:line="252" w:lineRule="exact"/>
        <w:rPr>
          <w:sz w:val="20"/>
          <w:szCs w:val="20"/>
          <w:color w:val="auto"/>
        </w:rPr>
      </w:pPr>
    </w:p>
    <w:p>
      <w:pPr>
        <w:ind w:left="700" w:hanging="368"/>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$60,000 revolving credit facility (the “Revolver”), maturing on November 26, 2028 (the “Maturity Date”); and</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$11,500 term loan (the “New Term Loan”), amortizing in equal quarterly installments of $288, with the remaining principal due on the Maturity Date.</w:t>
      </w:r>
    </w:p>
    <w:p>
      <w:pPr>
        <w:spacing w:after="0" w:line="148"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The Revolver and the New Term Loan are guaranteed by the Loan Parties and are secured by perfected,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priority liens on substantially all personal property and assets of the Company and the other Loan Parties, including intellectual property, pursuant to a new pledge and security agreement and related collateral documents (collectively, the “New Security Agreement”). The New Security Agreement replaced the prior pledge and security agreement entered into in connection with the Prior Credit Agreement.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Borrowings under the New Credit Facility bear interest, at one of the following rates to be selected by the Company, in its discretion: (i) the Adjusted Term SOFR Rate plus a 0.10% margin; (ii) the Adjusted Daily Simple SOFR plus a 0.10% margin; or (iii) the CB Floating Rate with a 0.00% margin. Amounts repaid under the New Term Loan may not be reborrowed. Undrawn commitments under the Revolver accrue a commitment fee of 0.20% per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under the Revolver accrue customary fees and generally must expire no later than five business days prior to the Maturity Date.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covenants under the New Credit Agreement require the Company to maintain (i) a maximum quarterly Total Leverage Ratio of 3.00 to 1.00 and (ii) a minimum Fixed Charge Coverage Ratio of 1.25 to 1.00. There is a limited ability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exclude certain unfinanced capital expenditures from these calculations when specified liquidity thresholds are met. These covenants apply to borrowings under both the Revolver and the New Term Loan. The New Credit Agreement includes customary representations, covenants, and events of default, including limitations on incurring additional debt, liens, investments, asset sales, restricted payments, dividends, share repurchases, and affiliate transactions.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New Credit Facility may be used to refinance existing indebtedness and for working capital and other general corporate purposes.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2, 2026, the Company was in compliance with all covenants under the New Credit Agreement and other agreements related to the New Credit Facility. There were no advances under the New Term Loan portion of our line of credit, and the balance of letters of credit issued and outstanding under the Revolver was approximately $1,905. As of May 2, 2026, $58,095 of the New Credit Facility remains in place and available for borrowing.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2, 2026 and April 26, 2025, there was no outstanding balance under the Convertible Note. During fiscal 2025, the Company fully settled the Convertible Note through a series of forced conversions in accordance with its terms. These conversions resulted in the issuance of shares of Common Stock to Alta Fox Opportunities and the extinguishment of the debt on the dates of settlement. Accordingly, there is no remaining principal or accrued interest associated with the Convertible Note, and no further obligations under its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75"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Debt issuance costs incurred in connection with our financing agreements are capitalized and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term of the related debt agreement. In the event of early principal repayments or the termination of a debt agreement, any remaining unamortized debt issuance costs associated with such agreement are expensed.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termination of the Prior Credit Agreement, the Company expensed $566 of unamortized debt issuance costs, which were recorded as interest expense.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of debt issuance costs totaled $965 and $1,614 for the fiscal years ended May 2, 2026 and April 26, 2025, respectively. The amortization for the fiscal year ended May 2, 2026 includes amortization related to both the Prior Credit Agreement prior to its termination and the New Credit Facility subsequent to its execution.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2, 2026, the remaining unamortized debt issuance costs of $146 were being amortized over the remaining term of the New Credit Facility.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contractual maturities of debt in future fiscal years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7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beyond</w:t>
            </w:r>
          </w:p>
        </w:tc>
        <w:tc>
          <w:tcPr>
            <w:tcW w:w="5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w:t>
            </w:r>
          </w:p>
        </w:tc>
      </w:tr>
      <w:tr>
        <w:trPr>
          <w:trHeight w:val="20"/>
        </w:trPr>
        <w:tc>
          <w:tcPr>
            <w:tcW w:w="4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Share Repurchase Program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17, 2016, our Board of Directors (the “Board” or “Board of Directors”) authorized a share repurchase program (the “Repurchase Program”) under which the Company may repurchase up to $40,000 of outstanding Common Stock. On March 4, 2025, the Board approved a $10,000 increase in the limit under the Repurchase Program. On June 23, 2025,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Board approved an additional $10,000 increase in the limit under the Repurchase Program. On December 9, 2025, the Board approved an additional $20,000 increase for a maximum authorized value of $80,000 as of May 2,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under the Repurchase Program may be made from time to time in open market transactions or privately negotiated transactions, subject to business and market conditions, applicable legal requirements, and other relevant factors. The Repurchase Program does not obligate the Company to repurchase any specific number of shares, may be suspended or terminated at any time at the discretion of the Board and has no fixed expiration date. For additional information, see “Note 19. Subsequent Events” of the Notes to our Consolidated Financial Statements included in this Form 10-K.</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2026, the Company repurchased 1,428 shares of Common Stock at a total cost of $25,409 and incurred $156 of stock repurchase excise tax. During fiscal 2025, the Company repurchased 2,071 shares of Common Stock at a total cost of $29,474. During fiscal 2024, the Company had no repurchases of shares of our outstanding shares of common stock, no par value. As of May 2, 2026, $14,471 of the $80,000 authorized amount remained available for repurchase under the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facilities and various equipment to manufacture products and provide employee collaboration space and tools. These are all classified as operating leases and have initial lease terms ranging from 1 year to 5 years. These operating leases do not contain material residual value guarantees or material restrictive covenants. Our lease for our facility in Sioux Falls, South Dakota contains a purchase option. We have no material financing leases.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a lease at the inception of the lease. Leases with an initial term of 12 months or less are not recorded on the balance sheet.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lease payments over the lease term. As we are generally not able to determine the rate implicit in our leases, we use the incremental borrowing rate based on the information available at the commencement date in determining the present value of future lease payments. The operating lease right-of-use asset includes any prepaid lease payments and initial direct costs and excludes any lease incentives and impairments. Some of our leases include options to extend the term, which is only included in the right-of-use assets and lease liability calculation when it is reasonably certain that we will exercise that option. We have lease agreements with lease and non-lease components, and we have elected to account for all asset classes as a single lease component. Our operating leases also typically require payment of real estate taxes, insurance, and common area maintenance. These components comprise the majority of our variable lease cost and are excluded from the present value of our lease obligations. In instances where they are fixed, they are included due to our election to combine lease and non-lease components. Our total variable lease costs are immaterial.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and short-term lease cost is recognized when paid. During fiscal 2026, the amount of the operating lease cost included in cost of sales and operating expenses in the Consolidated Statements of Operations was $2,816 and $657, respectively, as compared to $2,530 and $674, respectively, in fiscal year 2025, and $2,344 and $980, respectively, in fiscal year 2024. Operating lease cost includes short-term leases, which are immaterial.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2, 2026, the weighted average remaining lease term and discount rate related to operating leases was 3.0 years and 6.4 percent as compared to 2.4 years and 6.1 percent as of April 26,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unaudited cash flow information related to operating leases were as follows:</w:t>
      </w:r>
    </w:p>
    <w:p>
      <w:pPr>
        <w:spacing w:after="0" w:line="275"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28575</wp:posOffset>
            </wp:positionV>
            <wp:extent cx="29489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3" w:lineRule="exact"/>
        <w:rPr>
          <w:sz w:val="20"/>
          <w:szCs w:val="20"/>
          <w:color w:val="auto"/>
        </w:rPr>
      </w:pPr>
    </w:p>
    <w:p>
      <w:pPr>
        <w:ind w:left="6880"/>
        <w:spacing w:after="0"/>
        <w:tabs>
          <w:tab w:leader="none" w:pos="8360" w:val="left"/>
          <w:tab w:leader="none" w:pos="9940" w:val="left"/>
        </w:tabs>
        <w:rPr>
          <w:sz w:val="20"/>
          <w:szCs w:val="20"/>
          <w:color w:val="auto"/>
        </w:rPr>
      </w:pPr>
      <w:r>
        <w:rPr>
          <w:rFonts w:ascii="Times New Roman" w:cs="Times New Roman" w:eastAsia="Times New Roman" w:hAnsi="Times New Roman"/>
          <w:sz w:val="18"/>
          <w:szCs w:val="18"/>
          <w:b w:val="1"/>
          <w:bCs w:val="1"/>
          <w:color w:val="auto"/>
        </w:rPr>
        <w:t>May 2, 2026</w:t>
      </w:r>
      <w:r>
        <w:rPr>
          <w:sz w:val="20"/>
          <w:szCs w:val="20"/>
          <w:color w:val="auto"/>
        </w:rPr>
        <w:tab/>
      </w:r>
      <w:r>
        <w:rPr>
          <w:rFonts w:ascii="Times New Roman" w:cs="Times New Roman" w:eastAsia="Times New Roman" w:hAnsi="Times New Roman"/>
          <w:sz w:val="18"/>
          <w:szCs w:val="18"/>
          <w:b w:val="1"/>
          <w:bCs w:val="1"/>
          <w:color w:val="auto"/>
        </w:rPr>
        <w:t>April 26, 2025</w:t>
      </w:r>
      <w:r>
        <w:rPr>
          <w:sz w:val="20"/>
          <w:szCs w:val="20"/>
          <w:color w:val="auto"/>
        </w:rPr>
        <w:tab/>
      </w:r>
      <w:r>
        <w:rPr>
          <w:rFonts w:ascii="Times New Roman" w:cs="Times New Roman" w:eastAsia="Times New Roman" w:hAnsi="Times New Roman"/>
          <w:sz w:val="17"/>
          <w:szCs w:val="17"/>
          <w:b w:val="1"/>
          <w:bCs w:val="1"/>
          <w:color w:val="auto"/>
        </w:rPr>
        <w:t>April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50" w:lineRule="exact"/>
        <w:rPr>
          <w:sz w:val="20"/>
          <w:szCs w:val="20"/>
          <w:color w:val="auto"/>
        </w:rPr>
      </w:pPr>
    </w:p>
    <w:p>
      <w:pPr>
        <w:ind w:left="180"/>
        <w:spacing w:after="0"/>
        <w:tabs>
          <w:tab w:leader="none" w:pos="6600" w:val="left"/>
          <w:tab w:leader="none" w:pos="7580" w:val="left"/>
          <w:tab w:leader="none" w:pos="8180" w:val="left"/>
          <w:tab w:leader="none" w:pos="9160" w:val="left"/>
          <w:tab w:leader="none" w:pos="9760" w:val="left"/>
          <w:tab w:leader="none" w:pos="10740" w:val="left"/>
        </w:tabs>
        <w:rPr>
          <w:sz w:val="20"/>
          <w:szCs w:val="20"/>
          <w:color w:val="auto"/>
        </w:rPr>
      </w:pPr>
      <w:r>
        <w:rPr>
          <w:rFonts w:ascii="Times New Roman" w:cs="Times New Roman" w:eastAsia="Times New Roman" w:hAnsi="Times New Roman"/>
          <w:sz w:val="18"/>
          <w:szCs w:val="18"/>
          <w:color w:val="auto"/>
        </w:rPr>
        <w:t>Operating cash flows for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2,975</w:t>
        <w:tab/>
        <w:t>$</w:t>
      </w:r>
      <w:r>
        <w:rPr>
          <w:sz w:val="20"/>
          <w:szCs w:val="20"/>
          <w:color w:val="auto"/>
        </w:rPr>
        <w:tab/>
      </w:r>
      <w:r>
        <w:rPr>
          <w:rFonts w:ascii="Times New Roman" w:cs="Times New Roman" w:eastAsia="Times New Roman" w:hAnsi="Times New Roman"/>
          <w:sz w:val="18"/>
          <w:szCs w:val="18"/>
          <w:color w:val="auto"/>
        </w:rPr>
        <w:t>2,461</w:t>
        <w:tab/>
        <w:t>$</w:t>
      </w:r>
      <w:r>
        <w:rPr>
          <w:sz w:val="20"/>
          <w:szCs w:val="20"/>
          <w:color w:val="auto"/>
        </w:rPr>
        <w:tab/>
      </w:r>
      <w:r>
        <w:rPr>
          <w:rFonts w:ascii="Times New Roman" w:cs="Times New Roman" w:eastAsia="Times New Roman" w:hAnsi="Times New Roman"/>
          <w:sz w:val="17"/>
          <w:szCs w:val="17"/>
          <w:color w:val="auto"/>
        </w:rPr>
        <w:t>2,581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operating lease payments as of, and subsequent to, May 2, 2026 under ASC 842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6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4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years ending</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5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1"/>
        </w:trPr>
        <w:tc>
          <w:tcPr>
            <w:tcW w:w="9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and long-term portions of the lease liabilities are included in the “Accrued expenses” and “Other long-term obligations” line items in our Consolidated Balance Sheets,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Stockholders’ Equity and Share-Based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Authorized share types</w:t>
      </w:r>
      <w:r>
        <w:rPr>
          <w:rFonts w:ascii="Times New Roman" w:cs="Times New Roman" w:eastAsia="Times New Roman" w:hAnsi="Times New Roman"/>
          <w:sz w:val="18"/>
          <w:szCs w:val="18"/>
          <w:color w:val="auto"/>
        </w:rPr>
        <w:t>: Our 120,000 authorized shares of stock consist of 115,000 shares of Common Stock and 5,000 shares of Preferred Stock.</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Stock incentive plans</w:t>
      </w:r>
      <w:r>
        <w:rPr>
          <w:rFonts w:ascii="Times New Roman" w:cs="Times New Roman" w:eastAsia="Times New Roman" w:hAnsi="Times New Roman"/>
          <w:sz w:val="18"/>
          <w:szCs w:val="18"/>
          <w:color w:val="auto"/>
        </w:rPr>
        <w:t>: During fiscal 2026, our shareholders approved the Daktronics, Inc. 2025 Stock Incentive Plan (“2025 Plan”), under which shares available for issuance include remaining authorized shares from the 2020 Stock Incentive Plan (“2020 Plan”). No new awards will be granted under the 2020 Plan. The 2025 Plan provides for the issuance of stock-based awards, including, but not limited to, stock options, restricted stock, restricted stock units (“RSUs”), performance stock, performance stock units (“PSUs”), and deferred stock to employees, directors, and consultants. Stock options issued to employees under the 2020 Plan and 2025 Plan generally have a 10-year life, an exercise price equal to the closing market value on the grant date, and a five-year annual vesting period. The restricted stock granted to independent directors vests in one year, provided that the directors remain on the Board of Directors. Restricted stock units are granted to employees and generally vest over a defined service period or, in the case of PSUs, based on performance criteria, which may vary by award. Performance stock awards are granted to employees and vest, if at all, based on the achievement of specified performance criteria. PSUs and RSUs are granted to employees as units that are settled in shares of Common Stock upon vesting based on the achievement of specified performance criteria. Pursuant to the terms of the applicable award agreements and the 2020 Plan or 2025 Plan, all currently outstanding stock-based awards under the 2020 Plan and 2025 Plan will be settled in shares of Common Stock on a one-to-one basis if and when such awards vest, and the ownership of such stock-based awards cannot be transferred during the applicable vesting period.</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2, 2026, the aggregate number of shares of Common Stock available for future grants under the 2025 Plan was 3,418 shares. Shares of Common Stock subject to each stock award granted under the 2025 Plan are counted as one share of Common Stock for each share of Common Stock subject to the award.</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We issue restricted stock to our non-employee directors and RSUs to employees. Restricted stock issued to non-employee directors are participating securities and receive dividends prior to vesting. Unvested restricted stock will terminate and be forfeited upon termination of employment or service. The fair value of our unvested restricted stock and RSU awards is measured based on the market value of our Common Stock on the grant date for the applicable award. The related compensation expense as calculated under ASC 718, net of estimated forfeitures, is recognized over the applicable vesting period. Unrecognized compensation expense related to the restricted stock and RSU awards was approximately $5,707 as of May 2, 2026, which is expected to be recognized over a weighted-average period of 3.31 years. The total fair value of restricted stock vested was $2,404, $1,209, and $1,536 in fiscal years 2026, 2025, and 2024, respectively.</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 stock and performance stock units: </w:t>
      </w:r>
      <w:r>
        <w:rPr>
          <w:rFonts w:ascii="Times New Roman" w:cs="Times New Roman" w:eastAsia="Times New Roman" w:hAnsi="Times New Roman"/>
          <w:sz w:val="18"/>
          <w:szCs w:val="18"/>
          <w:color w:val="auto"/>
        </w:rPr>
        <w:t>We grant performance stock and PSUs to senior members of our management team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specified performance targets and continuous service through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applicable vesting dates. Our PSUs granted in fiscal 2026 were immaterial. In fiscal 2025 and 2024, we had no PSU grants. The performance conditions for the current PSUs are set to be achieved annually during a three-year period. The service condition must be met on each vesting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the Company granted a one-time equity award to its former interim Chief Executive Officer (“CEO”) and acting Chief Financial Officer (“CFO”). Pursuant to the terms of the applicable award agreements, 100 percent of the awarded RSUs will vest upon the appointment of a permanent CEO or CFO, as applicable, provided that the executive remains continuously employed by the Company or a subsidiary until immediately prior to such appointment. The vesting condition for the Company’s former interim CEO was satisfied during fiscal 2026 upon the appointment of his successor. As of May 2, 2026, the vesting condition for the acting CFO has not yet been satisfied.</w:t>
      </w:r>
    </w:p>
    <w:p>
      <w:pPr>
        <w:spacing w:after="0" w:line="143"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During fiscal 2026, the Company recognized additional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the accelerated vesting of certain equity awards in connection with the separation of an executive officer. The acceleration of vesting resulted in the recognition of approximately $620 of compensation expense during the period, which is included in “General and administrative” expense in our Consolidated Statements of Operations.</w:t>
      </w:r>
    </w:p>
    <w:p>
      <w:pPr>
        <w:spacing w:after="0" w:line="185"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During fiscal 2026, the Company reclassified certain PSUs from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to liability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classified awards because the awards permit settlement in cash at the holder’s election. As of May 2, 2026, $304 was reclassified from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to accrued compensation liabilities, and $180 was recognized as stock-based compensation expense to reflect the awards’ fair value at the reclassification date. The liability is included in “Accrued expenses” in our Consolidated Statements of Operations. Liability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are remeasured at fair value each reporting period until settlement.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non-vested restricted stock and RSUs for fiscal years 2026, 2025, and 2024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6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0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00" w:type="dxa"/>
            <w:vAlign w:val="bottom"/>
          </w:tcPr>
          <w:p>
            <w:pPr>
              <w:spacing w:after="0"/>
              <w:rPr>
                <w:sz w:val="21"/>
                <w:szCs w:val="21"/>
                <w:color w:val="auto"/>
              </w:rPr>
            </w:pPr>
          </w:p>
        </w:tc>
        <w:tc>
          <w:tcPr>
            <w:tcW w:w="304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0" w:type="dxa"/>
            <w:vAlign w:val="bottom"/>
          </w:tcPr>
          <w:p>
            <w:pPr>
              <w:spacing w:after="0"/>
              <w:rPr>
                <w:sz w:val="1"/>
                <w:szCs w:val="1"/>
                <w:color w:val="auto"/>
              </w:rPr>
            </w:pPr>
          </w:p>
        </w:tc>
      </w:tr>
      <w:tr>
        <w:trPr>
          <w:trHeight w:val="221"/>
        </w:trPr>
        <w:tc>
          <w:tcPr>
            <w:tcW w:w="1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4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4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1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0" w:type="dxa"/>
            <w:vAlign w:val="bottom"/>
          </w:tcPr>
          <w:p>
            <w:pPr>
              <w:spacing w:after="0"/>
              <w:rPr>
                <w:sz w:val="1"/>
                <w:szCs w:val="1"/>
                <w:color w:val="auto"/>
              </w:rPr>
            </w:pPr>
          </w:p>
        </w:tc>
      </w:tr>
      <w:tr>
        <w:trPr>
          <w:trHeight w:val="259"/>
        </w:trPr>
        <w:tc>
          <w:tcPr>
            <w:tcW w:w="196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11"/>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year</w:t>
            </w:r>
          </w:p>
        </w:tc>
        <w:tc>
          <w:tcPr>
            <w:tcW w:w="146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9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We issue incentive stock options to our employees. A summary of stock option activity under our 2020 Plan and 2025 Plan during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May 2, 2026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40" w:type="dxa"/>
            <w:vAlign w:val="bottom"/>
          </w:tcPr>
          <w:p>
            <w:pPr>
              <w:spacing w:after="0"/>
              <w:rPr>
                <w:sz w:val="17"/>
                <w:szCs w:val="17"/>
                <w:color w:val="auto"/>
              </w:rPr>
            </w:pPr>
          </w:p>
        </w:tc>
        <w:tc>
          <w:tcPr>
            <w:tcW w:w="134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59"/>
        </w:trPr>
        <w:tc>
          <w:tcPr>
            <w:tcW w:w="5020" w:type="dxa"/>
            <w:vAlign w:val="bottom"/>
          </w:tcPr>
          <w:p>
            <w:pPr>
              <w:spacing w:after="0"/>
              <w:rPr>
                <w:sz w:val="22"/>
                <w:szCs w:val="22"/>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Pr>
          <w:p>
            <w:pPr>
              <w:spacing w:after="0"/>
              <w:rPr>
                <w:sz w:val="22"/>
                <w:szCs w:val="22"/>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5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April 26,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w:t>
            </w:r>
          </w:p>
        </w:tc>
      </w:tr>
      <w:tr>
        <w:trPr>
          <w:trHeight w:val="26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15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r>
      <w:tr>
        <w:trPr>
          <w:trHeight w:val="282"/>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May 2, 2026</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80" w:type="dxa"/>
            <w:vAlign w:val="bottom"/>
            <w:tcBorders>
              <w:top w:val="single" w:sz="8" w:color="auto"/>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vested and expected to vest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May 2,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1"/>
                <w:szCs w:val="21"/>
                <w:color w:val="auto"/>
              </w:rPr>
            </w:pPr>
          </w:p>
        </w:tc>
        <w:tc>
          <w:tcPr>
            <w:tcW w:w="14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w:t>
            </w: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stock options represents the difference between the exercise price of stock options and the fair market value of the underlying Common Stock for all in-the-money options. We define in-the-money options as of May 2, 2026 as options having exercise prices lower than the $19.70 per share market price of our Common Stock on that date. There were 419 shares exercisable that were in-the-money options as of May 2, 2026. The total intrinsic value of options exercised during fiscal years 2026, 2025, and 2024 was $4,247, $3,594, and $708, respectively. The total fair value of stock options vested was $375, $410, and $453 for fiscal years 2026, 2025, and 2024,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to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options granted represents the period of time they are expected to be outstanding. We estimate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We estimate the volatility of our common stock at the date of grant based on historical volatility consistent with ASC 718 and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Staff Accounting Bulletin No. 107,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rate is based on the United States Treasury zero-coupon yield curve on the grant date for a term similar to the expected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options.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We use an expected dividend yield consistent with our historical dividend yield pattern.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The following table provides the weighted-average fair value of options granted and the related assumptions used in the Black-Scholes model. No stock options were granted during fiscal 2026; therefore, no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assumptions were applicable.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4"/>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3"/>
        </w:trPr>
        <w:tc>
          <w:tcPr>
            <w:tcW w:w="7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220" w:type="dxa"/>
            <w:vAlign w:val="bottom"/>
          </w:tcPr>
          <w:p>
            <w:pPr>
              <w:spacing w:after="0"/>
              <w:rPr>
                <w:sz w:val="21"/>
                <w:szCs w:val="21"/>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7"/>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4.92</w:t>
            </w:r>
          </w:p>
        </w:tc>
      </w:tr>
      <w:tr>
        <w:trPr>
          <w:trHeight w:val="25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r>
      <w:tr>
        <w:trPr>
          <w:trHeight w:val="2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46.28 %</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bl>
    <w:p>
      <w:pPr>
        <w:spacing w:after="0" w:line="3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 We have an employee stock purchase plan (“ESPP”), which enables employees after six months of continuous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Common Stock at a 15 percent discount to the stock price. The total number of shares reserved under the ESPP is 5,500. The number of shares of Common Stock issued under the ESPP totaled 128, 148, and 355 shares in fiscal 2026, 2025, and 2024, respectively. The number of shares of Common Stock reserved for future employee purchases under the ESPP totaled 943 shares as of May 2, 2026. The ESPP is intended to qualify under Section 423 of the Internal Revenue Code of 1986, as amended.</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share-based compensation expense</w:t>
      </w:r>
      <w:r>
        <w:rPr>
          <w:rFonts w:ascii="Times New Roman" w:cs="Times New Roman" w:eastAsia="Times New Roman" w:hAnsi="Times New Roman"/>
          <w:sz w:val="18"/>
          <w:szCs w:val="18"/>
          <w:color w:val="auto"/>
        </w:rPr>
        <w:t>: As of May 2, 2026, there was $6,001 of total unrecognized compensation cost related to non-vested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arrangements granted under all equity compensation plans. Total unrecognized compensation cost will be adjusted for future changes in estimated forfeitures. We expect to recognize the cost over a weighted-average period of 3.31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share-based compensation expense by equity type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50"/>
        </w:trPr>
        <w:tc>
          <w:tcPr>
            <w:tcW w:w="66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7"/>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share-based compensation expense by classification in the Consolidated Statements of Operations for stock options,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and shares of Common Stock issued under the ESPP for fiscal years 2026, 2025, and 2024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received $1,796 in cash from option exercises under all share-based payment arrangements for the fiscal year ended May 2, 2026. The tax expense related to non-qualified options and RSUs under all share-based payment arrangements totaled $215, $5, and $22 for fiscal years 2026,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Retirement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sponsor a 401(k) savings plan providing benefits for substantially all United States-based employees of Daktronics and its subsidiaries, subject to certain Internal Revenue Service (“IRS”) limits. We made matching cash contributions equal to 50 percent of each participating employee’s qualifying contribution up to six percent of such employee’s compensation. Employees are eligible to participate in the 401(k) savings plan the first day of the calendar month following completion of 30 days of continuous service if they have attained the age of 21. We contributed $3,729, $3,522, and $3,201 for matches to the plan for fiscal years 2026,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significant components of our income tax provision. The pretax income (loss) attributable to domestic and foreign operations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46,763</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0" w:type="dxa"/>
            <w:vAlign w:val="bottom"/>
          </w:tcPr>
          <w:p>
            <w:pPr>
              <w:spacing w:after="0"/>
              <w:rPr>
                <w:sz w:val="1"/>
                <w:szCs w:val="1"/>
                <w:color w:val="auto"/>
              </w:rPr>
            </w:pPr>
          </w:p>
        </w:tc>
      </w:tr>
      <w:tr>
        <w:trPr>
          <w:trHeight w:val="282"/>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expense consisted of the following: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fiscal 2026, the Company retrospectively adopted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The reconciliation of items accounting for the difference between income taxes computed at the United States federal statutory rate and the Company's effective rate for the fiscal years 2026, 2025, and 2024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80" w:type="dxa"/>
            <w:vAlign w:val="bottom"/>
          </w:tcPr>
          <w:p>
            <w:pPr>
              <w:spacing w:after="0"/>
              <w:rPr>
                <w:sz w:val="21"/>
                <w:szCs w:val="21"/>
                <w:color w:val="auto"/>
              </w:rPr>
            </w:pPr>
          </w:p>
        </w:tc>
        <w:tc>
          <w:tcPr>
            <w:tcW w:w="2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80" w:type="dxa"/>
            <w:vAlign w:val="bottom"/>
          </w:tcPr>
          <w:p>
            <w:pPr>
              <w:spacing w:after="0"/>
              <w:rPr>
                <w:sz w:val="21"/>
                <w:szCs w:val="21"/>
                <w:color w:val="auto"/>
              </w:rPr>
            </w:pPr>
          </w:p>
        </w:tc>
        <w:tc>
          <w:tcPr>
            <w:tcW w:w="21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Amount</w:t>
            </w:r>
          </w:p>
        </w:tc>
        <w:tc>
          <w:tcPr>
            <w:tcW w:w="1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Percent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1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26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58,334</w:t>
            </w: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(5,851)</w:t>
            </w: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54,051</w:t>
            </w: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 at statutory rate</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12,250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11,351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 net of federal income tax</w:t>
            </w:r>
          </w:p>
        </w:tc>
        <w:tc>
          <w:tcPr>
            <w:tcW w:w="160" w:type="dxa"/>
            <w:vAlign w:val="bottom"/>
          </w:tcPr>
          <w:p>
            <w:pPr>
              <w:spacing w:after="0"/>
              <w:rPr>
                <w:sz w:val="19"/>
                <w:szCs w:val="19"/>
                <w:color w:val="auto"/>
              </w:rPr>
            </w:pP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1,750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664</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3,529</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(a)</w:t>
            </w: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Statutory tax rate difference between Canada and</w:t>
            </w:r>
          </w:p>
        </w:tc>
        <w:tc>
          <w:tcPr>
            <w:tcW w:w="1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Ontario provincial income taxes</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3"/>
                <w:szCs w:val="23"/>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provincial income taxes</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513"/>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Statutory tax rate difference between China and</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263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3"/>
                <w:szCs w:val="23"/>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513"/>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Statutory tax rate difference between Ireland and</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3"/>
                <w:szCs w:val="23"/>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527"/>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4"/>
                <w:szCs w:val="24"/>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51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GILTI (net of credit)</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51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&amp; Development Tax Credit</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52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4"/>
                <w:szCs w:val="24"/>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51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Meals &amp; entertainment</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3"/>
                <w:szCs w:val="23"/>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(681)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(853)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convertible debt</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4,729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IRC Section 162(m) limitation</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3"/>
                <w:szCs w:val="23"/>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issuance costs amortization</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3"/>
                <w:szCs w:val="23"/>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51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uncertain tax positions, net</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3"/>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FIN 48 Reserve</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4"/>
                <w:szCs w:val="24"/>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52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Reconciling Adjustments</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410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5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12,958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4,270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1"/>
        </w:trPr>
        <w:tc>
          <w:tcPr>
            <w:tcW w:w="4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-7002780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-6659880</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-6325870</wp:posOffset>
            </wp:positionV>
            <wp:extent cx="713232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-5871210</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-5537200</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-5082540</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-4739640</wp:posOffset>
            </wp:positionV>
            <wp:extent cx="71323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-4079875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-3736975</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-3402330</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-3068320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20" w:hanging="1166"/>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w:t>
      </w:r>
    </w:p>
    <w:p>
      <w:pPr>
        <w:spacing w:after="0" w:line="50" w:lineRule="exact"/>
        <w:rPr>
          <w:sz w:val="20"/>
          <w:szCs w:val="20"/>
          <w:color w:val="auto"/>
        </w:rPr>
      </w:pPr>
    </w:p>
    <w:p>
      <w:pPr>
        <w:jc w:val="both"/>
        <w:ind w:left="220"/>
        <w:spacing w:after="0"/>
        <w:tabs>
          <w:tab w:leader="none" w:pos="138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8"/>
          <w:szCs w:val="18"/>
          <w:color w:val="auto"/>
        </w:rPr>
        <w:t>0.4 %</w:t>
      </w:r>
    </w:p>
    <w:p>
      <w:pPr>
        <w:spacing w:after="0" w:line="77" w:lineRule="exact"/>
        <w:rPr>
          <w:sz w:val="20"/>
          <w:szCs w:val="20"/>
          <w:color w:val="auto"/>
        </w:rPr>
      </w:pPr>
    </w:p>
    <w:p>
      <w:pPr>
        <w:ind w:left="1400" w:hanging="1081"/>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0.1 %</w:t>
      </w:r>
    </w:p>
    <w:p>
      <w:pPr>
        <w:spacing w:after="0" w:line="61"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0" w:hanging="1171"/>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0.3 %</w:t>
      </w:r>
    </w:p>
    <w:p>
      <w:pPr>
        <w:spacing w:after="0" w:line="74" w:lineRule="exact"/>
        <w:rPr>
          <w:rFonts w:ascii="Times New Roman" w:cs="Times New Roman" w:eastAsia="Times New Roman" w:hAnsi="Times New Roman"/>
          <w:sz w:val="17"/>
          <w:szCs w:val="17"/>
          <w:color w:val="auto"/>
        </w:rPr>
      </w:pPr>
    </w:p>
    <w:p>
      <w:pPr>
        <w:ind w:left="1440" w:hanging="1121"/>
        <w:spacing w:after="0"/>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1320" w:hanging="1076"/>
        <w:spacing w:after="0"/>
        <w:tabs>
          <w:tab w:leader="none" w:pos="13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w:t>
      </w:r>
    </w:p>
    <w:p>
      <w:pPr>
        <w:spacing w:after="0" w:line="63" w:lineRule="exact"/>
        <w:rPr>
          <w:sz w:val="20"/>
          <w:szCs w:val="20"/>
          <w:color w:val="auto"/>
        </w:rPr>
      </w:pPr>
    </w:p>
    <w:p>
      <w:pPr>
        <w:ind w:left="1320" w:hanging="1076"/>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w:t>
      </w:r>
    </w:p>
    <w:p>
      <w:pPr>
        <w:spacing w:after="0" w:line="50" w:lineRule="exact"/>
        <w:rPr>
          <w:sz w:val="20"/>
          <w:szCs w:val="20"/>
          <w:color w:val="auto"/>
        </w:rPr>
      </w:pPr>
    </w:p>
    <w:p>
      <w:pPr>
        <w:jc w:val="both"/>
        <w:ind w:left="320"/>
        <w:spacing w:after="0"/>
        <w:tabs>
          <w:tab w:leader="none" w:pos="13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0.1 %</w:t>
      </w:r>
    </w:p>
    <w:p>
      <w:pPr>
        <w:spacing w:after="0" w:line="320" w:lineRule="exact"/>
        <w:rPr>
          <w:sz w:val="20"/>
          <w:szCs w:val="20"/>
          <w:color w:val="auto"/>
        </w:rPr>
      </w:pPr>
    </w:p>
    <w:p>
      <w:pPr>
        <w:jc w:val="both"/>
        <w:ind w:left="320"/>
        <w:spacing w:after="0"/>
        <w:tabs>
          <w:tab w:leader="none" w:pos="138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0.2 %</w:t>
      </w:r>
    </w:p>
    <w:p>
      <w:pPr>
        <w:spacing w:after="0" w:line="200" w:lineRule="exact"/>
        <w:rPr>
          <w:sz w:val="20"/>
          <w:szCs w:val="20"/>
          <w:color w:val="auto"/>
        </w:rPr>
      </w:pPr>
    </w:p>
    <w:p>
      <w:pPr>
        <w:spacing w:after="0" w:line="376" w:lineRule="exact"/>
        <w:rPr>
          <w:sz w:val="20"/>
          <w:szCs w:val="20"/>
          <w:color w:val="auto"/>
        </w:rPr>
      </w:pPr>
    </w:p>
    <w:p>
      <w:pPr>
        <w:jc w:val="both"/>
        <w:ind w:left="320"/>
        <w:spacing w:after="0"/>
        <w:tabs>
          <w:tab w:leader="none" w:pos="13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0.1 %</w:t>
      </w:r>
    </w:p>
    <w:p>
      <w:pPr>
        <w:spacing w:after="0" w:line="77" w:lineRule="exact"/>
        <w:rPr>
          <w:sz w:val="20"/>
          <w:szCs w:val="20"/>
          <w:color w:val="auto"/>
        </w:rPr>
      </w:pPr>
    </w:p>
    <w:p>
      <w:pPr>
        <w:ind w:left="1320" w:hanging="1166"/>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w:t>
      </w:r>
    </w:p>
    <w:p>
      <w:pPr>
        <w:spacing w:after="0" w:line="49"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color w:val="auto"/>
        </w:rPr>
        <w:t>(1,203)</w:t>
      </w:r>
      <w:r>
        <w:rPr>
          <w:sz w:val="20"/>
          <w:szCs w:val="20"/>
          <w:color w:val="auto"/>
        </w:rPr>
        <w:tab/>
      </w:r>
      <w:r>
        <w:rPr>
          <w:rFonts w:ascii="Times New Roman" w:cs="Times New Roman" w:eastAsia="Times New Roman" w:hAnsi="Times New Roman"/>
          <w:sz w:val="18"/>
          <w:szCs w:val="18"/>
          <w:color w:val="auto"/>
        </w:rPr>
        <w:t>(2.2)%</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320" w:lineRule="exact"/>
        <w:rPr>
          <w:sz w:val="20"/>
          <w:szCs w:val="20"/>
          <w:color w:val="auto"/>
        </w:rPr>
      </w:pPr>
    </w:p>
    <w:p>
      <w:pPr>
        <w:ind w:left="100"/>
        <w:spacing w:after="0"/>
        <w:tabs>
          <w:tab w:leader="none" w:pos="1380" w:val="left"/>
        </w:tabs>
        <w:rPr>
          <w:sz w:val="20"/>
          <w:szCs w:val="20"/>
          <w:color w:val="auto"/>
        </w:rPr>
      </w:pPr>
      <w:r>
        <w:rPr>
          <w:rFonts w:ascii="Times New Roman" w:cs="Times New Roman" w:eastAsia="Times New Roman" w:hAnsi="Times New Roman"/>
          <w:sz w:val="17"/>
          <w:szCs w:val="17"/>
          <w:color w:val="auto"/>
        </w:rPr>
        <w:t>2,117</w:t>
      </w:r>
      <w:r>
        <w:rPr>
          <w:sz w:val="20"/>
          <w:szCs w:val="20"/>
          <w:color w:val="auto"/>
        </w:rPr>
        <w:tab/>
      </w:r>
      <w:r>
        <w:rPr>
          <w:rFonts w:ascii="Times New Roman" w:cs="Times New Roman" w:eastAsia="Times New Roman" w:hAnsi="Times New Roman"/>
          <w:sz w:val="17"/>
          <w:szCs w:val="17"/>
          <w:color w:val="auto"/>
        </w:rPr>
        <w:t>3.9 %</w:t>
      </w:r>
    </w:p>
    <w:p>
      <w:pPr>
        <w:spacing w:after="0" w:line="200" w:lineRule="exact"/>
        <w:rPr>
          <w:sz w:val="20"/>
          <w:szCs w:val="20"/>
          <w:color w:val="auto"/>
        </w:rPr>
      </w:pPr>
    </w:p>
    <w:p>
      <w:pPr>
        <w:spacing w:after="0" w:line="388" w:lineRule="exact"/>
        <w:rPr>
          <w:sz w:val="20"/>
          <w:szCs w:val="20"/>
          <w:color w:val="auto"/>
        </w:rPr>
      </w:pPr>
    </w:p>
    <w:p>
      <w:pPr>
        <w:jc w:val="both"/>
        <w:ind w:left="220"/>
        <w:spacing w:after="0"/>
        <w:tabs>
          <w:tab w:leader="none" w:pos="1380" w:val="left"/>
        </w:tabs>
        <w:rPr>
          <w:sz w:val="20"/>
          <w:szCs w:val="20"/>
          <w:color w:val="auto"/>
        </w:rPr>
      </w:pPr>
      <w:r>
        <w:rPr>
          <w:rFonts w:ascii="Times New Roman" w:cs="Times New Roman" w:eastAsia="Times New Roman" w:hAnsi="Times New Roman"/>
          <w:sz w:val="18"/>
          <w:szCs w:val="18"/>
          <w:color w:val="auto"/>
        </w:rPr>
        <w:t>270</w:t>
      </w:r>
      <w:r>
        <w:rPr>
          <w:sz w:val="20"/>
          <w:szCs w:val="20"/>
          <w:color w:val="auto"/>
        </w:rPr>
        <w:tab/>
      </w:r>
      <w:r>
        <w:rPr>
          <w:rFonts w:ascii="Times New Roman" w:cs="Times New Roman" w:eastAsia="Times New Roman" w:hAnsi="Times New Roman"/>
          <w:sz w:val="18"/>
          <w:szCs w:val="18"/>
          <w:color w:val="auto"/>
        </w:rPr>
        <w:t>0.5 %</w:t>
      </w:r>
    </w:p>
    <w:p>
      <w:pPr>
        <w:spacing w:after="0" w:line="77" w:lineRule="exact"/>
        <w:rPr>
          <w:sz w:val="20"/>
          <w:szCs w:val="20"/>
          <w:color w:val="auto"/>
        </w:rPr>
      </w:pPr>
    </w:p>
    <w:p>
      <w:pPr>
        <w:ind w:left="1320" w:hanging="1166"/>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w:t>
      </w:r>
    </w:p>
    <w:p>
      <w:pPr>
        <w:spacing w:after="0" w:line="50" w:lineRule="exact"/>
        <w:rPr>
          <w:sz w:val="20"/>
          <w:szCs w:val="20"/>
          <w:color w:val="auto"/>
        </w:rPr>
      </w:pPr>
    </w:p>
    <w:p>
      <w:pPr>
        <w:ind w:left="100"/>
        <w:spacing w:after="0"/>
        <w:tabs>
          <w:tab w:leader="none" w:pos="1380" w:val="left"/>
        </w:tabs>
        <w:rPr>
          <w:sz w:val="20"/>
          <w:szCs w:val="20"/>
          <w:color w:val="auto"/>
        </w:rPr>
      </w:pPr>
      <w:r>
        <w:rPr>
          <w:rFonts w:ascii="Times New Roman" w:cs="Times New Roman" w:eastAsia="Times New Roman" w:hAnsi="Times New Roman"/>
          <w:sz w:val="17"/>
          <w:szCs w:val="17"/>
          <w:color w:val="auto"/>
        </w:rPr>
        <w:t>3,476</w:t>
      </w:r>
      <w:r>
        <w:rPr>
          <w:sz w:val="20"/>
          <w:szCs w:val="20"/>
          <w:color w:val="auto"/>
        </w:rPr>
        <w:tab/>
      </w:r>
      <w:r>
        <w:rPr>
          <w:rFonts w:ascii="Times New Roman" w:cs="Times New Roman" w:eastAsia="Times New Roman" w:hAnsi="Times New Roman"/>
          <w:sz w:val="17"/>
          <w:szCs w:val="17"/>
          <w:color w:val="auto"/>
        </w:rPr>
        <w:t>6.4 %</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23—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20" w:hanging="1076"/>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w:t>
      </w:r>
    </w:p>
    <w:p>
      <w:pPr>
        <w:spacing w:after="0" w:line="320" w:lineRule="exact"/>
        <w:rPr>
          <w:sz w:val="20"/>
          <w:szCs w:val="20"/>
          <w:color w:val="auto"/>
        </w:rPr>
      </w:pPr>
    </w:p>
    <w:p>
      <w:pPr>
        <w:ind w:left="1440" w:hanging="1196"/>
        <w:spacing w:after="0"/>
        <w:tabs>
          <w:tab w:leader="none" w:pos="1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3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19,43035.9 %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26035</wp:posOffset>
            </wp:positionV>
            <wp:extent cx="1465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465580" cy="8890"/>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51435</wp:posOffset>
            </wp:positionV>
            <wp:extent cx="1465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465580" cy="8890"/>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-144780</wp:posOffset>
            </wp:positionV>
            <wp:extent cx="1465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8840" w:space="560"/>
            <w:col w:w="1840"/>
          </w:cols>
          <w:pgMar w:left="320" w:top="121" w:right="339" w:bottom="1082" w:gutter="0" w:footer="0" w:header="0"/>
        </w:sectPr>
      </w:pPr>
    </w:p>
    <w:p>
      <w:pPr>
        <w:spacing w:after="0" w:line="92" w:lineRule="exact"/>
        <w:rPr>
          <w:sz w:val="20"/>
          <w:szCs w:val="20"/>
          <w:color w:val="auto"/>
        </w:rPr>
      </w:pPr>
    </w:p>
    <w:p>
      <w:pPr>
        <w:jc w:val="both"/>
        <w:ind w:firstLine="8"/>
        <w:spacing w:after="0" w:line="266" w:lineRule="auto"/>
        <w:tabs>
          <w:tab w:leader="none" w:pos="2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May 2, 2026, state taxes in California, Florida, Maryland, Minnesota, New York, Pennsylvania and Wisconsin made up the majority (greater than 50 percent) of the tax effect in this category. For the year ended April 26, 2025, state taxes in California, Minnesota, and Texas made up the majority (greater than 50 percent) of the tax effect in this</w:t>
      </w:r>
    </w:p>
    <w:p>
      <w:pPr>
        <w:sectPr>
          <w:pgSz w:w="11900" w:h="16838" w:orient="portrait"/>
          <w:cols w:equalWidth="0" w:num="1">
            <w:col w:w="11240"/>
          </w:cols>
          <w:pgMar w:left="320" w:top="121" w:right="339" w:bottom="1082"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82"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category. For the year ended April 27, 2024, state taxes in California, Massachusetts, Minnesota, New Jersey, New York, Pennsylvania and Wisconsin made up the majority (greater than 50 percent) of the tax effect in this category.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fiscal 2026 was 22.2 percent. The effective income tax rate for fiscal 2026 was primarily impacted due to the research and development credit, reversals of valuation allowances on Ireland net operating losses, and other permanent tax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for fiscal 2025 was negative 73.0 percent. The effective income tax rate for fiscal 2025 was primarily impacted due to the fair value</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adjustment to the Convertible Note that is not deductible for tax purposes. Additional other items impacting the rate were valuation allowances on equity investments, state taxes, and a write down of deferred taxes related to debt issuance costs on the conversion of the Convertible Note.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fiscal 2024 was 35.9 percent. During fiscal 2024, our effective income tax rate was primarily impacted due to the fair value adjustment to the Convertible Note that is not deductible for tax purposes. Additional other items impacting the rate were valuation allowances on equity investments, state taxes, as well as prior year provision to return adjustments reduced in part by tax benefits from permanent tax credits.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received for fiscal years 2026, 2025, and 2024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63"/>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State Taxes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U.S. States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Ontario, Canada</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Foreign</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70"/>
        </w:trPr>
        <w:tc>
          <w:tcPr>
            <w:tcW w:w="66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income taxes, net of refunds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deferred tax assets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8"/>
        </w:trPr>
        <w:tc>
          <w:tcPr>
            <w:tcW w:w="1280" w:type="dxa"/>
            <w:vAlign w:val="bottom"/>
            <w:tcBorders>
              <w:top w:val="single" w:sz="8" w:color="0000FF"/>
            </w:tcBorders>
          </w:tcPr>
          <w:p>
            <w:pPr>
              <w:spacing w:after="0"/>
              <w:rPr>
                <w:sz w:val="24"/>
                <w:szCs w:val="24"/>
                <w:color w:val="auto"/>
              </w:rPr>
            </w:pPr>
          </w:p>
        </w:tc>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0" w:type="dxa"/>
            <w:vAlign w:val="bottom"/>
          </w:tcPr>
          <w:p>
            <w:pPr>
              <w:spacing w:after="0"/>
              <w:rPr>
                <w:sz w:val="1"/>
                <w:szCs w:val="1"/>
                <w:color w:val="auto"/>
              </w:rPr>
            </w:pPr>
          </w:p>
        </w:tc>
      </w:tr>
      <w:tr>
        <w:trPr>
          <w:trHeight w:val="243"/>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warranty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Vacation accrual</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maintenance revenue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excess and obsolete inventory</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reserve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Allowance for credit losses accounts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capitalization</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77"/>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loss carry forwards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loss on foreign currency exchange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Outside basis difference in equity method investments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 carry forwards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accounting - lease liability</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39,876</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software implementation costs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Lease accounting - right of use asset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gain on foreign currency exchange</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classification of the net deferred tax assets in the accompanying Consolidated Balance Sheets is: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81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5"/>
        </w:trPr>
        <w:tc>
          <w:tcPr>
            <w:tcW w:w="128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2, 2026, we had total valuation allowances against deferred tax assets of $7,214, as compared to $7,887 as of April 26, 2025, representing an decrease of $673 during fiscal 2026. The decrease in valuation allowance is attributed to reversals of valuation allowances primarily related to Ireland net operating losses as described below. The majority of the valuation allowances are attributable to outside basis differences in equity method investments of $2,998 as well as capital losses of $3,700 which were generated during fiscal 2026 for the disposal of an equity method investment which essentially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was a recharacterization of the deferred tax asset and corresponding valuation allowance already in place. A small portion of the total valuation allowances are related to foreign net operating loss carryforwards as described below. We consider all positive and negative evidence available in determining the potential of realizing deferred tax assets, including past operating results and the forecast of future earnings, category of income, future taxable income, and prudent and feasible tax planning strategies. If sufficient evidence of our ability to generate applicable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Statements of Operations.</w:t>
      </w:r>
    </w:p>
    <w:p>
      <w:pPr>
        <w:spacing w:after="0" w:line="18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As of May 2, 2026, we had foreign net operating loss (“NOL”) carryforwards of approximately $3,957 primarily related to our operations in Belgium and Ireland, which have indefinite lives. A deferred tax asset has been recorded for all NOL carryforwards totaling approximately $752. However, due to</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uncertainty in future taxable income in Belgium, a valuation allowance has been recorded for $516 for the full amount of the Belgium NOL’s. The valuation allowance on Ireland NOL’s was reversed during fiscal 2026 due to a return to profitability and future taxable income expected.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2, 2026, we have not accrued taxes related to the outside basis difference in our non-U.S. subsidiaries, as we currently intend to indefinitely reinvest those earnings. The determination of the deferred tax liability is not practical.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summary of changes in the amounts related to unrecognized uncertain tax benefits are:</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increases related to prior period tax positions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decreases related to prior period tax positions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increases related to current period tax positions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unrecognized tax benefits would have an impact on the effective tax rate if recognized. We recognized the release of $69 in unrecognized tax benefits related to the lapse of a statute of limitations in fiscal 2026. Interest and penalties incurred associated with uncertain tax positions are included in the “Income tax expense” line item in our Consolidated Statements of Operations. Accrued interest and penalties are included in the related tax liability line item in our Consolidated Balance Sheets of $63 and $41 as of May 2, 2026 and April 26, 2025,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tax information: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United States federal income tax as well as income taxes of multiple state and foreign jurisdictions. Fiscal years 2023, 2024, and 2025 remain open to U.S. federal tax examinations, and fiscal years 2022, 2023, 2024 and 2025 remain open for U.S. state income tax examinations. Certain subsidiaries are also subject to income tax in several non-U.S. jurisdictions which have open tax years varying by jurisdiction beginning in fiscal 2015. In the event of any future tax assessments, we have elected to record the income taxes and any related interest and penalties as income tax expense in our Consolidated Statements of Operations. We regularly assess the likelihood of an adverse outcome resulting from examinations to determine the adequacy of our tax reserves. As of May 2, 2026, we believe that it is more likely than not that the tax positions taken will be sustained upon the resolution of audits resulting in no material impact on our consolidated financial position and the results of operations and cashflows. However, the final determination with respect to any tax audits, including any related litigation costs, settlements, penalties and/or interest assessments, could be materially different from our accruals and could have a material effect on our financial position, results of operations, and/or cash flows in the periods for which that determination is made.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2021, the Organization for Economic Co-operation and Development (“OECD”)/G20 finalized the significant components of a two-pillar global tax reform plan, which has now been agreed to by the majority of OECD members. Pillar Two requires multinational enterprises with annual global revenue exceeding €750 million to pay a global minimum tax of 15 percent. We anticipate being subject to the compliance requirements beginning in our fiscal year 2027. We continue to evaluate the potential impact on future periods of the Pillar Two framework and the implementation of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Pillar Two rules in the jurisdictions in which we operate. We do not anticipate that Pillar Two compliance will have a material impact on our financial statements.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 the U.S. The OBBBA includes significant tax related provisions, such as the permanent extension of certain expiring provisions of the Tax Cuts and Jobs Act, modifications to the international tax framework, and the restoration of favorable tax treatment for certain business provisions. The OBBBA has multiple effective dates with the earliest provisions taking effect in fiscal 2026 and others beginning in fiscal 2027 and beyond.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the effects of changes in tax rates and laws affecting current taxes to be reflected in the estimated annual effective tax rate going forward, and adjustments to existing deferred taxes to be recognized on deferred tax balances to be recognized in the period in which the legislation is enacted. We note that as of May 2, 2026, there were no material impacts to our effective tax rate; however, the OBBBA allows for the timing of certain deductions to be recognized in deferred taxes in the financial statements. These include deductions for the bonus depreciation and Section 174 capitalization of domestic research and development costs. We will continue to evaluate the future tax and other provisions of the OBBBA and the potential effects on our financial position, results of operations, and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Cash Flow Information</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consisted of the following:</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receivables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receivables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investment in affiliates, and other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payables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 the following: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payments for:</w:t>
            </w: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w:t>
            </w:r>
          </w:p>
        </w:tc>
        <w:tc>
          <w:tcPr>
            <w:tcW w:w="0" w:type="dxa"/>
            <w:vAlign w:val="bottom"/>
          </w:tcPr>
          <w:p>
            <w:pPr>
              <w:spacing w:after="0"/>
              <w:rPr>
                <w:sz w:val="1"/>
                <w:szCs w:val="1"/>
                <w:color w:val="auto"/>
              </w:rPr>
            </w:pPr>
          </w:p>
        </w:tc>
      </w:tr>
      <w:tr>
        <w:trPr>
          <w:trHeight w:val="904"/>
        </w:trPr>
        <w:tc>
          <w:tcPr>
            <w:tcW w:w="6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6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Non-cash impairment charges consisted of the following:</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6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impairment charges:</w:t>
            </w: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investees impairment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non-cash impairment charges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r>
      <w:tr>
        <w:trPr>
          <w:trHeight w:val="21"/>
        </w:trPr>
        <w:tc>
          <w:tcPr>
            <w:tcW w:w="6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of common stock under the ESPP</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convertible note</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included within level 1 for the assets or liabilities, either directly or indirectly (for example,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supported by little or no market activity based on our own assumptions used to measure assets and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for fixed-rate long-term receivables are estimated using a discounted cash flow analysis based on interest rates currently being offered for contracts with similar terms to customers with similar credit quality. The carrying amounts reported in our Consolidated Balance Sheets for long-term receivables approximate fair value and have been categorized as a level 2 fair value measurement.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in our Consolidated Balance Sheets within other long-term obligations approximates fair value and has been categorized as a level 2 fair value measurement.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as of May 2, 2026 and April 26, 2025 according to the valuation techniques we used to determine their fair values. There have been no transfers of assets or liabilities among the fair value hierarchies presented.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2, 2026:</w:t>
            </w:r>
          </w:p>
        </w:tc>
        <w:tc>
          <w:tcPr>
            <w:tcW w:w="3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26, 2025: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Consists of cash on hand in bank deposits and highly liquid investments, primarily money market accounts. The fair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quoted market prices in active markets. The carrying amount approximates fair value.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Non-recurring measurements: </w:t>
      </w:r>
      <w:r>
        <w:rPr>
          <w:rFonts w:ascii="Times New Roman" w:cs="Times New Roman" w:eastAsia="Times New Roman" w:hAnsi="Times New Roman"/>
          <w:sz w:val="18"/>
          <w:szCs w:val="18"/>
          <w:color w:val="auto"/>
        </w:rPr>
        <w:t>The fair value measurement standard also applies to certain non-financial assets and liabilities measured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basis. Certain long-lived assets such as goodwill, intangible assets, the Affiliate Notes, and property and equipment are measured at fair value on a nonrecurring basis and are subject to fair value adjustments in certain circumstances, such as when there is evidence of impairment.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Nature of Business and Summary of Significant Accounting Policies” for further details regarding our investment in affiliates.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measurements using fair value</w:t>
      </w:r>
      <w:r>
        <w:rPr>
          <w:rFonts w:ascii="Times New Roman" w:cs="Times New Roman" w:eastAsia="Times New Roman" w:hAnsi="Times New Roman"/>
          <w:sz w:val="18"/>
          <w:szCs w:val="18"/>
          <w:color w:val="auto"/>
        </w:rPr>
        <w:t>: Some of our financial instruments, such as accounts receivable, long-term receivables, prepaid expense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contract assets and liabilities, accounts payable, warranty obligations, and other long-term obligations are reflected in the Consolidated Balance Sheets at carrying value, which approximates fair value due to their short-term nature.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Derivative 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periodically utilize derivative financial instruments to manage the economic impact of fluctuations in currency exchange rates on those transactions denominated in currencies other than our functional currency, which is the United States dollar. When we utilize such instruments, we enter into currency forward contracts to manage these economic risks. We account for all derivatives in the Consolidated Balance Sheets within accounts receivable or accounts payable measured at fair value, and changes in fair values are recognized in earnings unless specific hedge accounting criteria are met for cash flow or net investment hedges. As of May 2, 2026 and April 26, 2025, we had not designated any of our derivative instruments as accounting hedges, and thus we recorded the changes in fair value in the “Other expense, net” line item in the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foreign currency agreements outstanding as of May 2, 2026 and April 26,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Times New Roman" w:cs="Times New Roman" w:eastAsia="Times New Roman" w:hAnsi="Times New Roman"/>
          <w:sz w:val="18"/>
          <w:szCs w:val="18"/>
          <w:i w:val="1"/>
          <w:iCs w:val="1"/>
          <w:color w:val="auto"/>
        </w:rPr>
        <w:t>Contingencies - Loss Contingencies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assessment of whether a loss is reasonably possible or probable is based on management’s assessment and consultation with legal counsel regarding the ultimate outcome of the matter following all appeals.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potential loss range have been made related to these matters. We do not expect the ultimate liability of these unresolved legal proceedings or claims to have a material effect on our financial position, liquidity, or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See “Note 1. Nature of Business and Summary of Significant Accounting Policies” for more information regarding warranties.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warranty obligation for the fiscal years ended May 2, 2026 and April 26, 2025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jc w:val="right"/>
              <w:ind w:right="5190"/>
              <w:spacing w:after="0"/>
              <w:rPr>
                <w:sz w:val="20"/>
                <w:szCs w:val="20"/>
                <w:color w:val="auto"/>
              </w:rPr>
            </w:pPr>
            <w:r>
              <w:rPr>
                <w:rFonts w:ascii="Times New Roman" w:cs="Times New Roman" w:eastAsia="Times New Roman" w:hAnsi="Times New Roman"/>
                <w:sz w:val="18"/>
                <w:szCs w:val="18"/>
                <w:color w:val="auto"/>
                <w:w w:val="99"/>
              </w:rPr>
              <w:t>Beginning accrued warranty obligations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35,830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37,928</w:t>
            </w:r>
          </w:p>
        </w:tc>
      </w:tr>
      <w:tr>
        <w:trPr>
          <w:trHeight w:val="250"/>
        </w:trPr>
        <w:tc>
          <w:tcPr>
            <w:tcW w:w="818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180" w:type="dxa"/>
            <w:vAlign w:val="bottom"/>
          </w:tcPr>
          <w:p>
            <w:pPr>
              <w:spacing w:after="0"/>
              <w:rPr>
                <w:sz w:val="21"/>
                <w:szCs w:val="21"/>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14,783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r>
      <w:tr>
        <w:trPr>
          <w:trHeight w:val="263"/>
        </w:trPr>
        <w:tc>
          <w:tcPr>
            <w:tcW w:w="8180" w:type="dxa"/>
            <w:vAlign w:val="bottom"/>
            <w:shd w:val="clear" w:color="auto" w:fill="CCEEFF"/>
          </w:tcPr>
          <w:p>
            <w:pPr>
              <w:jc w:val="right"/>
              <w:ind w:right="519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r>
      <w:tr>
        <w:trPr>
          <w:trHeight w:val="250"/>
        </w:trPr>
        <w:tc>
          <w:tcPr>
            <w:tcW w:w="8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82"/>
        </w:trPr>
        <w:tc>
          <w:tcPr>
            <w:tcW w:w="8180" w:type="dxa"/>
            <w:vAlign w:val="bottom"/>
            <w:tcBorders>
              <w:bottom w:val="single" w:sz="8" w:color="CCEEFF"/>
            </w:tcBorders>
            <w:shd w:val="clear" w:color="auto" w:fill="CCEEFF"/>
          </w:tcPr>
          <w:p>
            <w:pPr>
              <w:jc w:val="right"/>
              <w:ind w:right="5410"/>
              <w:spacing w:after="0"/>
              <w:rPr>
                <w:sz w:val="20"/>
                <w:szCs w:val="20"/>
                <w:color w:val="auto"/>
              </w:rPr>
            </w:pPr>
            <w:r>
              <w:rPr>
                <w:rFonts w:ascii="Times New Roman" w:cs="Times New Roman" w:eastAsia="Times New Roman" w:hAnsi="Times New Roman"/>
                <w:sz w:val="18"/>
                <w:szCs w:val="18"/>
                <w:color w:val="auto"/>
              </w:rPr>
              <w:t>Ending accrued warranty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36,760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to support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obligations, primarily related to construction-type contracts. These instruments serve as guarantees of our future performance, including the operation and installation of equipment and the completion of contractual deliverables.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May 2, 2026, we had $48,987 of bonded work outstanding and $1,905 in letters of credit outstanding.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May 2, 2026, we were not aware of any indemnification claim from a customer.</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From time to time, we commit to purchase inventory, advertising, cloud-based information systems, information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support services, and various other products and services over periods that extend beyond one year. As of May 2, 2026, we were obligated under the following unconditional purchase commitments: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8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w:t>
            </w:r>
          </w:p>
        </w:tc>
      </w:tr>
      <w:tr>
        <w:trPr>
          <w:trHeight w:val="25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w:t>
            </w:r>
          </w:p>
        </w:tc>
      </w:tr>
      <w:tr>
        <w:trPr>
          <w:trHeight w:val="26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6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50"/>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26,121</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Related Party Transactions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Daktronics Related Person Transaction Policy: </w:t>
      </w:r>
      <w:r>
        <w:rPr>
          <w:rFonts w:ascii="Times New Roman" w:cs="Times New Roman" w:eastAsia="Times New Roman" w:hAnsi="Times New Roman"/>
          <w:sz w:val="18"/>
          <w:szCs w:val="18"/>
          <w:color w:val="auto"/>
        </w:rPr>
        <w:t>The Board of Directors has adopted the Daktronics Related Person Transaction Policy (the “Policy”),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policy and procedures with respect to related party transactions, that the Audit Committee of the Board (the "Audit Committee") oversees. Under the Policy, a “Related Person Transaction” is generally defined as a transaction, arrangement, or relationship (or any series of similar transactions, arrangements, or relationships) in which the Company was, is, or will be a participant; the amount involved exceeds $120; and any “Related Person” had, has, or will have a direct or indirect material interest. The Policy generally defines a "Related Person" as: a director,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director nominee, or executive officer of the Company at any time during the last fiscal year; a beneficial owner of more than five percent of any class of our voting securities; or any immediate family member of any of the foregoing persons. Our Chief Financial Officer is responsible for overseeing the monitoring and identification of Related Person Transactions and the appropriate reporting of any potential Related Person Transactions to the Audit Committee. The Audit Committee reviews and, if appropriate, approves Related Person Transactions, including certain transactions which are deemed to be pre-approved under the Policy. On an annual basis, the Audit Committee reviews any previously approved Related Person Transactions that are ongoing.</w:t>
      </w:r>
    </w:p>
    <w:p>
      <w:pPr>
        <w:spacing w:after="0" w:line="1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Vice President of Commercial and High School Park and Recreation, is the brother-in-law of the Company’s Chief Data and Analytics Officer and executive officer, and is therefore considered a related person under the Policy.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Transactions with Alta Fox Opportunities: </w:t>
      </w:r>
      <w:r>
        <w:rPr>
          <w:rFonts w:ascii="Times New Roman" w:cs="Times New Roman" w:eastAsia="Times New Roman" w:hAnsi="Times New Roman"/>
          <w:sz w:val="18"/>
          <w:szCs w:val="18"/>
          <w:color w:val="auto"/>
        </w:rPr>
        <w:t>Effective May 11, 2023, the Company entered into a Securities Purchase Agreement with Alta Fox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Fund, LP (“Alta Fox Opportunities”) under which the Company sold and issued to Alta Fox Opportunities the Convertible Note in exchange for the payment by Alta Fox Opportunities to the Company of $25,000 (the "Securities Purchase Agreement"). All amounts due under the Convertible Note were settled in fiscal 2025, and the Company has no further obligations under the Convertible Note. For additional information on the Convertible Note, see “Note 8. Financing Agreements” of the Notes to our Consolidated Financial Statements included in this Form 10-K.</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Alta Fox Opportunities reported in Amendment No. 2 to the Schedule 13D filed with the Securities and Exchange Commission (“SEC”) on May 15, 2023 (“Amendment No. 2”) that, as of May 11, 2023, Alta Fox Opportunities, together with the following affiliates and associates, beneficially owned 4,768 shares of Common Stock, representing 9.99 percent of Common Stock outstanding: Alta Fox GenPar, LP, as the general partner of Alta Fox Opportunities; Alta Fox Equity, LLC, as the general partner of Alta Fox GenPar, LP; Alta Fox Capital Management, LLC, as the investment manager of Alta Fox Opportunities; and P. Connor Haley, as the sole owner, member, and manager of each of Alta Fox Capital Management, LLC and Alta Fox Equity LLC (collectively with Alta Fox Opportunities, “Alta Fox”). Accordingly, based on Amendment No. 2, as of May 11, 2023, Alta Fox was a “Related Person” of the Company under the Policy and the applicable provisions of the Securities Act of 1933, as amended (the "Securities Act"), and the rules promulgated thereunder. According to Amendment No. 5 to the Schedule 13D filed by Alta Fox Opportunities on December 10, 2025 with the SEC, Alta Fox reported that it beneficially owned 3,733 shares of Common Stock on December 10, 2025, representing 7.70 percent of the outstanding shares of Common Stock.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Purchase Agreement, the Convertible Note, the Pledge and Security Agreement dated as of May 11, 2023 by and between the Company and Alta Fox Opportunities and the Registration Rights Agreement by and between the Company and Alta Fox Opportunities dated as of May 11, 2023 were approved in advance of their execution by the Strategy and Financing Review Committee of the Board of Directors, the members of which were all members of the Audit Committee.</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Transactions with Reece A. Kurtenbach: </w:t>
      </w:r>
      <w:r>
        <w:rPr>
          <w:rFonts w:ascii="Times New Roman" w:cs="Times New Roman" w:eastAsia="Times New Roman" w:hAnsi="Times New Roman"/>
          <w:sz w:val="18"/>
          <w:szCs w:val="18"/>
          <w:color w:val="auto"/>
        </w:rPr>
        <w:t>Effective April 10, 2025, our former President and CEO, Reece A. Kurtenbach, was appointed as Interim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Executive Officer of XDC, an entity in which the Company previously owned interest in and accounted for under the equity method of accounting. Mr. Kurtenbach served as a member of the Board of Directors of Daktronics, Inc. through January 31, 2026, at which time he resigned from the Board. As previously disclosed in reports filed by the Company with the SEC, Reece A. Kurtenbach also served as a director and executive officer during the fiscal year ended April 26, 2025 and is the brother of Matthew J. Kurtenbach, an executive officer of the Company, and Carla S. Gatzke, a former executive officer of the Company. As a result of Reece A. Kurtenbach’s appointment as Interim Chief Executive Officer of XDC and the foregoing relationships between Mr. Kurtenbach and the Company and its executive officers, he was considered a Related Person under the Policy and a related party under ASC 850 -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xml:space="preserve"> prior to the closing of the XDC Acquisition on December 22, 2025.</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Transactions with Milwaukee Bucks Inc.: </w:t>
      </w:r>
      <w:r>
        <w:rPr>
          <w:rFonts w:ascii="Times New Roman" w:cs="Times New Roman" w:eastAsia="Times New Roman" w:hAnsi="Times New Roman"/>
          <w:sz w:val="18"/>
          <w:szCs w:val="18"/>
          <w:color w:val="auto"/>
        </w:rPr>
        <w:t>In fiscal 2025, the Company entered into a change order to an existing agreement with Milwaukee Bucks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total value of the change order was $214. On April 29, 2025, the Company entered into a contract with Milwaukee Bucks Inc. The total value of the contract was $683. The terms of both of the above-referenced arrangements between the Company and Milwaukee Bucks Inc. were arm’s-length transactions made in the ordinary course of the Company’s business. Peter Feigin, a member of the Board, was the President of Milwaukee Bucks Inc. at the time of these transactions.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Nature of Business and Summary of Significant Accounting Policies” of the Notes to our Consolidated Financial Statements included in this Form 10-K for further details of related party transactions with our investments in the Affiliate Notes issued by our affiliates.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On June 22, 2026, our Board of Directors authorized an additional $25,897 under the Repurchase Program, resulting in a total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$40,000 available under the Repurchase Program as of the date of the authorization. For additional information, see “Note 9. Share Repurchase Program” of the Notes to our Consolidated Financial Statements included in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Rules 13a-15(e) and 15d-15(e) under the Exchange Act. As of May 2, 2026, an evaluation was performed, under the supervision and with the participation of management, including our principal executive officer and principal financial officer, of the effectiveness of the design and operation of our disclosure controls and procedures. Based upon that evaluation, our principal executive officer and principal financial officer concluded that as of May 2, 2026, our disclosure controls and procedures were effective at the reasonable assurance level to ensure information required to be disclosed in this Form 10-K was recorded, processed, summarized and reported within the time period required by the SEC’s rules and forms and accumulated and communicated to management, including the principal executive officer and principal financial officer, to allow timely decisions regarding required disclosure.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believe the Consolidated Financial Statements included in this Form 10-K fairly represent, in all material respects, our financial condition, results of operations, and cash flows as of and for the periods presented in accordance with GAAP.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its control objectives.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confidence in our internal controls and procedures. Nevertheless, our management, including our principal executive officer and principal financial officer, does not expect that our disclosure procedures and controls or our internal controls will prevent all errors or intentional fraud. An internal control system, no matter how well-conceived and operated, can provide only reasonable, not absolute, assurance that the objectives of such internal controls are met. Further, the design of an internal control system must reflect the fact that there are resource constraints, and the benefits of controls must be considered relative to their costs. As a result of the inherent limitations in all internal control systems, no evaluation of controls can provide absolute assurance that all our control issues and instances of fraud, if any, have been detected.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 Our system of internal control was designed to provide reasonable assurance regarding the reliability of financial reporting and the preparation of our financial statements for external purposes in accordance with accounting principles generally accepted in the United States.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based on the criteria in Internal Control—Integrated Framework issued by the Committee of Sponsoring Organizations of the Treadway Commission (the “2013 Framework”). Based on our evaluation under the criteria in the 2013 Framework, our management concluded our internal control over financial reporting was effective as of May 2,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May 2, 2026 has been audited by Deloitte &amp; Touche, LLP, our independent registered public accounting firm, as stated in their report, which is included in this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May 2, 2026, there have been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Ramesh Jayaraman</w:t>
            </w: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Howard I. Atkins</w:t>
            </w:r>
          </w:p>
        </w:tc>
      </w:tr>
      <w:tr>
        <w:trPr>
          <w:trHeight w:val="277"/>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Ramesh Jayaraman</w:t>
            </w:r>
          </w:p>
        </w:tc>
        <w:tc>
          <w:tcPr>
            <w:tcW w:w="3760" w:type="dxa"/>
            <w:vAlign w:val="bottom"/>
          </w:tcPr>
          <w:p>
            <w:pPr>
              <w:spacing w:after="0"/>
              <w:rPr>
                <w:sz w:val="24"/>
                <w:szCs w:val="24"/>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Howard I. Atkins</w:t>
            </w:r>
          </w:p>
        </w:tc>
        <w:tc>
          <w:tcPr>
            <w:tcW w:w="500" w:type="dxa"/>
            <w:vAlign w:val="bottom"/>
          </w:tcPr>
          <w:p>
            <w:pPr>
              <w:spacing w:after="0"/>
              <w:rPr>
                <w:sz w:val="24"/>
                <w:szCs w:val="24"/>
                <w:color w:val="auto"/>
              </w:rPr>
            </w:pPr>
          </w:p>
        </w:tc>
      </w:tr>
      <w:tr>
        <w:trPr>
          <w:trHeight w:val="25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Acting Chief Financial Officer</w:t>
            </w:r>
          </w:p>
        </w:tc>
      </w:tr>
      <w:tr>
        <w:trPr>
          <w:trHeight w:val="25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24, 2026</w:t>
            </w: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24, 2026</w:t>
            </w: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internal control system, no matter how well-conceived and operated, can provide only reasonable, not absolute, assurance that the objectives of such internal controls are met. Further, the design of an internal control system must reflect the fact that there are resource constraints, and the benefits of controls must be considered relative to their costs. As a result of the inherent limitations in all internal control systems, no evaluation of controls can provide absolute assurance that all our control issues and instances of fraud, if any, have been detected.</w:t>
      </w:r>
    </w:p>
    <w:p>
      <w:pPr>
        <w:spacing w:after="0" w:line="17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Daktronics,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Daktronics, Inc. and subsidiaries (the “Company”) as of May 2,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May 2,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May 2, 2026, of the Company and our report dated June 24, 2026,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fiscal quarter ended May 2, 2026, none of the Company’s directors or “officers,” as such term is defined in Rule 16a-1(f) of the Exchange Act, adopted or terminated a “Rule 10b5-1 trading arrangement” or “non-Rule 10b5-1 trading arrangement,” as such terms are defined in paragraphs (a) and (c), respectively, of Item 408 of Regulation S-K.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10, with the exception of information relating to the Daktronics, Inc. Insider Trading Policy (the “Insider Trading Policy”) and the Daktronics Global Code of Conduct (the “Code of Conduct”) disclosed below, will be included under the captions “Proposal One – Election of Directors,” “Corporate Governance,” “Delinquent Section 16(a) Reports,” in our definitive proxy statement for our 2026 annual meeting of stockholders (the “Proxy Statement”) to be filed within 120 days after our most recent fiscal year-end.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material changes have been made to the procedures by which shareholders of the Company may recommend nominees to our Board of Directors since those procedures were disclosed in our proxy statement relating to our 2025 Annual Shareholders' Meeting as previously filed with the SEC.</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regarding the Audit Committee, its members, and “Audit Committee Financial Experts” is incorporated by reference to the information to be contained in the Proxy Statement under the caption “Corporate Governance – Committees of the Board.”</w:t>
      </w:r>
    </w:p>
    <w:p>
      <w:pPr>
        <w:spacing w:after="0" w:line="121"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We have adopted insider trading policies and procedures, as required by Item 408(b)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the form of the Insider Trading Policy, which governs the purchase, sale and other dispositions of the Company’s securities by all of our directors, officers, and employees and their family members. The Insider Trading Policy is designed to promote compliance with insider trading laws, rules and regulations, as well as Nasdaq rules and regulations. It prohibits our directors, officers, and employees from trading securities of any company, including Daktronics, while in possession of material non-public information, and also prohibits directors, executive officers, and certain specified employees (the “Covered Persons”) from buying, selling, or gifting Daktronics securities even if not in possession of such information during certain trading blackout periods. It also prohibits the Covered Persons from effecting short sales of Daktronics securities and from engaging in hedging transactions and purchasing or selling derivative securities, such as puts and calls, relating to Daktronics securities. The foregoing summary of the Insider Trading Policy does not purport to be complete and is qualified in its entirety by reference to the full text of the Insider Trading Policy, which is filed as Exhibit 19 to this Form 10-K.</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Code of Conduct is written and applies to all employees, officers and directors. Included in the Code of Conduct are ethics provisions that apply to our Chief Executive Officer, Chief Financial Officer, and all other financial and accounting management employees. A copy of the Code of Conduct can be obtained from our website at www.daktronics.com on the Investor Relations page and will be made available free of charge to any stockholder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the compensation of our directors and officers for the fiscal year ended May 2, 2026 and appearing in the Proxy Statement under the headings “Proposal One - Election of Directors,” “Corporate Governance,” “Compensation Discussion and Analysis,” “Compensation Committee Report,” and “Executive Compensation” (excluding the information under the heading “Pay Versus Performance Table”) is incorporated herein by reference.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2023, the Board of Directors adopted a Clawback Policy (the “Clawback Policy”) providing for the recoupment of certain executive compensation in the event of an accounting restatement resulting from the Company’s material noncompliance with financial reporting requirements under the federal securities laws. The Clawback Policy is filed as Exhibit 97 to this Form 10-K. It is designed to comply with Section 10D of and Rule 10D-1 under the Exchange Act and Nasdaq Listing Rule 5608. The Clawback Policy applies to the Company’s current and former executive officers, as determined by the Board in accordance with Section 10D of the Exchange Act and Nasdaq listing standards, and such other senior executives who may from time to time be deemed subject to the Clawback Policy by the Board (the “Covered Executives”). If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(as defined below) received by any Covered Executive during the three completed fiscal years immediately preceding the date on which the Company is required to prepare an accounting restatement. For purposes of the Clawback Policy, the term “Incentive Compensation” means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“Incentive-Based Compensation” as defined in accordance with Section 10D of the Exchange Act and Nasdaq listing standards, for Covered Executives if such compensation is granted, earned, or vested based wholly or in part on the attainment of a financial reporting measure, including “variable compensation” or “Margin Based Compensation” as referred to within the Company, and the term “financial reporting measures” has the same meaning as defined in accordance with Section 10D of the Exchange Act and Nasdaq listing standards.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security ownership of certain beneficial owners and management will be contained in the Proxy Statement under the heading “Security Ownership of Certain Beneficial Owners and Management” and information regarding securities authorized for issuance under our equity compensation plans will be contained in the Proxy Statement under the heading “Executive Compensation - Securities Authorized for Issuance Under Equity Compensation Plans” and is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from the sections entitled “Proposal One – Election of Directors – Independent Directors” and “Corporate Governance - Certain Relationships and Related Person Transactions” that will be contained in the Proxy Statement. See “Note 18. Related Party Transactions” of the Notes to our Consolidated Financial Statements included in this Form 10-K for further information regarding related party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8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(a)(1)</w:t>
        <w:tab/>
        <w:t>Financial Statements</w:t>
      </w:r>
    </w:p>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financial statements, a description of which follows, are contained in Part II, Item 8:</w:t>
      </w:r>
    </w:p>
    <w:p>
      <w:pPr>
        <w:spacing w:after="0" w:line="3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 - Deloitte &amp; Touche LLP</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as of May 2, 2026 and April 26, 2025</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 for each of the three fiscal years ended May 2, 2026, April 26, 2025 and April 27, 2024</w:t>
      </w:r>
    </w:p>
    <w:p>
      <w:pPr>
        <w:spacing w:after="0" w:line="279" w:lineRule="exact"/>
        <w:rPr>
          <w:sz w:val="20"/>
          <w:szCs w:val="20"/>
          <w:color w:val="auto"/>
        </w:rPr>
      </w:pPr>
    </w:p>
    <w:p>
      <w:pPr>
        <w:ind w:left="700"/>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Comprehensive Income (Loss) for each of the three fiscal years ended May 2, 2026, April 26, 2025 and April 27, 2024</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0000EE"/>
        </w:rPr>
        <w:t>Consolidated Statements of Stockholders’ Equity for each of the three fiscal years ended May 2, 2026, April 26, 2025 and April 27, 2024</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 for each of the three fiscal years ended May 2, 2026, April 26, 2025 and April 27, 2024</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Notes to the Consolidated Financial Statements</w:t>
      </w:r>
    </w:p>
    <w:p>
      <w:pPr>
        <w:spacing w:after="0" w:line="117" w:lineRule="exact"/>
        <w:rPr>
          <w:sz w:val="20"/>
          <w:szCs w:val="20"/>
          <w:color w:val="auto"/>
        </w:rPr>
      </w:pPr>
    </w:p>
    <w:p>
      <w:pPr>
        <w:ind w:left="700" w:hanging="674"/>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333" w:lineRule="exact"/>
        <w:rPr>
          <w:rFonts w:ascii="Times New Roman" w:cs="Times New Roman" w:eastAsia="Times New Roman" w:hAnsi="Times New Roman"/>
          <w:sz w:val="18"/>
          <w:szCs w:val="18"/>
          <w:color w:val="auto"/>
        </w:rPr>
      </w:pPr>
    </w:p>
    <w:p>
      <w:pPr>
        <w:ind w:left="7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schedules are omitted because they are not required or are not applicable or because the required information is included in the financial statements listed above.</w:t>
      </w:r>
    </w:p>
    <w:p>
      <w:pPr>
        <w:spacing w:after="0" w:line="53" w:lineRule="exact"/>
        <w:rPr>
          <w:rFonts w:ascii="Times New Roman" w:cs="Times New Roman" w:eastAsia="Times New Roman" w:hAnsi="Times New Roman"/>
          <w:sz w:val="18"/>
          <w:szCs w:val="18"/>
          <w:color w:val="auto"/>
        </w:rPr>
      </w:pPr>
    </w:p>
    <w:p>
      <w:pPr>
        <w:ind w:left="700" w:hanging="674"/>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700"/>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p>
      <w:pPr>
        <w:spacing w:after="0" w:line="54" w:lineRule="exact"/>
        <w:rPr>
          <w:sz w:val="20"/>
          <w:szCs w:val="20"/>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0000FF"/>
        </w:rPr>
        <w:tab/>
      </w:r>
      <w:hyperlink r:id="rId136">
        <w:r>
          <w:rPr>
            <w:rFonts w:ascii="Times New Roman" w:cs="Times New Roman" w:eastAsia="Times New Roman" w:hAnsi="Times New Roman"/>
            <w:sz w:val="18"/>
            <w:szCs w:val="18"/>
            <w:u w:val="single" w:color="auto"/>
            <w:color w:val="0000FF"/>
          </w:rPr>
          <w:t>Certificate of Incorporation of Daktronics, Inc., dated as of April 17, 2025 (incorporated by reference to Exhibit 3.2 to our Current Report on</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Form 8-K filed with the SEC on April 18, 2025).</w:t>
        </w:r>
      </w:hyperlink>
    </w:p>
    <w:p>
      <w:pPr>
        <w:spacing w:after="0" w:line="1" w:lineRule="exact"/>
        <w:rPr>
          <w:rFonts w:ascii="Times New Roman" w:cs="Times New Roman" w:eastAsia="Times New Roman" w:hAnsi="Times New Roman"/>
          <w:sz w:val="18"/>
          <w:szCs w:val="18"/>
          <w:color w:val="0000FF"/>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color w:val="0000FF"/>
        </w:rPr>
        <w:t>2</w:t>
        <w:tab/>
      </w:r>
      <w:hyperlink r:id="rId137">
        <w:r>
          <w:rPr>
            <w:rFonts w:ascii="Times New Roman" w:cs="Times New Roman" w:eastAsia="Times New Roman" w:hAnsi="Times New Roman"/>
            <w:sz w:val="18"/>
            <w:szCs w:val="18"/>
            <w:u w:val="single" w:color="auto"/>
            <w:color w:val="0000FF"/>
          </w:rPr>
          <w:t>Bylaws of Daktronics, Inc., a Delaware Business Corporation Incorporated Under Delaware Law, dated as of April 17, 2025 (incorporated by</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reference to Exhibit 3.3 to our Current Report on Form 8-K filed with the SEC on April 18, 2025).</w:t>
        </w:r>
      </w:hyperlink>
    </w:p>
    <w:p>
      <w:pPr>
        <w:spacing w:after="0" w:line="1" w:lineRule="exact"/>
        <w:rPr>
          <w:rFonts w:ascii="Times New Roman" w:cs="Times New Roman" w:eastAsia="Times New Roman" w:hAnsi="Times New Roman"/>
          <w:sz w:val="18"/>
          <w:szCs w:val="18"/>
          <w:color w:val="0000FF"/>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color w:val="0000FF"/>
          </w:rPr>
          <w:t>4.1</w:t>
        </w:r>
      </w:hyperlink>
      <w:r>
        <w:rPr>
          <w:rFonts w:ascii="Times New Roman" w:cs="Times New Roman" w:eastAsia="Times New Roman" w:hAnsi="Times New Roman"/>
          <w:sz w:val="18"/>
          <w:szCs w:val="18"/>
          <w:color w:val="0000FF"/>
        </w:rPr>
        <w:tab/>
      </w:r>
      <w:hyperlink r:id="rId138">
        <w:r>
          <w:rPr>
            <w:rFonts w:ascii="Times New Roman" w:cs="Times New Roman" w:eastAsia="Times New Roman" w:hAnsi="Times New Roman"/>
            <w:sz w:val="18"/>
            <w:szCs w:val="18"/>
            <w:u w:val="single" w:color="auto"/>
            <w:color w:val="0000FF"/>
          </w:rPr>
          <w:t>Rights Agreement, dated as of November 16, 2018 between Daktronics, Inc. and Equiniti Trust Company, as Rights Agent (incorporated by</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reference to Exhibit 4.1 of our Current Report on Form 8-K filed with the SEC on November 16, 2018).</w:t>
        </w:r>
      </w:hyperlink>
    </w:p>
    <w:p>
      <w:pPr>
        <w:spacing w:after="0" w:line="1" w:lineRule="exact"/>
        <w:rPr>
          <w:rFonts w:ascii="Times New Roman" w:cs="Times New Roman" w:eastAsia="Times New Roman" w:hAnsi="Times New Roman"/>
          <w:sz w:val="18"/>
          <w:szCs w:val="18"/>
          <w:color w:val="0000FF"/>
        </w:rPr>
      </w:pPr>
    </w:p>
    <w:p>
      <w:pPr>
        <w:ind w:left="700" w:hanging="674"/>
        <w:spacing w:after="0" w:line="266" w:lineRule="auto"/>
        <w:tabs>
          <w:tab w:leader="none" w:pos="680" w:val="left"/>
        </w:tabs>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color w:val="0000FF"/>
          </w:rPr>
          <w:t>4.2</w:t>
        </w:r>
      </w:hyperlink>
      <w:r>
        <w:rPr>
          <w:rFonts w:ascii="Times New Roman" w:cs="Times New Roman" w:eastAsia="Times New Roman" w:hAnsi="Times New Roman"/>
          <w:sz w:val="18"/>
          <w:szCs w:val="18"/>
          <w:color w:val="0000FF"/>
        </w:rPr>
        <w:tab/>
      </w:r>
      <w:hyperlink r:id="rId139">
        <w:r>
          <w:rPr>
            <w:rFonts w:ascii="Times New Roman" w:cs="Times New Roman" w:eastAsia="Times New Roman" w:hAnsi="Times New Roman"/>
            <w:sz w:val="18"/>
            <w:szCs w:val="18"/>
            <w:u w:val="single" w:color="auto"/>
            <w:color w:val="0000FF"/>
          </w:rPr>
          <w:t>First Amendment to Rights Agreement, dated as of November 19, 2021 between Daktronics, Inc. and Equiniti Trust Company, as Rights Agent</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(incorporated by reference to Exhibit 4.2 of our Current Report on Form 8-K filed with the SEC on November 19, 2021).</w:t>
        </w:r>
      </w:hyperlink>
    </w:p>
    <w:p>
      <w:pPr>
        <w:spacing w:after="0" w:line="14" w:lineRule="exact"/>
        <w:rPr>
          <w:rFonts w:ascii="Times New Roman" w:cs="Times New Roman" w:eastAsia="Times New Roman" w:hAnsi="Times New Roman"/>
          <w:sz w:val="18"/>
          <w:szCs w:val="18"/>
          <w:color w:val="0000FF"/>
        </w:rPr>
      </w:pPr>
    </w:p>
    <w:p>
      <w:pPr>
        <w:jc w:val="center"/>
        <w:ind w:left="340"/>
        <w:spacing w:after="0" w:line="281"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color w:val="0000FF"/>
          </w:rPr>
          <w:t xml:space="preserve">4.3     </w:t>
        </w:r>
        <w:r>
          <w:rPr>
            <w:rFonts w:ascii="Times New Roman" w:cs="Times New Roman" w:eastAsia="Times New Roman" w:hAnsi="Times New Roman"/>
            <w:sz w:val="18"/>
            <w:szCs w:val="18"/>
            <w:u w:val="single" w:color="auto"/>
            <w:color w:val="0000FF"/>
          </w:rPr>
          <w:t>Second Amendment to Rights Agreement, dated as of November 19, 2024, by and between Daktronics, Inc. and Equiniti Trust Company, LLC,</w:t>
        </w:r>
      </w:hyperlink>
      <w:r>
        <w:rPr>
          <w:rFonts w:ascii="Times New Roman" w:cs="Times New Roman" w:eastAsia="Times New Roman" w:hAnsi="Times New Roman"/>
          <w:sz w:val="18"/>
          <w:szCs w:val="18"/>
          <w:color w:val="0000FF"/>
        </w:rPr>
        <w:t xml:space="preserve"> </w:t>
      </w:r>
      <w:hyperlink r:id="rId140">
        <w:r>
          <w:rPr>
            <w:rFonts w:ascii="Times New Roman" w:cs="Times New Roman" w:eastAsia="Times New Roman" w:hAnsi="Times New Roman"/>
            <w:sz w:val="18"/>
            <w:szCs w:val="18"/>
            <w:u w:val="single" w:color="auto"/>
            <w:color w:val="0000FF"/>
          </w:rPr>
          <w:t>as Rights Agent (incorporated by reference to Exhibit 4.3 to our Current Report on Form 8-K filed with the SEC on November 20, 2024).</w:t>
        </w:r>
      </w:hyperlink>
    </w:p>
    <w:p>
      <w:pPr>
        <w:spacing w:after="0" w:line="1" w:lineRule="exact"/>
        <w:rPr>
          <w:sz w:val="20"/>
          <w:szCs w:val="20"/>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color w:val="0000FF"/>
          </w:rPr>
          <w:t>4.4</w:t>
        </w:r>
      </w:hyperlink>
      <w:r>
        <w:rPr>
          <w:rFonts w:ascii="Times New Roman" w:cs="Times New Roman" w:eastAsia="Times New Roman" w:hAnsi="Times New Roman"/>
          <w:sz w:val="18"/>
          <w:szCs w:val="18"/>
          <w:color w:val="0000FF"/>
        </w:rPr>
        <w:tab/>
      </w:r>
      <w:hyperlink r:id="rId141">
        <w:r>
          <w:rPr>
            <w:rFonts w:ascii="Times New Roman" w:cs="Times New Roman" w:eastAsia="Times New Roman" w:hAnsi="Times New Roman"/>
            <w:sz w:val="18"/>
            <w:szCs w:val="18"/>
            <w:u w:val="single" w:color="auto"/>
            <w:color w:val="0000FF"/>
          </w:rPr>
          <w:t>Third Amendment to Rights Agreement, dated as of March 3, 2025, by and between Daktronics, Inc. and Equiniti Trust Company, LLC, as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Rights Agent (incorporated by reference to Exhibit 4.4 to our Current Report on Form 8-K filed with the SEC on March 3, 2025).</w:t>
        </w:r>
      </w:hyperlink>
    </w:p>
    <w:p>
      <w:pPr>
        <w:spacing w:after="0" w:line="1" w:lineRule="exact"/>
        <w:rPr>
          <w:rFonts w:ascii="Times New Roman" w:cs="Times New Roman" w:eastAsia="Times New Roman" w:hAnsi="Times New Roman"/>
          <w:sz w:val="18"/>
          <w:szCs w:val="18"/>
          <w:color w:val="0000FF"/>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color w:val="0000FF"/>
          </w:rPr>
          <w:t>4.5</w:t>
        </w:r>
      </w:hyperlink>
      <w:r>
        <w:rPr>
          <w:rFonts w:ascii="Times New Roman" w:cs="Times New Roman" w:eastAsia="Times New Roman" w:hAnsi="Times New Roman"/>
          <w:sz w:val="18"/>
          <w:szCs w:val="18"/>
          <w:color w:val="0000FF"/>
        </w:rPr>
        <w:tab/>
      </w:r>
      <w:hyperlink r:id="rId142">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 (incorporated by reference to</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Exhibit 4.5 to the Company's Annual Report on Form 10-K filed with the SEC on June 25, 2025).</w:t>
        </w:r>
      </w:hyperlink>
    </w:p>
    <w:p>
      <w:pPr>
        <w:spacing w:after="0" w:line="1" w:lineRule="exact"/>
        <w:rPr>
          <w:rFonts w:ascii="Times New Roman" w:cs="Times New Roman" w:eastAsia="Times New Roman" w:hAnsi="Times New Roman"/>
          <w:sz w:val="18"/>
          <w:szCs w:val="18"/>
          <w:color w:val="0000FF"/>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color w:val="0000FF"/>
          </w:rPr>
          <w:t>10.1</w:t>
        </w:r>
      </w:hyperlink>
      <w:r>
        <w:rPr>
          <w:rFonts w:ascii="Times New Roman" w:cs="Times New Roman" w:eastAsia="Times New Roman" w:hAnsi="Times New Roman"/>
          <w:sz w:val="18"/>
          <w:szCs w:val="18"/>
          <w:color w:val="0000FF"/>
        </w:rPr>
        <w:tab/>
      </w:r>
      <w:hyperlink r:id="rId143">
        <w:r>
          <w:rPr>
            <w:rFonts w:ascii="Times New Roman" w:cs="Times New Roman" w:eastAsia="Times New Roman" w:hAnsi="Times New Roman"/>
            <w:sz w:val="18"/>
            <w:szCs w:val="18"/>
            <w:u w:val="single" w:color="auto"/>
            <w:color w:val="0000FF"/>
          </w:rPr>
          <w:t>Daktronics, Inc. 2025 Stock Incentive Plan (“2025 Plan”) (incorporated by reference to Appendix A to the Company’s Definitive Proxy</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Statement on Schedule 14A filed with the SEC on August 14, 2025).*</w:t>
        </w:r>
      </w:hyperlink>
    </w:p>
    <w:p>
      <w:pPr>
        <w:spacing w:after="0" w:line="1" w:lineRule="exact"/>
        <w:rPr>
          <w:rFonts w:ascii="Times New Roman" w:cs="Times New Roman" w:eastAsia="Times New Roman" w:hAnsi="Times New Roman"/>
          <w:sz w:val="18"/>
          <w:szCs w:val="18"/>
          <w:color w:val="0000FF"/>
        </w:rPr>
      </w:pPr>
    </w:p>
    <w:p>
      <w:pPr>
        <w:ind w:left="20"/>
        <w:spacing w:after="0"/>
        <w:tabs>
          <w:tab w:leader="none" w:pos="680" w:val="left"/>
        </w:tabs>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8"/>
            <w:szCs w:val="18"/>
            <w:color w:val="0000FF"/>
          </w:rPr>
          <w:t>10.2</w:t>
        </w:r>
      </w:hyperlink>
      <w:r>
        <w:rPr>
          <w:rFonts w:ascii="Times New Roman" w:cs="Times New Roman" w:eastAsia="Times New Roman" w:hAnsi="Times New Roman"/>
          <w:sz w:val="18"/>
          <w:szCs w:val="18"/>
          <w:color w:val="0000FF"/>
        </w:rPr>
        <w:tab/>
      </w:r>
      <w:hyperlink r:id="rId144">
        <w:r>
          <w:rPr>
            <w:rFonts w:ascii="Times New Roman" w:cs="Times New Roman" w:eastAsia="Times New Roman" w:hAnsi="Times New Roman"/>
            <w:sz w:val="17"/>
            <w:szCs w:val="17"/>
            <w:u w:val="single" w:color="auto"/>
            <w:color w:val="0000FF"/>
          </w:rPr>
          <w:t>Form of Restricted Stock Award Agreement under the 2025 Plan (incorporated by reference to Exhibit 10.3 filed to our Quarterly Report on Form</w:t>
        </w:r>
      </w:hyperlink>
    </w:p>
    <w:p>
      <w:pPr>
        <w:spacing w:after="0" w:line="27" w:lineRule="exact"/>
        <w:rPr>
          <w:sz w:val="20"/>
          <w:szCs w:val="20"/>
          <w:color w:val="auto"/>
        </w:rPr>
      </w:pPr>
    </w:p>
    <w:p>
      <w:pPr>
        <w:ind w:left="70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10-Q filed with the SEC on December 10, 2025).*</w:t>
        </w:r>
      </w:hyperlink>
    </w:p>
    <w:p>
      <w:pPr>
        <w:spacing w:after="0" w:line="45" w:lineRule="exact"/>
        <w:rPr>
          <w:sz w:val="20"/>
          <w:szCs w:val="20"/>
          <w:color w:val="auto"/>
        </w:rPr>
      </w:pPr>
    </w:p>
    <w:p>
      <w:pPr>
        <w:ind w:left="700" w:hanging="674"/>
        <w:spacing w:after="0" w:line="282" w:lineRule="auto"/>
        <w:tabs>
          <w:tab w:leader="none" w:pos="680" w:val="left"/>
        </w:tabs>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color w:val="0000FF"/>
          </w:rPr>
          <w:t>10.3</w:t>
        </w:r>
      </w:hyperlink>
      <w:r>
        <w:rPr>
          <w:rFonts w:ascii="Times New Roman" w:cs="Times New Roman" w:eastAsia="Times New Roman" w:hAnsi="Times New Roman"/>
          <w:sz w:val="18"/>
          <w:szCs w:val="18"/>
          <w:color w:val="0000FF"/>
        </w:rPr>
        <w:tab/>
      </w:r>
      <w:hyperlink r:id="rId145">
        <w:r>
          <w:rPr>
            <w:rFonts w:ascii="Times New Roman" w:cs="Times New Roman" w:eastAsia="Times New Roman" w:hAnsi="Times New Roman"/>
            <w:sz w:val="18"/>
            <w:szCs w:val="18"/>
            <w:u w:val="single" w:color="auto"/>
            <w:color w:val="0000FF"/>
          </w:rPr>
          <w:t>Form of Non-Qualified Stock Option Agreement Terms and Conditions under the 2025 Plan (incorporated by reference to Exhibit 10.4 filed to</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our Quarterly Report on Form 10-Q filed with the SEC on December 10, 2025).*</w:t>
        </w:r>
      </w:hyperlink>
    </w:p>
    <w:p>
      <w:pPr>
        <w:sectPr>
          <w:pgSz w:w="11900" w:h="16838" w:orient="portrait"/>
          <w:cols w:equalWidth="0" w:num="1">
            <w:col w:w="11220"/>
          </w:cols>
          <w:pgMar w:left="320" w:top="121" w:right="359" w:bottom="1440" w:gutter="0" w:footer="0" w:header="0"/>
        </w:sect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61" w:lineRule="exact"/>
        <w:rPr>
          <w:rFonts w:ascii="Times New Roman" w:cs="Times New Roman" w:eastAsia="Times New Roman" w:hAnsi="Times New Roman"/>
          <w:sz w:val="18"/>
          <w:szCs w:val="18"/>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color w:val="0000FF"/>
          </w:rPr>
          <w:t>10.4</w:t>
        </w:r>
      </w:hyperlink>
      <w:r>
        <w:rPr>
          <w:rFonts w:ascii="Times New Roman" w:cs="Times New Roman" w:eastAsia="Times New Roman" w:hAnsi="Times New Roman"/>
          <w:sz w:val="18"/>
          <w:szCs w:val="18"/>
          <w:color w:val="0000FF"/>
        </w:rPr>
        <w:tab/>
      </w:r>
      <w:hyperlink r:id="rId147">
        <w:r>
          <w:rPr>
            <w:rFonts w:ascii="Times New Roman" w:cs="Times New Roman" w:eastAsia="Times New Roman" w:hAnsi="Times New Roman"/>
            <w:sz w:val="18"/>
            <w:szCs w:val="18"/>
            <w:u w:val="single" w:color="auto"/>
            <w:color w:val="0000FF"/>
          </w:rPr>
          <w:t>Form of Incentive Stock Option Terms and Conditions under the 2025 Plan (incorporated by reference to Exhibit 10.5 filed to our Quarterly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Report on Form 10-Q filed with the SEC on December 10, 2025).*</w:t>
        </w:r>
      </w:hyperlink>
    </w:p>
    <w:p>
      <w:pPr>
        <w:spacing w:after="0" w:line="1" w:lineRule="exact"/>
        <w:rPr>
          <w:rFonts w:ascii="Times New Roman" w:cs="Times New Roman" w:eastAsia="Times New Roman" w:hAnsi="Times New Roman"/>
          <w:sz w:val="18"/>
          <w:szCs w:val="18"/>
          <w:color w:val="0000FF"/>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color w:val="0000FF"/>
          </w:rPr>
          <w:t>10.5</w:t>
        </w:r>
      </w:hyperlink>
      <w:r>
        <w:rPr>
          <w:rFonts w:ascii="Times New Roman" w:cs="Times New Roman" w:eastAsia="Times New Roman" w:hAnsi="Times New Roman"/>
          <w:sz w:val="18"/>
          <w:szCs w:val="18"/>
          <w:color w:val="0000FF"/>
        </w:rPr>
        <w:tab/>
      </w:r>
      <w:hyperlink r:id="rId148">
        <w:r>
          <w:rPr>
            <w:rFonts w:ascii="Times New Roman" w:cs="Times New Roman" w:eastAsia="Times New Roman" w:hAnsi="Times New Roman"/>
            <w:sz w:val="18"/>
            <w:szCs w:val="18"/>
            <w:u w:val="single" w:color="auto"/>
            <w:color w:val="0000FF"/>
          </w:rPr>
          <w:t>Form of Restricted Stock Unit Notice and Agreement under the 2025 Plan (incorporated by reference to Exhibit 10.6 filed to our Quarterly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Report on Form 10-Q filed with the SEC on December 10, 2025).*</w:t>
        </w:r>
      </w:hyperlink>
    </w:p>
    <w:p>
      <w:pPr>
        <w:spacing w:after="0" w:line="1" w:lineRule="exact"/>
        <w:rPr>
          <w:rFonts w:ascii="Times New Roman" w:cs="Times New Roman" w:eastAsia="Times New Roman" w:hAnsi="Times New Roman"/>
          <w:sz w:val="18"/>
          <w:szCs w:val="18"/>
          <w:color w:val="0000FF"/>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color w:val="0000FF"/>
          </w:rPr>
          <w:t>10.6</w:t>
        </w:r>
      </w:hyperlink>
      <w:r>
        <w:rPr>
          <w:rFonts w:ascii="Times New Roman" w:cs="Times New Roman" w:eastAsia="Times New Roman" w:hAnsi="Times New Roman"/>
          <w:sz w:val="18"/>
          <w:szCs w:val="18"/>
          <w:color w:val="0000FF"/>
        </w:rPr>
        <w:tab/>
      </w:r>
      <w:hyperlink r:id="rId149">
        <w:r>
          <w:rPr>
            <w:rFonts w:ascii="Times New Roman" w:cs="Times New Roman" w:eastAsia="Times New Roman" w:hAnsi="Times New Roman"/>
            <w:sz w:val="18"/>
            <w:szCs w:val="18"/>
            <w:u w:val="single" w:color="auto"/>
            <w:color w:val="0000FF"/>
          </w:rPr>
          <w:t>Form of Performance Stock Unit Notice and Agreement under the 2025 Plan (incorporated by reference to Exhibit 10.7 filed to our Quarterly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Report on Form 10-Q filed with the SEC on December 10, 2025).*</w:t>
        </w:r>
      </w:hyperlink>
    </w:p>
    <w:p>
      <w:pPr>
        <w:spacing w:after="0" w:line="1" w:lineRule="exact"/>
        <w:rPr>
          <w:rFonts w:ascii="Times New Roman" w:cs="Times New Roman" w:eastAsia="Times New Roman" w:hAnsi="Times New Roman"/>
          <w:sz w:val="18"/>
          <w:szCs w:val="18"/>
          <w:color w:val="0000FF"/>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color w:val="0000FF"/>
          </w:rPr>
          <w:t>10.7</w:t>
        </w:r>
      </w:hyperlink>
      <w:r>
        <w:rPr>
          <w:rFonts w:ascii="Times New Roman" w:cs="Times New Roman" w:eastAsia="Times New Roman" w:hAnsi="Times New Roman"/>
          <w:sz w:val="18"/>
          <w:szCs w:val="18"/>
          <w:color w:val="0000FF"/>
        </w:rPr>
        <w:tab/>
      </w:r>
      <w:hyperlink r:id="rId150">
        <w:r>
          <w:rPr>
            <w:rFonts w:ascii="Times New Roman" w:cs="Times New Roman" w:eastAsia="Times New Roman" w:hAnsi="Times New Roman"/>
            <w:sz w:val="18"/>
            <w:szCs w:val="18"/>
            <w:u w:val="single" w:color="auto"/>
            <w:color w:val="0000FF"/>
          </w:rPr>
          <w:t>Registration Rights Agreement dated as of May 11, 2023 by and between Daktronics, Inc. and Alta Fox Opportunities Fund, LP (incorporated by</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reference to Exhibit 10.6 filed to the Current Report on Form 8-K of Daktronics, Inc. filed with the SEC on May 12, 2023).</w:t>
        </w:r>
      </w:hyperlink>
    </w:p>
    <w:p>
      <w:pPr>
        <w:spacing w:after="0" w:line="1" w:lineRule="exact"/>
        <w:rPr>
          <w:rFonts w:ascii="Times New Roman" w:cs="Times New Roman" w:eastAsia="Times New Roman" w:hAnsi="Times New Roman"/>
          <w:sz w:val="18"/>
          <w:szCs w:val="18"/>
          <w:color w:val="0000FF"/>
        </w:rPr>
      </w:pPr>
    </w:p>
    <w:p>
      <w:pPr>
        <w:jc w:val="both"/>
        <w:ind w:left="700" w:hanging="674"/>
        <w:spacing w:after="0" w:line="266" w:lineRule="auto"/>
        <w:tabs>
          <w:tab w:leader="none" w:pos="680" w:val="left"/>
        </w:tabs>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color w:val="0000FF"/>
          </w:rPr>
          <w:t>10.8</w:t>
        </w:r>
      </w:hyperlink>
      <w:r>
        <w:rPr>
          <w:rFonts w:ascii="Times New Roman" w:cs="Times New Roman" w:eastAsia="Times New Roman" w:hAnsi="Times New Roman"/>
          <w:sz w:val="18"/>
          <w:szCs w:val="18"/>
          <w:color w:val="0000FF"/>
        </w:rPr>
        <w:tab/>
      </w:r>
      <w:hyperlink r:id="rId151">
        <w:r>
          <w:rPr>
            <w:rFonts w:ascii="Times New Roman" w:cs="Times New Roman" w:eastAsia="Times New Roman" w:hAnsi="Times New Roman"/>
            <w:sz w:val="18"/>
            <w:szCs w:val="18"/>
            <w:u w:val="single" w:color="auto"/>
            <w:color w:val="0000FF"/>
          </w:rPr>
          <w:t>Intercreditor Agreement dated as of May 11, 2023 by and among Daktronics, Inc., JPMorgan Chase Bank, N.A., and Alta Fox Opportunities</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Fund, LP (incorporated by reference to Exhibit 10.7 filed to the Current Report on Form 8-K of Daktronics, Inc. filed with the SEC on May 12,</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2023).</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700" w:hanging="674"/>
        <w:spacing w:after="0" w:line="266" w:lineRule="auto"/>
        <w:tabs>
          <w:tab w:leader="none" w:pos="680" w:val="left"/>
        </w:tabs>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color w:val="0000FF"/>
          </w:rPr>
          <w:t>10.9</w:t>
        </w:r>
      </w:hyperlink>
      <w:r>
        <w:rPr>
          <w:rFonts w:ascii="Times New Roman" w:cs="Times New Roman" w:eastAsia="Times New Roman" w:hAnsi="Times New Roman"/>
          <w:sz w:val="18"/>
          <w:szCs w:val="18"/>
          <w:color w:val="0000FF"/>
        </w:rPr>
        <w:tab/>
      </w:r>
      <w:hyperlink r:id="rId152">
        <w:r>
          <w:rPr>
            <w:rFonts w:ascii="Times New Roman" w:cs="Times New Roman" w:eastAsia="Times New Roman" w:hAnsi="Times New Roman"/>
            <w:sz w:val="18"/>
            <w:szCs w:val="18"/>
            <w:u w:val="single" w:color="auto"/>
            <w:color w:val="0000FF"/>
          </w:rPr>
          <w:t>Cooperation Agreement dated as of March 3, 2025 by and between Daktronics, Inc. and Alta Fox Capital Management, LLC, Alta Fox</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Opportunities Fund, LP, Alta Fox GenPar, LP, Alta Fox Equity, LLC and P. Connor Haley (incorporated by reference to Exhibit 10.1 filed to the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Current Report on Form 8-K of Daktronics, Inc. filed with the SEC on March 3, 2025).</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700" w:hanging="674"/>
        <w:spacing w:after="0" w:line="258" w:lineRule="auto"/>
        <w:tabs>
          <w:tab w:leader="none" w:pos="680" w:val="left"/>
        </w:tabs>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color w:val="0000FF"/>
          </w:rPr>
          <w:t>10.10</w:t>
        </w:r>
      </w:hyperlink>
      <w:r>
        <w:rPr>
          <w:rFonts w:ascii="Times New Roman" w:cs="Times New Roman" w:eastAsia="Times New Roman" w:hAnsi="Times New Roman"/>
          <w:sz w:val="18"/>
          <w:szCs w:val="18"/>
          <w:color w:val="0000FF"/>
        </w:rPr>
        <w:tab/>
      </w:r>
      <w:hyperlink r:id="rId153">
        <w:r>
          <w:rPr>
            <w:rFonts w:ascii="Times New Roman" w:cs="Times New Roman" w:eastAsia="Times New Roman" w:hAnsi="Times New Roman"/>
            <w:sz w:val="18"/>
            <w:szCs w:val="18"/>
            <w:u w:val="single" w:color="auto"/>
            <w:color w:val="0000FF"/>
          </w:rPr>
          <w:t>First Amendment to Cooperation Agreement, dated as of October 24, 2025, by and between Daktronics, Inc. and Alta Fox Capital Management,</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LLC, Alta Fox Opportunities Fund, LP, Alta Fox GenPar, LP, Alta Fox Equity, LLC and P. Connor Haley (incorporated by reference to Exhibit</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10.1 to the Company’s Current Report on Form 8-K filed with the SEC on October 30, 2025).</w:t>
        </w:r>
      </w:hyperlink>
    </w:p>
    <w:p>
      <w:pPr>
        <w:spacing w:after="0" w:line="7" w:lineRule="exact"/>
        <w:rPr>
          <w:rFonts w:ascii="Times New Roman" w:cs="Times New Roman" w:eastAsia="Times New Roman" w:hAnsi="Times New Roman"/>
          <w:sz w:val="18"/>
          <w:szCs w:val="18"/>
          <w:u w:val="single" w:color="auto"/>
          <w:color w:val="0000FF"/>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color w:val="0000FF"/>
          </w:rPr>
          <w:t>10.11</w:t>
        </w:r>
      </w:hyperlink>
      <w:r>
        <w:rPr>
          <w:rFonts w:ascii="Times New Roman" w:cs="Times New Roman" w:eastAsia="Times New Roman" w:hAnsi="Times New Roman"/>
          <w:sz w:val="18"/>
          <w:szCs w:val="18"/>
          <w:color w:val="0000FF"/>
        </w:rPr>
        <w:tab/>
      </w:r>
      <w:hyperlink r:id="rId154">
        <w:r>
          <w:rPr>
            <w:rFonts w:ascii="Times New Roman" w:cs="Times New Roman" w:eastAsia="Times New Roman" w:hAnsi="Times New Roman"/>
            <w:sz w:val="18"/>
            <w:szCs w:val="18"/>
            <w:u w:val="single" w:color="auto"/>
            <w:color w:val="0000FF"/>
          </w:rPr>
          <w:t>Separation and Release Agreement, dated March 5, 2025, by and between Reece A. Kurtenbach and Daktronics, Inc. (incorporated by reference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to Exhibit 10.1 to our Current Report on Form 8-K filed with the SEC on March 5, 2025).*</w:t>
        </w:r>
      </w:hyperlink>
    </w:p>
    <w:p>
      <w:pPr>
        <w:spacing w:after="0" w:line="1" w:lineRule="exact"/>
        <w:rPr>
          <w:rFonts w:ascii="Times New Roman" w:cs="Times New Roman" w:eastAsia="Times New Roman" w:hAnsi="Times New Roman"/>
          <w:sz w:val="18"/>
          <w:szCs w:val="18"/>
          <w:color w:val="0000FF"/>
        </w:rPr>
      </w:pPr>
    </w:p>
    <w:p>
      <w:pPr>
        <w:ind w:left="20"/>
        <w:spacing w:after="0"/>
        <w:tabs>
          <w:tab w:leader="none" w:pos="680" w:val="left"/>
        </w:tabs>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color w:val="0000FF"/>
          </w:rPr>
          <w:t>10.12</w:t>
        </w:r>
      </w:hyperlink>
      <w:r>
        <w:rPr>
          <w:rFonts w:ascii="Times New Roman" w:cs="Times New Roman" w:eastAsia="Times New Roman" w:hAnsi="Times New Roman"/>
          <w:sz w:val="18"/>
          <w:szCs w:val="18"/>
          <w:color w:val="0000FF"/>
        </w:rPr>
        <w:tab/>
      </w:r>
      <w:hyperlink r:id="rId155">
        <w:r>
          <w:rPr>
            <w:rFonts w:ascii="Times New Roman" w:cs="Times New Roman" w:eastAsia="Times New Roman" w:hAnsi="Times New Roman"/>
            <w:sz w:val="18"/>
            <w:szCs w:val="18"/>
            <w:u w:val="single" w:color="auto"/>
            <w:color w:val="0000FF"/>
          </w:rPr>
          <w:t>Consulting Agreement, dated March 5, 2025, by and between Reece A. Kurtenbach and Daktronics, Inc. (incorporated by reference to Exhibit</w:t>
        </w:r>
      </w:hyperlink>
    </w:p>
    <w:p>
      <w:pPr>
        <w:spacing w:after="0" w:line="27" w:lineRule="exact"/>
        <w:rPr>
          <w:sz w:val="20"/>
          <w:szCs w:val="20"/>
          <w:color w:val="auto"/>
        </w:rPr>
      </w:pPr>
    </w:p>
    <w:p>
      <w:pPr>
        <w:ind w:left="700"/>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10.2 to our Current Report on Form 8-K filed with the SEC on March 5, 2025).*</w:t>
        </w:r>
      </w:hyperlink>
    </w:p>
    <w:p>
      <w:pPr>
        <w:spacing w:after="0" w:line="45" w:lineRule="exact"/>
        <w:rPr>
          <w:sz w:val="20"/>
          <w:szCs w:val="20"/>
          <w:color w:val="auto"/>
        </w:rPr>
      </w:pPr>
    </w:p>
    <w:p>
      <w:pPr>
        <w:jc w:val="both"/>
        <w:ind w:left="700" w:hanging="674"/>
        <w:spacing w:after="0" w:line="266" w:lineRule="auto"/>
        <w:tabs>
          <w:tab w:leader="none" w:pos="680" w:val="left"/>
        </w:tabs>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color w:val="0000FF"/>
          </w:rPr>
          <w:t>10.13</w:t>
        </w:r>
      </w:hyperlink>
      <w:r>
        <w:rPr>
          <w:rFonts w:ascii="Times New Roman" w:cs="Times New Roman" w:eastAsia="Times New Roman" w:hAnsi="Times New Roman"/>
          <w:sz w:val="18"/>
          <w:szCs w:val="18"/>
          <w:color w:val="0000FF"/>
        </w:rPr>
        <w:tab/>
      </w:r>
      <w:hyperlink r:id="rId156">
        <w:r>
          <w:rPr>
            <w:rFonts w:ascii="Times New Roman" w:cs="Times New Roman" w:eastAsia="Times New Roman" w:hAnsi="Times New Roman"/>
            <w:sz w:val="18"/>
            <w:szCs w:val="18"/>
            <w:u w:val="single" w:color="auto"/>
            <w:color w:val="0000FF"/>
          </w:rPr>
          <w:t>First Amendment to Consulting Agreement, dated as of October 30, 2025, by and between Reece A. Kurtenbach and Daktronics, Inc.</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(incorporated by reference to Exhibit 10.2 to the Company’s Current Report on Form 8-K filed with the SEC on October 30, 2025).*</w:t>
        </w:r>
      </w:hyperlink>
    </w:p>
    <w:p>
      <w:pPr>
        <w:spacing w:after="0" w:line="14" w:lineRule="exact"/>
        <w:rPr>
          <w:rFonts w:ascii="Times New Roman" w:cs="Times New Roman" w:eastAsia="Times New Roman" w:hAnsi="Times New Roman"/>
          <w:sz w:val="18"/>
          <w:szCs w:val="18"/>
          <w:color w:val="0000FF"/>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color w:val="0000FF"/>
          </w:rPr>
          <w:t>10.14</w:t>
        </w:r>
      </w:hyperlink>
      <w:r>
        <w:rPr>
          <w:rFonts w:ascii="Times New Roman" w:cs="Times New Roman" w:eastAsia="Times New Roman" w:hAnsi="Times New Roman"/>
          <w:sz w:val="18"/>
          <w:szCs w:val="18"/>
          <w:color w:val="0000FF"/>
        </w:rPr>
        <w:tab/>
      </w:r>
      <w:hyperlink r:id="rId157">
        <w:r>
          <w:rPr>
            <w:rFonts w:ascii="Times New Roman" w:cs="Times New Roman" w:eastAsia="Times New Roman" w:hAnsi="Times New Roman"/>
            <w:sz w:val="18"/>
            <w:szCs w:val="18"/>
            <w:u w:val="single" w:color="auto"/>
            <w:color w:val="0000FF"/>
          </w:rPr>
          <w:t>Second Amendment to the Consulting Agreement, effective February 1, 2026, by and between Reece A. Kurtenbach and Daktronics, Inc.</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(incorporated by reference to Exhibit 10.1 to the Company’s Current Report on Form 8-K filed with the SEC on February 2, 2026).*</w:t>
        </w:r>
      </w:hyperlink>
    </w:p>
    <w:p>
      <w:pPr>
        <w:spacing w:after="0" w:line="1" w:lineRule="exact"/>
        <w:rPr>
          <w:rFonts w:ascii="Times New Roman" w:cs="Times New Roman" w:eastAsia="Times New Roman" w:hAnsi="Times New Roman"/>
          <w:sz w:val="18"/>
          <w:szCs w:val="18"/>
          <w:color w:val="0000FF"/>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color w:val="0000FF"/>
          </w:rPr>
          <w:t>10.15</w:t>
        </w:r>
      </w:hyperlink>
      <w:r>
        <w:rPr>
          <w:rFonts w:ascii="Times New Roman" w:cs="Times New Roman" w:eastAsia="Times New Roman" w:hAnsi="Times New Roman"/>
          <w:sz w:val="18"/>
          <w:szCs w:val="18"/>
          <w:color w:val="0000FF"/>
        </w:rPr>
        <w:tab/>
      </w:r>
      <w:hyperlink r:id="rId158">
        <w:r>
          <w:rPr>
            <w:rFonts w:ascii="Times New Roman" w:cs="Times New Roman" w:eastAsia="Times New Roman" w:hAnsi="Times New Roman"/>
            <w:sz w:val="18"/>
            <w:szCs w:val="18"/>
            <w:u w:val="single" w:color="auto"/>
            <w:color w:val="0000FF"/>
          </w:rPr>
          <w:t>Offer Letter, dated March 5, 2025, by and between Bradley T. Wiemann and Daktronics, Inc. (incorporated by reference to Exhibit 10.3 to our</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Current Report on Form 8-K filed with the SEC on March 5, 2025).*</w:t>
        </w:r>
      </w:hyperlink>
    </w:p>
    <w:p>
      <w:pPr>
        <w:spacing w:after="0" w:line="1" w:lineRule="exact"/>
        <w:rPr>
          <w:rFonts w:ascii="Times New Roman" w:cs="Times New Roman" w:eastAsia="Times New Roman" w:hAnsi="Times New Roman"/>
          <w:sz w:val="18"/>
          <w:szCs w:val="18"/>
          <w:color w:val="0000FF"/>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color w:val="0000FF"/>
          </w:rPr>
          <w:t>10.16</w:t>
        </w:r>
      </w:hyperlink>
      <w:r>
        <w:rPr>
          <w:rFonts w:ascii="Times New Roman" w:cs="Times New Roman" w:eastAsia="Times New Roman" w:hAnsi="Times New Roman"/>
          <w:sz w:val="18"/>
          <w:szCs w:val="18"/>
          <w:color w:val="0000FF"/>
        </w:rPr>
        <w:tab/>
      </w:r>
      <w:hyperlink r:id="rId159">
        <w:r>
          <w:rPr>
            <w:rFonts w:ascii="Times New Roman" w:cs="Times New Roman" w:eastAsia="Times New Roman" w:hAnsi="Times New Roman"/>
            <w:sz w:val="18"/>
            <w:szCs w:val="18"/>
            <w:u w:val="single" w:color="auto"/>
            <w:color w:val="0000FF"/>
          </w:rPr>
          <w:t>Offer Letter, dated March 5, 2025, by and between Howard I. Atkins and Daktronics, Inc. (incorporated by reference to Exhibit 10.5 to our</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Current Report on Form 8-K filed with the SEC on March 5, 2025).*</w:t>
        </w:r>
      </w:hyperlink>
    </w:p>
    <w:p>
      <w:pPr>
        <w:spacing w:after="0" w:line="1" w:lineRule="exact"/>
        <w:rPr>
          <w:rFonts w:ascii="Times New Roman" w:cs="Times New Roman" w:eastAsia="Times New Roman" w:hAnsi="Times New Roman"/>
          <w:sz w:val="18"/>
          <w:szCs w:val="18"/>
          <w:color w:val="0000FF"/>
        </w:rPr>
      </w:pPr>
    </w:p>
    <w:p>
      <w:pPr>
        <w:jc w:val="both"/>
        <w:ind w:left="70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color w:val="0000FF"/>
          </w:rPr>
          <w:t>10.17</w:t>
        </w:r>
      </w:hyperlink>
      <w:r>
        <w:rPr>
          <w:rFonts w:ascii="Times New Roman" w:cs="Times New Roman" w:eastAsia="Times New Roman" w:hAnsi="Times New Roman"/>
          <w:sz w:val="18"/>
          <w:szCs w:val="18"/>
          <w:color w:val="0000FF"/>
        </w:rPr>
        <w:tab/>
      </w:r>
      <w:hyperlink r:id="rId160">
        <w:r>
          <w:rPr>
            <w:rFonts w:ascii="Times New Roman" w:cs="Times New Roman" w:eastAsia="Times New Roman" w:hAnsi="Times New Roman"/>
            <w:sz w:val="18"/>
            <w:szCs w:val="18"/>
            <w:u w:val="single" w:color="auto"/>
            <w:color w:val="0000FF"/>
          </w:rPr>
          <w:t>Form of Interim Executive RSU Agreement (incorporated by reference to Exhibit 10.4 to our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March 5, 2025).*</w:t>
        </w:r>
      </w:hyperlink>
    </w:p>
    <w:p>
      <w:pPr>
        <w:spacing w:after="0" w:line="1" w:lineRule="exact"/>
        <w:rPr>
          <w:rFonts w:ascii="Times New Roman" w:cs="Times New Roman" w:eastAsia="Times New Roman" w:hAnsi="Times New Roman"/>
          <w:sz w:val="18"/>
          <w:szCs w:val="18"/>
          <w:color w:val="0000FF"/>
        </w:rPr>
      </w:pPr>
    </w:p>
    <w:p>
      <w:pPr>
        <w:ind w:left="20"/>
        <w:spacing w:after="0"/>
        <w:tabs>
          <w:tab w:leader="none" w:pos="680" w:val="left"/>
        </w:tabs>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color w:val="0000FF"/>
          </w:rPr>
          <w:t>10.18</w:t>
        </w:r>
      </w:hyperlink>
      <w:r>
        <w:rPr>
          <w:rFonts w:ascii="Times New Roman" w:cs="Times New Roman" w:eastAsia="Times New Roman" w:hAnsi="Times New Roman"/>
          <w:sz w:val="18"/>
          <w:szCs w:val="18"/>
          <w:color w:val="0000FF"/>
        </w:rPr>
        <w:tab/>
      </w:r>
      <w:hyperlink r:id="rId161">
        <w:r>
          <w:rPr>
            <w:rFonts w:ascii="Times New Roman" w:cs="Times New Roman" w:eastAsia="Times New Roman" w:hAnsi="Times New Roman"/>
            <w:sz w:val="18"/>
            <w:szCs w:val="18"/>
            <w:u w:val="single" w:color="auto"/>
            <w:color w:val="0000FF"/>
          </w:rPr>
          <w:t>Form of Retention RSU Agreement (incorporated by reference to Exhibit 10.6 to our Current Report on Form 8-K filed with the SEC on March</w:t>
        </w:r>
      </w:hyperlink>
    </w:p>
    <w:p>
      <w:pPr>
        <w:spacing w:after="0" w:line="27" w:lineRule="exact"/>
        <w:rPr>
          <w:sz w:val="20"/>
          <w:szCs w:val="20"/>
          <w:color w:val="auto"/>
        </w:rPr>
      </w:pPr>
    </w:p>
    <w:p>
      <w:pPr>
        <w:ind w:left="700"/>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5, 2025).*</w:t>
        </w:r>
      </w:hyperlink>
    </w:p>
    <w:p>
      <w:pPr>
        <w:spacing w:after="0" w:line="45" w:lineRule="exact"/>
        <w:rPr>
          <w:sz w:val="20"/>
          <w:szCs w:val="20"/>
          <w:color w:val="auto"/>
        </w:rPr>
      </w:pPr>
    </w:p>
    <w:p>
      <w:pPr>
        <w:jc w:val="both"/>
        <w:ind w:left="700" w:hanging="674"/>
        <w:spacing w:after="0" w:line="222" w:lineRule="auto"/>
        <w:tabs>
          <w:tab w:leader="none" w:pos="680" w:val="left"/>
        </w:tabs>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color w:val="0000FF"/>
          </w:rPr>
          <w:t>10.19</w:t>
        </w:r>
      </w:hyperlink>
      <w:r>
        <w:rPr>
          <w:rFonts w:ascii="Times New Roman" w:cs="Times New Roman" w:eastAsia="Times New Roman" w:hAnsi="Times New Roman"/>
          <w:sz w:val="18"/>
          <w:szCs w:val="18"/>
          <w:color w:val="0000FF"/>
        </w:rPr>
        <w:tab/>
      </w:r>
      <w:hyperlink r:id="rId162">
        <w:r>
          <w:rPr>
            <w:rFonts w:ascii="Times New Roman" w:cs="Times New Roman" w:eastAsia="Times New Roman" w:hAnsi="Times New Roman"/>
            <w:sz w:val="18"/>
            <w:szCs w:val="18"/>
            <w:u w:val="single" w:color="auto"/>
            <w:color w:val="0000FF"/>
          </w:rPr>
          <w:t>Daktronics, Inc. Amended and Restated Employee Retention and Protection Plan, effective as of June 23, 2025 (incorporated by reference to</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Exhibit 10.1 filed with the Current Report on Form 8-K of Daktronics, Inc. filed on June 25, 2025).</w:t>
        </w:r>
        <w:r>
          <w:rPr>
            <w:rFonts w:ascii="Times New Roman" w:cs="Times New Roman" w:eastAsia="Times New Roman" w:hAnsi="Times New Roman"/>
            <w:sz w:val="23"/>
            <w:szCs w:val="23"/>
            <w:u w:val="single" w:color="auto"/>
            <w:color w:val="0000FF"/>
            <w:vertAlign w:val="superscript"/>
          </w:rPr>
          <w:t>(3)</w:t>
        </w:r>
      </w:hyperlink>
    </w:p>
    <w:p>
      <w:pPr>
        <w:spacing w:after="0" w:line="36" w:lineRule="exact"/>
        <w:rPr>
          <w:rFonts w:ascii="Times New Roman" w:cs="Times New Roman" w:eastAsia="Times New Roman" w:hAnsi="Times New Roman"/>
          <w:sz w:val="18"/>
          <w:szCs w:val="18"/>
          <w:color w:val="0000FF"/>
        </w:rPr>
      </w:pPr>
    </w:p>
    <w:p>
      <w:pPr>
        <w:jc w:val="both"/>
        <w:ind w:left="700" w:hanging="674"/>
        <w:spacing w:after="0" w:line="230" w:lineRule="auto"/>
        <w:tabs>
          <w:tab w:leader="none" w:pos="680" w:val="left"/>
        </w:tabs>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color w:val="0000FF"/>
          </w:rPr>
          <w:t>10.20</w:t>
        </w:r>
      </w:hyperlink>
      <w:r>
        <w:rPr>
          <w:rFonts w:ascii="Times New Roman" w:cs="Times New Roman" w:eastAsia="Times New Roman" w:hAnsi="Times New Roman"/>
          <w:sz w:val="18"/>
          <w:szCs w:val="18"/>
          <w:color w:val="0000FF"/>
        </w:rPr>
        <w:tab/>
      </w:r>
      <w:hyperlink r:id="rId163">
        <w:r>
          <w:rPr>
            <w:rFonts w:ascii="Times New Roman" w:cs="Times New Roman" w:eastAsia="Times New Roman" w:hAnsi="Times New Roman"/>
            <w:sz w:val="18"/>
            <w:szCs w:val="18"/>
            <w:u w:val="single" w:color="auto"/>
            <w:color w:val="0000FF"/>
          </w:rPr>
          <w:t>Amended and Restated Termination Agreement and General Release of Claims, effective as of February 1, 2026, by and between Bradley T.</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Wiemann and Daktronics, Inc (incorporated by reference to Exhibit 10.1 filed with the Current Report on Form 8-K of Daktronics, Inc. filed on</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February 20, 2026).</w:t>
        </w:r>
        <w:r>
          <w:rPr>
            <w:rFonts w:ascii="Times New Roman" w:cs="Times New Roman" w:eastAsia="Times New Roman" w:hAnsi="Times New Roman"/>
            <w:sz w:val="23"/>
            <w:szCs w:val="23"/>
            <w:u w:val="single" w:color="auto"/>
            <w:color w:val="0000FF"/>
            <w:vertAlign w:val="superscript"/>
          </w:rPr>
          <w:t>(3)</w:t>
        </w:r>
      </w:hyperlink>
    </w:p>
    <w:p>
      <w:pPr>
        <w:spacing w:after="0" w:line="25" w:lineRule="exact"/>
        <w:rPr>
          <w:rFonts w:ascii="Times New Roman" w:cs="Times New Roman" w:eastAsia="Times New Roman" w:hAnsi="Times New Roman"/>
          <w:sz w:val="18"/>
          <w:szCs w:val="18"/>
          <w:u w:val="single" w:color="auto"/>
          <w:color w:val="0000FF"/>
        </w:rPr>
      </w:pPr>
    </w:p>
    <w:p>
      <w:pPr>
        <w:jc w:val="both"/>
        <w:ind w:left="700" w:hanging="674"/>
        <w:spacing w:after="0" w:line="266" w:lineRule="auto"/>
        <w:tabs>
          <w:tab w:leader="none" w:pos="680" w:val="left"/>
        </w:tabs>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color w:val="0000FF"/>
          </w:rPr>
          <w:t>10.21</w:t>
        </w:r>
      </w:hyperlink>
      <w:r>
        <w:rPr>
          <w:rFonts w:ascii="Times New Roman" w:cs="Times New Roman" w:eastAsia="Times New Roman" w:hAnsi="Times New Roman"/>
          <w:sz w:val="18"/>
          <w:szCs w:val="18"/>
          <w:color w:val="0000FF"/>
        </w:rPr>
        <w:tab/>
      </w:r>
      <w:hyperlink r:id="rId164">
        <w:r>
          <w:rPr>
            <w:rFonts w:ascii="Times New Roman" w:cs="Times New Roman" w:eastAsia="Times New Roman" w:hAnsi="Times New Roman"/>
            <w:sz w:val="18"/>
            <w:szCs w:val="18"/>
            <w:u w:val="single" w:color="auto"/>
            <w:color w:val="0000FF"/>
          </w:rPr>
          <w:t>Credit Agreement, dated as of November 26, 2025, among Daktronics, Inc., the other Borrowers thereto, the other Loan Parties thereto, the</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Lenders party thereto, and JPMorgan Chase Bank, N.A., in its capacity as administrative agent for the Lenders (incorporated by reference to</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Exhibit 10.1 to the Company’s Current Report on Form 8-K filed with the SEC on December 3, 2025).</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700" w:hanging="674"/>
        <w:spacing w:after="0" w:line="266" w:lineRule="auto"/>
        <w:tabs>
          <w:tab w:leader="none" w:pos="680" w:val="left"/>
        </w:tabs>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color w:val="0000FF"/>
          </w:rPr>
          <w:t>10.22</w:t>
        </w:r>
      </w:hyperlink>
      <w:r>
        <w:rPr>
          <w:rFonts w:ascii="Times New Roman" w:cs="Times New Roman" w:eastAsia="Times New Roman" w:hAnsi="Times New Roman"/>
          <w:sz w:val="18"/>
          <w:szCs w:val="18"/>
          <w:color w:val="0000FF"/>
        </w:rPr>
        <w:tab/>
      </w:r>
      <w:hyperlink r:id="rId165">
        <w:r>
          <w:rPr>
            <w:rFonts w:ascii="Times New Roman" w:cs="Times New Roman" w:eastAsia="Times New Roman" w:hAnsi="Times New Roman"/>
            <w:sz w:val="18"/>
            <w:szCs w:val="18"/>
            <w:u w:val="single" w:color="auto"/>
            <w:color w:val="0000FF"/>
          </w:rPr>
          <w:t>Pledge and Security Agreement, dated as of November 26, 2025, by and among Daktronics, Inc., Daktronics Installation, Inc., the other Grantors</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thereto, and JPMorgan Chase Bank, N.A., in its capacity as administrative agent for the Secured Parties (incorporated by reference to Exhibit</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10.2 to the Company’s Current Report on Form 8-K filed with the SEC on December 3, 2025).</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5"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680" w:val="left"/>
        </w:tabs>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color w:val="0000FF"/>
          </w:rPr>
          <w:t>10.23</w:t>
        </w:r>
      </w:hyperlink>
      <w:r>
        <w:rPr>
          <w:rFonts w:ascii="Times New Roman" w:cs="Times New Roman" w:eastAsia="Times New Roman" w:hAnsi="Times New Roman"/>
          <w:sz w:val="18"/>
          <w:szCs w:val="18"/>
          <w:color w:val="0000FF"/>
        </w:rPr>
        <w:tab/>
      </w:r>
      <w:hyperlink r:id="rId167">
        <w:r>
          <w:rPr>
            <w:rFonts w:ascii="Times New Roman" w:cs="Times New Roman" w:eastAsia="Times New Roman" w:hAnsi="Times New Roman"/>
            <w:sz w:val="18"/>
            <w:szCs w:val="18"/>
            <w:u w:val="single" w:color="auto"/>
            <w:color w:val="0000FF"/>
          </w:rPr>
          <w:t>Letter Agreement, dated as of November 25, 2025, by and between Daktronics, Inc. and Ramesh Jayaraman (incorporated by reference to Exhibit</w:t>
        </w:r>
      </w:hyperlink>
    </w:p>
    <w:p>
      <w:pPr>
        <w:spacing w:after="0" w:line="27" w:lineRule="exact"/>
        <w:rPr>
          <w:sz w:val="20"/>
          <w:szCs w:val="20"/>
          <w:color w:val="auto"/>
        </w:rPr>
      </w:pPr>
    </w:p>
    <w:p>
      <w:pPr>
        <w:ind w:left="700"/>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10.1 to the Company’s Current Report on Form 8-K filed with the SEC on December 3, 2025).*</w:t>
        </w:r>
      </w:hyperlink>
    </w:p>
    <w:p>
      <w:pPr>
        <w:spacing w:after="0" w:line="45" w:lineRule="exact"/>
        <w:rPr>
          <w:sz w:val="20"/>
          <w:szCs w:val="20"/>
          <w:color w:val="auto"/>
        </w:rPr>
      </w:pPr>
    </w:p>
    <w:p>
      <w:pPr>
        <w:ind w:left="700" w:right="20" w:hanging="674"/>
        <w:spacing w:after="0" w:line="281" w:lineRule="auto"/>
        <w:tabs>
          <w:tab w:leader="none" w:pos="680" w:val="left"/>
        </w:tabs>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color w:val="0000FF"/>
          </w:rPr>
          <w:t>10.24</w:t>
        </w:r>
      </w:hyperlink>
      <w:r>
        <w:rPr>
          <w:rFonts w:ascii="Times New Roman" w:cs="Times New Roman" w:eastAsia="Times New Roman" w:hAnsi="Times New Roman"/>
          <w:sz w:val="18"/>
          <w:szCs w:val="18"/>
          <w:color w:val="0000FF"/>
        </w:rPr>
        <w:tab/>
      </w:r>
      <w:hyperlink r:id="rId168">
        <w:r>
          <w:rPr>
            <w:rFonts w:ascii="Times New Roman" w:cs="Times New Roman" w:eastAsia="Times New Roman" w:hAnsi="Times New Roman"/>
            <w:sz w:val="18"/>
            <w:szCs w:val="18"/>
            <w:u w:val="single" w:color="auto"/>
            <w:color w:val="0000FF"/>
          </w:rPr>
          <w:t>Separation and Release Agreement, effective January 31, 2026, by and between Carla S. Gatzke and Daktronics, Inc. (incorporated by reference</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to Exhibit 10.1 to the Company’s Current Report on Form 8-K filed with the SEC on January 21, 2026).*</w:t>
        </w:r>
      </w:hyperlink>
    </w:p>
    <w:p>
      <w:pPr>
        <w:spacing w:after="0" w:line="1" w:lineRule="exact"/>
        <w:rPr>
          <w:rFonts w:ascii="Times New Roman" w:cs="Times New Roman" w:eastAsia="Times New Roman" w:hAnsi="Times New Roman"/>
          <w:sz w:val="18"/>
          <w:szCs w:val="18"/>
          <w:color w:val="0000FF"/>
        </w:rPr>
      </w:pPr>
    </w:p>
    <w:p>
      <w:pPr>
        <w:ind w:left="20"/>
        <w:spacing w:after="0"/>
        <w:tabs>
          <w:tab w:leader="none" w:pos="680" w:val="left"/>
        </w:tabs>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color w:val="0000FF"/>
          </w:rPr>
          <w:t>10.25</w:t>
        </w:r>
      </w:hyperlink>
      <w:r>
        <w:rPr>
          <w:rFonts w:ascii="Times New Roman" w:cs="Times New Roman" w:eastAsia="Times New Roman" w:hAnsi="Times New Roman"/>
          <w:sz w:val="18"/>
          <w:szCs w:val="18"/>
          <w:color w:val="0000FF"/>
        </w:rPr>
        <w:tab/>
      </w:r>
      <w:hyperlink r:id="rId169">
        <w:r>
          <w:rPr>
            <w:rFonts w:ascii="Times New Roman" w:cs="Times New Roman" w:eastAsia="Times New Roman" w:hAnsi="Times New Roman"/>
            <w:sz w:val="18"/>
            <w:szCs w:val="18"/>
            <w:u w:val="single" w:color="auto"/>
            <w:color w:val="0000FF"/>
          </w:rPr>
          <w:t>Consulting Agreement, effective January 31, 2026, by and between Carla S. Gatzke and Daktronics, Inc. (incorporated by reference to Exhibit</w:t>
        </w:r>
      </w:hyperlink>
    </w:p>
    <w:p>
      <w:pPr>
        <w:spacing w:after="0" w:line="27" w:lineRule="exact"/>
        <w:rPr>
          <w:sz w:val="20"/>
          <w:szCs w:val="20"/>
          <w:color w:val="auto"/>
        </w:rPr>
      </w:pPr>
    </w:p>
    <w:p>
      <w:pPr>
        <w:ind w:left="700"/>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10.2 to the Company’s Current Report on Form 8-K filed with the SEC on January 21, 2026).*</w:t>
        </w:r>
      </w:hyperlink>
    </w:p>
    <w:p>
      <w:pPr>
        <w:spacing w:after="0" w:line="41" w:lineRule="exact"/>
        <w:rPr>
          <w:sz w:val="20"/>
          <w:szCs w:val="20"/>
          <w:color w:val="auto"/>
        </w:rPr>
      </w:pPr>
    </w:p>
    <w:p>
      <w:pPr>
        <w:ind w:left="700" w:hanging="674"/>
        <w:spacing w:after="0"/>
        <w:tabs>
          <w:tab w:leader="none" w:pos="700" w:val="left"/>
        </w:tabs>
        <w:numPr>
          <w:ilvl w:val="0"/>
          <w:numId w:val="2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Daktronics, Inc. Insider Trading Policy</w:t>
      </w:r>
      <w:r>
        <w:rPr>
          <w:rFonts w:ascii="Times New Roman" w:cs="Times New Roman" w:eastAsia="Times New Roman" w:hAnsi="Times New Roman"/>
          <w:sz w:val="23"/>
          <w:szCs w:val="23"/>
          <w:color w:val="0000FF"/>
          <w:vertAlign w:val="superscript"/>
        </w:rPr>
        <w:t>(1)</w:t>
      </w:r>
    </w:p>
    <w:p>
      <w:pPr>
        <w:spacing w:after="0" w:line="28" w:lineRule="exact"/>
        <w:rPr>
          <w:rFonts w:ascii="Times New Roman" w:cs="Times New Roman" w:eastAsia="Times New Roman" w:hAnsi="Times New Roman"/>
          <w:sz w:val="18"/>
          <w:szCs w:val="18"/>
          <w:color w:val="0000FF"/>
        </w:rPr>
      </w:pPr>
    </w:p>
    <w:p>
      <w:pPr>
        <w:ind w:left="20"/>
        <w:spacing w:after="0" w:line="18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21.1</w:t>
      </w:r>
      <w:r>
        <w:rPr>
          <w:rFonts w:ascii="Times New Roman" w:cs="Times New Roman" w:eastAsia="Times New Roman" w:hAnsi="Times New Roman"/>
          <w:sz w:val="17"/>
          <w:szCs w:val="17"/>
          <w:u w:val="single" w:color="auto"/>
          <w:color w:val="0000FF"/>
        </w:rPr>
        <w:t xml:space="preserve">Subsidiaries of the Company. </w:t>
      </w:r>
      <w:r>
        <w:rPr>
          <w:rFonts w:ascii="Times New Roman" w:cs="Times New Roman" w:eastAsia="Times New Roman" w:hAnsi="Times New Roman"/>
          <w:sz w:val="27"/>
          <w:szCs w:val="27"/>
          <w:u w:val="single" w:color="auto"/>
          <w:color w:val="0000FF"/>
          <w:vertAlign w:val="superscript"/>
        </w:rPr>
        <w:t>(1)</w:t>
      </w:r>
    </w:p>
    <w:p>
      <w:pPr>
        <w:ind w:left="20"/>
        <w:spacing w:after="0" w:line="198"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23.1</w:t>
      </w:r>
      <w:r>
        <w:rPr>
          <w:rFonts w:ascii="Times New Roman" w:cs="Times New Roman" w:eastAsia="Times New Roman" w:hAnsi="Times New Roman"/>
          <w:sz w:val="17"/>
          <w:szCs w:val="17"/>
          <w:u w:val="single" w:color="auto"/>
          <w:color w:val="0000FF"/>
        </w:rPr>
        <w:t xml:space="preserve">Consent of Deloitte &amp; Touche LLP. </w:t>
      </w:r>
      <w:r>
        <w:rPr>
          <w:rFonts w:ascii="Times New Roman" w:cs="Times New Roman" w:eastAsia="Times New Roman" w:hAnsi="Times New Roman"/>
          <w:sz w:val="27"/>
          <w:szCs w:val="27"/>
          <w:u w:val="single" w:color="auto"/>
          <w:color w:val="0000FF"/>
          <w:vertAlign w:val="superscript"/>
        </w:rPr>
        <w:t>(1)</w:t>
      </w:r>
    </w:p>
    <w:p>
      <w:pPr>
        <w:ind w:left="700" w:hanging="674"/>
        <w:spacing w:after="0" w:line="191" w:lineRule="auto"/>
        <w:tabs>
          <w:tab w:leader="none" w:pos="700" w:val="left"/>
        </w:tabs>
        <w:numPr>
          <w:ilvl w:val="0"/>
          <w:numId w:val="2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 xml:space="preserve">Power of Attorney. </w:t>
      </w:r>
      <w:r>
        <w:rPr>
          <w:rFonts w:ascii="Times New Roman" w:cs="Times New Roman" w:eastAsia="Times New Roman" w:hAnsi="Times New Roman"/>
          <w:sz w:val="28"/>
          <w:szCs w:val="28"/>
          <w:u w:val="single" w:color="auto"/>
          <w:color w:val="0000FF"/>
          <w:vertAlign w:val="superscript"/>
        </w:rPr>
        <w:t>(1)</w:t>
      </w:r>
    </w:p>
    <w:p>
      <w:pPr>
        <w:ind w:left="700" w:hanging="674"/>
        <w:spacing w:after="0" w:line="260" w:lineRule="auto"/>
        <w:tabs>
          <w:tab w:leader="none" w:pos="680" w:val="left"/>
        </w:tabs>
        <w:rPr>
          <w:sz w:val="20"/>
          <w:szCs w:val="20"/>
          <w:color w:val="auto"/>
        </w:rPr>
      </w:pPr>
      <w:r>
        <w:rPr>
          <w:rFonts w:ascii="Times New Roman" w:cs="Times New Roman" w:eastAsia="Times New Roman" w:hAnsi="Times New Roman"/>
          <w:sz w:val="18"/>
          <w:szCs w:val="18"/>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of the Principal Executive Officer required by Rule 13a-14(a) or Rule 15d-14(a) under the Securities Exchange Act of 1934, as adopted pursuant to Section 302 of the Sarbanes-Oxley Act of 2002. (1)</w:t>
      </w:r>
    </w:p>
    <w:p>
      <w:pPr>
        <w:spacing w:after="0" w:line="1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0000FF"/>
        </w:rPr>
        <w:t>31.2</w:t>
      </w:r>
      <w:r>
        <w:rPr>
          <w:sz w:val="20"/>
          <w:szCs w:val="20"/>
          <w:color w:val="auto"/>
        </w:rPr>
        <w:tab/>
      </w:r>
      <w:r>
        <w:rPr>
          <w:rFonts w:ascii="Times New Roman" w:cs="Times New Roman" w:eastAsia="Times New Roman" w:hAnsi="Times New Roman"/>
          <w:sz w:val="18"/>
          <w:szCs w:val="18"/>
          <w:u w:val="single" w:color="auto"/>
          <w:color w:val="0000FF"/>
        </w:rPr>
        <w:t>Certification of the Principal Financial Officer required by Rule 13a-14(a) or Rule 15d-14(a) under the Securities Exchange Act of 1934, as</w:t>
      </w:r>
    </w:p>
    <w:p>
      <w:pPr>
        <w:ind w:left="700"/>
        <w:spacing w:after="0" w:line="199" w:lineRule="auto"/>
        <w:rPr>
          <w:sz w:val="20"/>
          <w:szCs w:val="20"/>
          <w:color w:val="auto"/>
        </w:rPr>
      </w:pPr>
      <w:r>
        <w:rPr>
          <w:rFonts w:ascii="Times New Roman" w:cs="Times New Roman" w:eastAsia="Times New Roman" w:hAnsi="Times New Roman"/>
          <w:sz w:val="18"/>
          <w:szCs w:val="18"/>
          <w:u w:val="single" w:color="auto"/>
          <w:color w:val="0000FF"/>
        </w:rPr>
        <w:t>adopted pursuant to Section 302 of the Sarbanes-Oxley Act of 2002.(1)</w:t>
      </w:r>
    </w:p>
    <w:p>
      <w:pPr>
        <w:ind w:left="10100"/>
        <w:spacing w:after="0" w:line="182" w:lineRule="auto"/>
        <w:rPr>
          <w:sz w:val="20"/>
          <w:szCs w:val="20"/>
          <w:color w:val="auto"/>
        </w:rPr>
      </w:pPr>
      <w:r>
        <w:rPr>
          <w:rFonts w:ascii="Times New Roman" w:cs="Times New Roman" w:eastAsia="Times New Roman" w:hAnsi="Times New Roman"/>
          <w:sz w:val="13"/>
          <w:szCs w:val="13"/>
          <w:u w:val="single" w:color="auto"/>
          <w:color w:val="0000FF"/>
        </w:rPr>
        <w:t>(2)</w:t>
      </w:r>
    </w:p>
    <w:p>
      <w:pPr>
        <w:ind w:left="20"/>
        <w:spacing w:after="0" w:line="198" w:lineRule="auto"/>
        <w:tabs>
          <w:tab w:leader="none" w:pos="680" w:val="left"/>
        </w:tabs>
        <w:rPr>
          <w:sz w:val="20"/>
          <w:szCs w:val="20"/>
          <w:color w:val="auto"/>
        </w:rPr>
      </w:pPr>
      <w:r>
        <w:rPr>
          <w:rFonts w:ascii="Times New Roman" w:cs="Times New Roman" w:eastAsia="Times New Roman" w:hAnsi="Times New Roman"/>
          <w:sz w:val="18"/>
          <w:szCs w:val="18"/>
          <w:color w:val="0000FF"/>
        </w:rPr>
        <w:t>32.1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Section 906 of the Sarbanes-Oxley Act of 2002 (18 U.S.C. Section 1350).</w:t>
      </w:r>
      <w:r>
        <w:rPr>
          <w:rFonts w:ascii="Times New Roman" w:cs="Times New Roman" w:eastAsia="Times New Roman" w:hAnsi="Times New Roman"/>
          <w:sz w:val="27"/>
          <w:szCs w:val="27"/>
          <w:u w:val="single" w:color="auto"/>
          <w:color w:val="0000FF"/>
          <w:vertAlign w:val="subscript"/>
        </w:rPr>
        <w:t>(2)</w:t>
      </w:r>
    </w:p>
    <w:p>
      <w:pPr>
        <w:spacing w:after="0" w:line="1"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0000FF"/>
        </w:rPr>
        <w:t>32.2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Section 906 of the Sarbanes-Oxley Act of 2002 (18 U.S.C. Section 1350).</w:t>
      </w:r>
    </w:p>
    <w:p>
      <w:pPr>
        <w:spacing w:after="0" w:line="30" w:lineRule="exact"/>
        <w:rPr>
          <w:sz w:val="20"/>
          <w:szCs w:val="20"/>
          <w:color w:val="auto"/>
        </w:rPr>
      </w:pPr>
    </w:p>
    <w:p>
      <w:pPr>
        <w:ind w:left="700" w:hanging="674"/>
        <w:spacing w:after="0" w:line="266" w:lineRule="auto"/>
        <w:tabs>
          <w:tab w:leader="none" w:pos="700" w:val="left"/>
        </w:tabs>
        <w:numPr>
          <w:ilvl w:val="0"/>
          <w:numId w:val="28"/>
        </w:numPr>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Daktronics, Inc. Clawback Policy (incorporated by reference to Exhibit 97 to our Annual Report on Form 10-K filed with the SEC on June 26,</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2024).</w:t>
        </w:r>
      </w:hyperlink>
    </w:p>
    <w:p>
      <w:pPr>
        <w:spacing w:after="0" w:line="14" w:lineRule="exact"/>
        <w:rPr>
          <w:rFonts w:ascii="Times New Roman" w:cs="Times New Roman" w:eastAsia="Times New Roman" w:hAnsi="Times New Roman"/>
          <w:sz w:val="18"/>
          <w:szCs w:val="18"/>
          <w:color w:val="0000FF"/>
        </w:rPr>
      </w:pPr>
    </w:p>
    <w:p>
      <w:pPr>
        <w:jc w:val="both"/>
        <w:ind w:left="700" w:hanging="674"/>
        <w:spacing w:after="0" w:line="225"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Form 10-K, formatted in Inline Extensible Business Reporting Language (iXBRL): (i) the Consolidated Balance Sheets, (ii) the Consolidated Statements of Operations, (iii) the Consolidated Statements of Comprehensive Income, (iv) the Consolidated Statements of Stockholders’ Equity, (v) the Consolidated Statements of Cash Flows, and (vi) Notes to Consolidated Financial Statements.</w:t>
      </w:r>
      <w:r>
        <w:rPr>
          <w:rFonts w:ascii="Times New Roman" w:cs="Times New Roman" w:eastAsia="Times New Roman" w:hAnsi="Times New Roman"/>
          <w:sz w:val="28"/>
          <w:szCs w:val="28"/>
          <w:color w:val="auto"/>
          <w:vertAlign w:val="superscript"/>
        </w:rPr>
        <w:t>(1)</w:t>
      </w:r>
    </w:p>
    <w:p>
      <w:pPr>
        <w:spacing w:after="0" w:line="2" w:lineRule="exact"/>
        <w:rPr>
          <w:rFonts w:ascii="Times New Roman" w:cs="Times New Roman" w:eastAsia="Times New Roman" w:hAnsi="Times New Roman"/>
          <w:sz w:val="18"/>
          <w:szCs w:val="18"/>
          <w:color w:val="0000FF"/>
        </w:rPr>
      </w:pPr>
    </w:p>
    <w:p>
      <w:pPr>
        <w:ind w:left="700" w:hanging="674"/>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r>
        <w:rPr>
          <w:rFonts w:ascii="Times New Roman" w:cs="Times New Roman" w:eastAsia="Times New Roman" w:hAnsi="Times New Roman"/>
          <w:sz w:val="23"/>
          <w:szCs w:val="23"/>
          <w:color w:val="auto"/>
          <w:vertAlign w:val="superscript"/>
        </w:rPr>
        <w:t>(1)</w:t>
      </w:r>
    </w:p>
    <w:p>
      <w:pPr>
        <w:spacing w:after="0" w:line="16"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43"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electronically.</w:t>
      </w:r>
    </w:p>
    <w:p>
      <w:pPr>
        <w:spacing w:after="0" w:line="63" w:lineRule="exact"/>
        <w:rPr>
          <w:rFonts w:ascii="Times New Roman" w:cs="Times New Roman" w:eastAsia="Times New Roman" w:hAnsi="Times New Roman"/>
          <w:sz w:val="18"/>
          <w:szCs w:val="18"/>
          <w:color w:val="0000FF"/>
        </w:rPr>
      </w:pPr>
    </w:p>
    <w:p>
      <w:pPr>
        <w:ind w:left="700"/>
        <w:spacing w:after="0"/>
        <w:rPr>
          <w:sz w:val="20"/>
          <w:szCs w:val="20"/>
          <w:color w:val="auto"/>
        </w:rPr>
      </w:pPr>
      <w:r>
        <w:rPr>
          <w:rFonts w:ascii="Times New Roman" w:cs="Times New Roman" w:eastAsia="Times New Roman" w:hAnsi="Times New Roman"/>
          <w:sz w:val="18"/>
          <w:szCs w:val="18"/>
          <w:color w:val="auto"/>
        </w:rPr>
        <w:t>* Indicates a management contract or compensatory plan, contract, or arrangement</w:t>
      </w:r>
    </w:p>
    <w:p>
      <w:pPr>
        <w:spacing w:after="0" w:line="224" w:lineRule="exact"/>
        <w:rPr>
          <w:rFonts w:ascii="Times New Roman" w:cs="Times New Roman" w:eastAsia="Times New Roman" w:hAnsi="Times New Roman"/>
          <w:sz w:val="18"/>
          <w:szCs w:val="18"/>
          <w:color w:val="0000FF"/>
        </w:rPr>
      </w:pPr>
    </w:p>
    <w:p>
      <w:pPr>
        <w:ind w:left="20"/>
        <w:spacing w:after="0" w:line="223" w:lineRule="auto"/>
        <w:rPr>
          <w:sz w:val="20"/>
          <w:szCs w:val="20"/>
          <w:color w:val="auto"/>
        </w:rPr>
      </w:pPr>
      <w:r>
        <w:rPr>
          <w:rFonts w:ascii="Times New Roman" w:cs="Times New Roman" w:eastAsia="Times New Roman" w:hAnsi="Times New Roman"/>
          <w:sz w:val="18"/>
          <w:szCs w:val="18"/>
          <w:color w:val="auto"/>
        </w:rPr>
        <w:t>All Sport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Camino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Daktronics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DataTime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Fuelight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Fuelink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Galaxy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Matside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Show Control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Vanguard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and Venus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are trademarks of Daktronics, Inc. All other trademarks referenced are the intellectual property of their respective companies.</w:t>
      </w:r>
    </w:p>
    <w:p>
      <w:pPr>
        <w:spacing w:after="0" w:line="316" w:lineRule="exact"/>
        <w:rPr>
          <w:rFonts w:ascii="Times New Roman" w:cs="Times New Roman" w:eastAsia="Times New Roman" w:hAnsi="Times New Roman"/>
          <w:sz w:val="18"/>
          <w:szCs w:val="18"/>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8" w:lineRule="exact"/>
        <w:rPr>
          <w:rFonts w:ascii="Times New Roman" w:cs="Times New Roman" w:eastAsia="Times New Roman" w:hAnsi="Times New Roman"/>
          <w:sz w:val="18"/>
          <w:szCs w:val="18"/>
          <w:color w:val="0000FF"/>
        </w:rPr>
      </w:pPr>
    </w:p>
    <w:p>
      <w:pPr>
        <w:spacing w:after="0"/>
        <w:rPr>
          <w:sz w:val="20"/>
          <w:szCs w:val="20"/>
          <w:color w:val="auto"/>
        </w:rPr>
      </w:pPr>
      <w:r>
        <w:rPr>
          <w:rFonts w:ascii="Times New Roman" w:cs="Times New Roman" w:eastAsia="Times New Roman" w:hAnsi="Times New Roman"/>
          <w:sz w:val="18"/>
          <w:szCs w:val="18"/>
          <w:color w:val="auto"/>
        </w:rPr>
        <w:t>None</w:t>
      </w:r>
      <w:r>
        <w:rPr>
          <w:rFonts w:ascii="Arial" w:cs="Arial" w:eastAsia="Arial" w:hAnsi="Arial"/>
          <w:sz w:val="18"/>
          <w:szCs w:val="18"/>
          <w:color w:val="auto"/>
        </w:rPr>
        <w:t>.</w:t>
      </w: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3"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 on June 24, 2026.</w:t>
      </w:r>
    </w:p>
    <w:p>
      <w:pPr>
        <w:spacing w:after="0" w:line="2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5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u w:val="single" w:color="auto"/>
          <w:color w:val="auto"/>
        </w:rPr>
        <w:t>By: /s/ Ramesh Jayaraman</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u w:val="single" w:color="auto"/>
          <w:color w:val="auto"/>
        </w:rPr>
        <w:t>By: /s/ Howard I. Atkins</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86"/>
        </w:trPr>
        <w:tc>
          <w:tcPr>
            <w:tcW w:w="1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By /s/ Howard I. Atkins</w:t>
            </w:r>
          </w:p>
        </w:tc>
        <w:tc>
          <w:tcPr>
            <w:tcW w:w="2100" w:type="dxa"/>
            <w:vAlign w:val="bottom"/>
            <w:gridSpan w:val="5"/>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Howard I. Atkins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By /s/ Mark F. Bowser</w:t>
            </w:r>
          </w:p>
        </w:tc>
        <w:tc>
          <w:tcPr>
            <w:tcW w:w="2200" w:type="dxa"/>
            <w:vAlign w:val="bottom"/>
            <w:gridSpan w:val="6"/>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Mark F. Bowser</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Dr. Lance D. Bultena</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0"/>
        </w:trPr>
        <w:tc>
          <w:tcPr>
            <w:tcW w:w="1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Dr. Lance D. Bultena</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By /s/ Peter Feigin</w:t>
            </w:r>
          </w:p>
        </w:tc>
        <w:tc>
          <w:tcPr>
            <w:tcW w:w="2480" w:type="dxa"/>
            <w:vAlign w:val="bottom"/>
            <w:gridSpan w:val="8"/>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Peter Feigin</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By /s/ John P. Friel</w:t>
            </w:r>
          </w:p>
        </w:tc>
        <w:tc>
          <w:tcPr>
            <w:tcW w:w="2460" w:type="dxa"/>
            <w:vAlign w:val="bottom"/>
            <w:gridSpan w:val="7"/>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John P. Friel</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Neil D. Glat</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0"/>
        </w:trPr>
        <w:tc>
          <w:tcPr>
            <w:tcW w:w="1360" w:type="dxa"/>
            <w:vAlign w:val="bottom"/>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Neil D. Glat</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Dr. José-Marie Griffiths</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0"/>
        </w:trPr>
        <w:tc>
          <w:tcPr>
            <w:tcW w:w="178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Dr. José-Marie Griffiths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Ramesh Jayaraman</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0"/>
        </w:trPr>
        <w:tc>
          <w:tcPr>
            <w:tcW w:w="178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Ramesh Jayaraman</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By /s/ Andrew D. Siegel</w:t>
            </w:r>
          </w:p>
        </w:tc>
        <w:tc>
          <w:tcPr>
            <w:tcW w:w="2060" w:type="dxa"/>
            <w:vAlign w:val="bottom"/>
            <w:gridSpan w:val="4"/>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Andrew D. Siegel</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2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By /s/ Shereta D. Williams</w:t>
            </w:r>
          </w:p>
        </w:tc>
        <w:tc>
          <w:tcPr>
            <w:tcW w:w="1840" w:type="dxa"/>
            <w:vAlign w:val="bottom"/>
            <w:gridSpan w:val="2"/>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Shereta D. Williams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21" w:right="339" w:bottom="1440" w:gutter="0" w:footer="0" w:header="0"/>
        </w:sectPr>
      </w:pPr>
    </w:p>
    <w:bookmarkStart w:id="96" w:name="page97"/>
    <w:bookmarkEnd w:id="96"/>
    <w:p>
      <w:pPr>
        <w:ind w:left="10480"/>
        <w:spacing w:after="0"/>
        <w:rPr>
          <w:sz w:val="20"/>
          <w:szCs w:val="20"/>
          <w:color w:val="auto"/>
        </w:rPr>
      </w:pPr>
      <w:r>
        <w:rPr>
          <w:rFonts w:ascii="Times New Roman" w:cs="Times New Roman" w:eastAsia="Times New Roman" w:hAnsi="Times New Roman"/>
          <w:sz w:val="18"/>
          <w:szCs w:val="18"/>
          <w:color w:val="auto"/>
        </w:rPr>
        <w:t>Exhibit 19</w:t>
      </w:r>
    </w:p>
    <w:p>
      <w:pPr>
        <w:spacing w:after="0" w:line="14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u w:val="single" w:color="auto"/>
          <w:color w:val="auto"/>
        </w:rPr>
        <w:t>Daktronics, Inc.</w:t>
      </w:r>
    </w:p>
    <w:p>
      <w:pPr>
        <w:spacing w:after="0" w:line="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u w:val="single" w:color="auto"/>
          <w:color w:val="auto"/>
        </w:rPr>
        <w:t>Insider Trading Policy</w:t>
      </w:r>
    </w:p>
    <w:p>
      <w:pPr>
        <w:jc w:val="center"/>
        <w:spacing w:after="0"/>
        <w:rPr>
          <w:sz w:val="20"/>
          <w:szCs w:val="20"/>
          <w:color w:val="auto"/>
        </w:rPr>
      </w:pPr>
      <w:r>
        <w:rPr>
          <w:rFonts w:ascii="Times New Roman" w:cs="Times New Roman" w:eastAsia="Times New Roman" w:hAnsi="Times New Roman"/>
          <w:sz w:val="20"/>
          <w:szCs w:val="20"/>
          <w:color w:val="auto"/>
        </w:rPr>
        <w:t>(Effective June 22,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Purpose/Summary:</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Insider Trading Policy (this "Policy") applies to the directors, officers, and employees of Daktronics, Inc. and each of its subsidiaries (collectively, the “Company”). The Purpose of the Policy is to promote compliance with applicable securities laws. Failure to comply with the prohibition on insider trading under federal and state securities laws can result in reputational damage to the individual violator and the Company, and subject the individual and, in some cases, the Company, to strict penalties, including substantial fines or even imprisonment.</w:t>
      </w:r>
    </w:p>
    <w:p>
      <w:pPr>
        <w:spacing w:after="0" w:line="209" w:lineRule="exact"/>
        <w:rPr>
          <w:sz w:val="20"/>
          <w:szCs w:val="20"/>
          <w:color w:val="auto"/>
        </w:rPr>
      </w:pPr>
    </w:p>
    <w:p>
      <w:pPr>
        <w:ind w:left="420" w:hanging="304"/>
        <w:spacing w:after="0"/>
        <w:tabs>
          <w:tab w:leader="none" w:pos="42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32" w:lineRule="exact"/>
        <w:rPr>
          <w:rFonts w:ascii="Times New Roman" w:cs="Times New Roman" w:eastAsia="Times New Roman" w:hAnsi="Times New Roman"/>
          <w:sz w:val="20"/>
          <w:szCs w:val="20"/>
          <w:b w:val="1"/>
          <w:bCs w:val="1"/>
          <w:color w:val="auto"/>
        </w:rPr>
      </w:pPr>
    </w:p>
    <w:p>
      <w:pPr>
        <w:ind w:left="440"/>
        <w:spacing w:after="0" w:line="30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“10b5-1 Plan" </w:t>
      </w:r>
      <w:r>
        <w:rPr>
          <w:rFonts w:ascii="Times New Roman" w:cs="Times New Roman" w:eastAsia="Times New Roman" w:hAnsi="Times New Roman"/>
          <w:sz w:val="20"/>
          <w:szCs w:val="20"/>
          <w:color w:val="auto"/>
        </w:rPr>
        <w:t>means a plan for Trading in Securities of the Company (“Company Securities”) that satisfies the requirements of Rule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10b5-1 under the Securities Exchange Act of 1934, as amended (the "Exchange Act").</w:t>
      </w: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Blackout Period”</w:t>
      </w:r>
      <w:r>
        <w:rPr>
          <w:rFonts w:ascii="Times New Roman" w:cs="Times New Roman" w:eastAsia="Times New Roman" w:hAnsi="Times New Roman"/>
          <w:sz w:val="20"/>
          <w:szCs w:val="20"/>
          <w:color w:val="auto"/>
        </w:rPr>
        <w:t xml:space="preserve"> means a designated period of time in which Covered Persons are not permitted to Trade in Securities</w:t>
      </w:r>
    </w:p>
    <w:p>
      <w:pPr>
        <w:spacing w:after="0" w:line="32" w:lineRule="exact"/>
        <w:rPr>
          <w:sz w:val="20"/>
          <w:szCs w:val="20"/>
          <w:color w:val="auto"/>
        </w:rPr>
      </w:pPr>
    </w:p>
    <w:p>
      <w:pPr>
        <w:jc w:val="both"/>
        <w:ind w:left="420" w:right="2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“Material Nonpublic Information” </w:t>
      </w:r>
      <w:r>
        <w:rPr>
          <w:rFonts w:ascii="Times New Roman" w:cs="Times New Roman" w:eastAsia="Times New Roman" w:hAnsi="Times New Roman"/>
          <w:sz w:val="20"/>
          <w:szCs w:val="20"/>
          <w:color w:val="auto"/>
        </w:rPr>
        <w:t>means information that is both “</w:t>
      </w:r>
      <w:r>
        <w:rPr>
          <w:rFonts w:ascii="Times New Roman" w:cs="Times New Roman" w:eastAsia="Times New Roman" w:hAnsi="Times New Roman"/>
          <w:sz w:val="20"/>
          <w:szCs w:val="20"/>
          <w:i w:val="1"/>
          <w:iCs w:val="1"/>
          <w:color w:val="auto"/>
        </w:rPr>
        <w:t>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t>
      </w:r>
      <w:r>
        <w:rPr>
          <w:rFonts w:ascii="Times New Roman" w:cs="Times New Roman" w:eastAsia="Times New Roman" w:hAnsi="Times New Roman"/>
          <w:sz w:val="20"/>
          <w:szCs w:val="20"/>
          <w:i w:val="1"/>
          <w:iCs w:val="1"/>
          <w:color w:val="auto"/>
        </w:rPr>
        <w:t>nonpublic”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more fully described 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w:t>
      </w:r>
    </w:p>
    <w:p>
      <w:pPr>
        <w:spacing w:after="0" w:line="225" w:lineRule="exact"/>
        <w:rPr>
          <w:sz w:val="20"/>
          <w:szCs w:val="20"/>
          <w:color w:val="auto"/>
        </w:rPr>
      </w:pPr>
    </w:p>
    <w:p>
      <w:pPr>
        <w:jc w:val="both"/>
        <w:ind w:left="420" w:right="20"/>
        <w:spacing w:after="0" w:line="329" w:lineRule="auto"/>
        <w:rPr>
          <w:sz w:val="20"/>
          <w:szCs w:val="20"/>
          <w:color w:val="auto"/>
        </w:rPr>
      </w:pPr>
      <w:r>
        <w:rPr>
          <w:rFonts w:ascii="Times New Roman" w:cs="Times New Roman" w:eastAsia="Times New Roman" w:hAnsi="Times New Roman"/>
          <w:sz w:val="19"/>
          <w:szCs w:val="19"/>
          <w:b w:val="1"/>
          <w:bCs w:val="1"/>
          <w:color w:val="auto"/>
        </w:rPr>
        <w:t xml:space="preserve">“Quarterly Blackout Period” </w:t>
      </w:r>
      <w:r>
        <w:rPr>
          <w:rFonts w:ascii="Times New Roman" w:cs="Times New Roman" w:eastAsia="Times New Roman" w:hAnsi="Times New Roman"/>
          <w:sz w:val="19"/>
          <w:szCs w:val="19"/>
          <w:color w:val="auto"/>
        </w:rPr>
        <w:t>means the period commencing on the date that is thirteen (13) calendar days prior to the last day of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fiscal quarter and ending when two full trading days have passed after the Company has announced its results for such fiscal quarter.</w:t>
      </w:r>
    </w:p>
    <w:p>
      <w:pPr>
        <w:spacing w:after="0" w:line="63" w:lineRule="exact"/>
        <w:rPr>
          <w:sz w:val="20"/>
          <w:szCs w:val="20"/>
          <w:color w:val="auto"/>
        </w:rPr>
      </w:pPr>
    </w:p>
    <w:p>
      <w:pPr>
        <w:jc w:val="both"/>
        <w:ind w:left="4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w:t>
      </w:r>
      <w:r>
        <w:rPr>
          <w:rFonts w:ascii="Times New Roman" w:cs="Times New Roman" w:eastAsia="Times New Roman" w:hAnsi="Times New Roman"/>
          <w:sz w:val="20"/>
          <w:szCs w:val="20"/>
          <w:color w:val="auto"/>
        </w:rPr>
        <w:t>include common stock (of any class), derivative securities, such as put and call options, convertible notes, or convertible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debentures, and preferred stock, as well as debt securities such as bonds and notes.</w:t>
      </w:r>
    </w:p>
    <w:p>
      <w:pPr>
        <w:spacing w:after="0" w:line="206" w:lineRule="exact"/>
        <w:rPr>
          <w:sz w:val="20"/>
          <w:szCs w:val="20"/>
          <w:color w:val="auto"/>
        </w:rPr>
      </w:pPr>
    </w:p>
    <w:p>
      <w:pPr>
        <w:jc w:val="both"/>
        <w:ind w:left="4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“Trade” or “Trading” </w:t>
      </w:r>
      <w:r>
        <w:rPr>
          <w:rFonts w:ascii="Times New Roman" w:cs="Times New Roman" w:eastAsia="Times New Roman" w:hAnsi="Times New Roman"/>
          <w:sz w:val="20"/>
          <w:szCs w:val="20"/>
          <w:color w:val="auto"/>
        </w:rPr>
        <w:t>means any purchase, sale, or other transaction involving Company Securities. This includes: placing orders,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gifting, entering into derivative or hedging transactions, or making or changing investment elections (including under the Company’s 401(k) Plan).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the term "Trade" does not include: (a) ongoing purchases of the Company's common stock under the Company's 401(k) Plan (but this Policy does apply to an election to invest in the Company’s common stock fund or any changes in any such election under the Company’s 401(k) Plan); (b) non-discretionary transactions in the Company’s common stock fund under the Company’s 401(k) Plan, including withdrawals by the administrator from the Insider’s account to pay fees and the reinvestment of cash dividends; (c) ongoing non-discretionary purchases under the Company’s Employee Stock Purchase Plan; (d) the exercise of stock options for cash and cashless option exercises through the Company without any market transaction (but this Policy does apply to broker-assisted cashless option exercises and the sale of common stock acquired upon exercise of a stock option); (d) Trades pursuant to a 10b5-1 Plan approved in accordance with Section 6(e) of this Policy; (e) the withholding of Securities, that does not involve a market transaction, in order to satisfy tax obligations related to the vesting of an award made under any of the Company's equity-based incentive plans; (f) trustee dispositions of an Insider's interest in the Company's common stock under the Company's 401(k) Plan where the Insider's account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51" w:right="339" w:bottom="1440" w:gutter="0" w:footer="0" w:header="0"/>
        </w:sectPr>
      </w:pPr>
    </w:p>
    <w:bookmarkStart w:id="97" w:name="page98"/>
    <w:bookmarkEnd w:id="97"/>
    <w:p>
      <w:pPr>
        <w:ind w:left="10360"/>
        <w:spacing w:after="0"/>
        <w:rPr>
          <w:sz w:val="20"/>
          <w:szCs w:val="20"/>
          <w:color w:val="auto"/>
        </w:rPr>
      </w:pPr>
      <w:r>
        <w:rPr>
          <w:rFonts w:ascii="Times New Roman" w:cs="Times New Roman" w:eastAsia="Times New Roman" w:hAnsi="Times New Roman"/>
          <w:sz w:val="18"/>
          <w:szCs w:val="18"/>
          <w:color w:val="auto"/>
        </w:rPr>
        <w:t>Exhibit 19</w:t>
      </w:r>
    </w:p>
    <w:p>
      <w:pPr>
        <w:spacing w:after="0" w:line="153" w:lineRule="exact"/>
        <w:rPr>
          <w:sz w:val="20"/>
          <w:szCs w:val="20"/>
          <w:color w:val="auto"/>
        </w:rPr>
      </w:pPr>
    </w:p>
    <w:p>
      <w:pPr>
        <w:jc w:val="both"/>
        <w:ind w:left="300"/>
        <w:spacing w:after="0" w:line="283" w:lineRule="auto"/>
        <w:rPr>
          <w:sz w:val="20"/>
          <w:szCs w:val="20"/>
          <w:color w:val="auto"/>
        </w:rPr>
      </w:pPr>
      <w:r>
        <w:rPr>
          <w:rFonts w:ascii="Times New Roman" w:cs="Times New Roman" w:eastAsia="Times New Roman" w:hAnsi="Times New Roman"/>
          <w:sz w:val="20"/>
          <w:szCs w:val="20"/>
          <w:color w:val="auto"/>
        </w:rPr>
        <w:t>plan exceeds the maximum amount permitted under the Internal Revenue Code; and (g) vesting of an award made under any of the Company’s stock-based incentive plans.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Insider Trading Prohibition</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If you have material nonpublic information, you cannot trade — no exceptions.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 xml:space="preserve">Material and Nonpublic. </w:t>
      </w:r>
      <w:r>
        <w:rPr>
          <w:rFonts w:ascii="Times New Roman" w:cs="Times New Roman" w:eastAsia="Times New Roman" w:hAnsi="Times New Roman"/>
          <w:sz w:val="20"/>
          <w:szCs w:val="20"/>
          <w:color w:val="auto"/>
        </w:rPr>
        <w:t>For purposes of this Policy:</w:t>
      </w:r>
    </w:p>
    <w:p>
      <w:pPr>
        <w:spacing w:after="0" w:line="243"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a. Material. </w:t>
      </w:r>
      <w:r>
        <w:rPr>
          <w:rFonts w:ascii="Times New Roman" w:cs="Times New Roman" w:eastAsia="Times New Roman" w:hAnsi="Times New Roman"/>
          <w:sz w:val="20"/>
          <w:szCs w:val="20"/>
          <w:color w:val="auto"/>
        </w:rPr>
        <w:t>Information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 reasonable investor would likely consider the information important in deciding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sell, or hold a company’s Securities, or if the information could reasonably be expected to affect the market price of those Securities (either positively or negatively). This includes information that, if disclosed, could be viewed by a reasonable investor as having significantly altered the total mix of information available. Information that could be considered material about the Company includes, but is not limited to:</w:t>
      </w:r>
    </w:p>
    <w:p>
      <w:pPr>
        <w:spacing w:after="0" w:line="212" w:lineRule="exact"/>
        <w:rPr>
          <w:sz w:val="20"/>
          <w:szCs w:val="20"/>
          <w:color w:val="auto"/>
        </w:rPr>
      </w:pPr>
    </w:p>
    <w:p>
      <w:pPr>
        <w:ind w:left="1520" w:right="140" w:hanging="324"/>
        <w:spacing w:after="0" w:line="261" w:lineRule="auto"/>
        <w:tabs>
          <w:tab w:leader="none" w:pos="150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concerning the Company’s earnings, sales, dividends, and other material financial information, including, but not limited to, upcoming announcements of earnings or losses;</w:t>
      </w:r>
    </w:p>
    <w:p>
      <w:pPr>
        <w:spacing w:after="0" w:line="1" w:lineRule="exact"/>
        <w:rPr>
          <w:rFonts w:ascii="Times New Roman" w:cs="Times New Roman" w:eastAsia="Times New Roman" w:hAnsi="Times New Roman"/>
          <w:sz w:val="20"/>
          <w:szCs w:val="20"/>
          <w:color w:val="auto"/>
        </w:rPr>
      </w:pP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that could result in restating financial information;</w:t>
      </w:r>
    </w:p>
    <w:p>
      <w:pPr>
        <w:spacing w:after="0" w:line="13" w:lineRule="exact"/>
        <w:rPr>
          <w:rFonts w:ascii="Times New Roman" w:cs="Times New Roman" w:eastAsia="Times New Roman" w:hAnsi="Times New Roman"/>
          <w:sz w:val="20"/>
          <w:szCs w:val="20"/>
          <w:color w:val="auto"/>
        </w:rPr>
      </w:pP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contract, including both sales contracts as well as other types of contracts;</w:t>
      </w:r>
    </w:p>
    <w:p>
      <w:pPr>
        <w:spacing w:after="0" w:line="6" w:lineRule="exact"/>
        <w:rPr>
          <w:rFonts w:ascii="Times New Roman" w:cs="Times New Roman" w:eastAsia="Times New Roman" w:hAnsi="Times New Roman"/>
          <w:sz w:val="20"/>
          <w:szCs w:val="20"/>
          <w:color w:val="auto"/>
        </w:rPr>
      </w:pPr>
    </w:p>
    <w:p>
      <w:pPr>
        <w:ind w:left="1520" w:right="760" w:hanging="324"/>
        <w:spacing w:after="0" w:line="250" w:lineRule="auto"/>
        <w:tabs>
          <w:tab w:leader="none" w:pos="150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proposed or prospective merger, acquisition, sale, disposition, joint venture, tender offer, or other major corporate transaction;</w:t>
      </w: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changes in the company’s capital structure;</w:t>
      </w:r>
    </w:p>
    <w:p>
      <w:pPr>
        <w:spacing w:after="0" w:line="13" w:lineRule="exact"/>
        <w:rPr>
          <w:rFonts w:ascii="Times New Roman" w:cs="Times New Roman" w:eastAsia="Times New Roman" w:hAnsi="Times New Roman"/>
          <w:sz w:val="20"/>
          <w:szCs w:val="20"/>
          <w:color w:val="auto"/>
        </w:rPr>
      </w:pP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significant assets or a significant subsidiary;</w:t>
      </w:r>
    </w:p>
    <w:p>
      <w:pPr>
        <w:spacing w:after="0" w:line="13" w:lineRule="exact"/>
        <w:rPr>
          <w:rFonts w:ascii="Times New Roman" w:cs="Times New Roman" w:eastAsia="Times New Roman" w:hAnsi="Times New Roman"/>
          <w:sz w:val="20"/>
          <w:szCs w:val="20"/>
          <w:color w:val="auto"/>
        </w:rPr>
      </w:pP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gain or loss of a substantial customer or supplier;</w:t>
      </w:r>
    </w:p>
    <w:p>
      <w:pPr>
        <w:spacing w:after="0" w:line="13" w:lineRule="exact"/>
        <w:rPr>
          <w:rFonts w:ascii="Times New Roman" w:cs="Times New Roman" w:eastAsia="Times New Roman" w:hAnsi="Times New Roman"/>
          <w:sz w:val="20"/>
          <w:szCs w:val="20"/>
          <w:color w:val="auto"/>
        </w:rPr>
      </w:pP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hiring, appointment, termination, or resignation of an officer or director;</w:t>
      </w:r>
    </w:p>
    <w:p>
      <w:pPr>
        <w:spacing w:after="0" w:line="6" w:lineRule="exact"/>
        <w:rPr>
          <w:rFonts w:ascii="Times New Roman" w:cs="Times New Roman" w:eastAsia="Times New Roman" w:hAnsi="Times New Roman"/>
          <w:sz w:val="20"/>
          <w:szCs w:val="20"/>
          <w:color w:val="auto"/>
        </w:rPr>
      </w:pP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or settlement of a significant lawsuit;</w:t>
      </w:r>
    </w:p>
    <w:p>
      <w:pPr>
        <w:spacing w:after="0" w:line="6" w:lineRule="exact"/>
        <w:rPr>
          <w:rFonts w:ascii="Times New Roman" w:cs="Times New Roman" w:eastAsia="Times New Roman" w:hAnsi="Times New Roman"/>
          <w:sz w:val="20"/>
          <w:szCs w:val="20"/>
          <w:color w:val="auto"/>
        </w:rPr>
      </w:pP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stockholder activism or proxy contest;</w:t>
      </w:r>
    </w:p>
    <w:p>
      <w:pPr>
        <w:spacing w:after="0" w:line="13" w:lineRule="exact"/>
        <w:rPr>
          <w:rFonts w:ascii="Times New Roman" w:cs="Times New Roman" w:eastAsia="Times New Roman" w:hAnsi="Times New Roman"/>
          <w:sz w:val="20"/>
          <w:szCs w:val="20"/>
          <w:color w:val="auto"/>
        </w:rPr>
      </w:pP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of a stock split;</w:t>
      </w:r>
    </w:p>
    <w:p>
      <w:pPr>
        <w:spacing w:after="0" w:line="13" w:lineRule="exact"/>
        <w:rPr>
          <w:rFonts w:ascii="Times New Roman" w:cs="Times New Roman" w:eastAsia="Times New Roman" w:hAnsi="Times New Roman"/>
          <w:sz w:val="20"/>
          <w:szCs w:val="20"/>
          <w:color w:val="auto"/>
        </w:rPr>
      </w:pP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proposed offering of Securities;</w:t>
      </w:r>
    </w:p>
    <w:p>
      <w:pPr>
        <w:spacing w:after="0" w:line="13" w:lineRule="exact"/>
        <w:rPr>
          <w:rFonts w:ascii="Times New Roman" w:cs="Times New Roman" w:eastAsia="Times New Roman" w:hAnsi="Times New Roman"/>
          <w:sz w:val="20"/>
          <w:szCs w:val="20"/>
          <w:color w:val="auto"/>
        </w:rPr>
      </w:pPr>
    </w:p>
    <w:p>
      <w:pPr>
        <w:ind w:left="1500" w:hanging="304"/>
        <w:spacing w:after="0"/>
        <w:tabs>
          <w:tab w:leader="none" w:pos="1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threat or occurrence of a material cybersecurity incident, privacy breach, or data loss; and</w:t>
      </w:r>
    </w:p>
    <w:p>
      <w:pPr>
        <w:spacing w:after="0" w:line="13" w:lineRule="exact"/>
        <w:rPr>
          <w:rFonts w:ascii="Times New Roman" w:cs="Times New Roman" w:eastAsia="Times New Roman" w:hAnsi="Times New Roman"/>
          <w:sz w:val="20"/>
          <w:szCs w:val="20"/>
          <w:color w:val="auto"/>
        </w:rPr>
      </w:pPr>
    </w:p>
    <w:p>
      <w:pPr>
        <w:ind w:left="1520" w:right="240" w:hanging="324"/>
        <w:spacing w:after="0" w:line="267" w:lineRule="auto"/>
        <w:tabs>
          <w:tab w:leader="none" w:pos="150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 or occurrence of any change in auditors, auditor resignation, or auditor notification that the Company may no longer rely on an audit report.</w:t>
      </w:r>
    </w:p>
    <w:p>
      <w:pPr>
        <w:spacing w:after="0" w:line="198" w:lineRule="exact"/>
        <w:rPr>
          <w:sz w:val="20"/>
          <w:szCs w:val="20"/>
          <w:color w:val="auto"/>
        </w:rPr>
      </w:pPr>
    </w:p>
    <w:p>
      <w:pPr>
        <w:jc w:val="both"/>
        <w:ind w:left="540"/>
        <w:spacing w:after="0" w:line="258" w:lineRule="auto"/>
        <w:rPr>
          <w:sz w:val="20"/>
          <w:szCs w:val="20"/>
          <w:color w:val="auto"/>
        </w:rPr>
      </w:pPr>
      <w:r>
        <w:rPr>
          <w:rFonts w:ascii="Times New Roman" w:cs="Times New Roman" w:eastAsia="Times New Roman" w:hAnsi="Times New Roman"/>
          <w:sz w:val="20"/>
          <w:szCs w:val="20"/>
          <w:u w:val="single" w:color="auto"/>
          <w:color w:val="auto"/>
        </w:rPr>
        <w:t>General Comment</w:t>
      </w:r>
      <w:r>
        <w:rPr>
          <w:rFonts w:ascii="Times New Roman" w:cs="Times New Roman" w:eastAsia="Times New Roman" w:hAnsi="Times New Roman"/>
          <w:sz w:val="20"/>
          <w:szCs w:val="20"/>
          <w:color w:val="auto"/>
        </w:rPr>
        <w:t xml:space="preserve"> - The above list is only illustrative, and many other types of information may be considered </w:t>
      </w:r>
      <w:r>
        <w:rPr>
          <w:rFonts w:ascii="Times New Roman" w:cs="Times New Roman" w:eastAsia="Times New Roman" w:hAnsi="Times New Roman"/>
          <w:sz w:val="20"/>
          <w:szCs w:val="20"/>
          <w:i w:val="1"/>
          <w:iCs w:val="1"/>
          <w:color w:val="auto"/>
        </w:rPr>
        <w:t>material,</w:t>
      </w:r>
      <w:r>
        <w:rPr>
          <w:rFonts w:ascii="Times New Roman" w:cs="Times New Roman" w:eastAsia="Times New Roman" w:hAnsi="Times New Roman"/>
          <w:sz w:val="20"/>
          <w:szCs w:val="20"/>
          <w:color w:val="auto"/>
        </w:rPr>
        <w:t xml:space="preserve"> depending on the circumstances. If consideration is being given to purchasing or selling Securities because of inside information possessed, it should be assumed that such information is material. It is important to note that in the event a Trade becomes subject to investigation, the Trade is viewed after the fact with the benefit of hindsight. Accordingly, if there is any doubt, you should take a conservative approach and not Trade.</w:t>
      </w:r>
    </w:p>
    <w:p>
      <w:pPr>
        <w:spacing w:after="0" w:line="195"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b. Nonpublic. </w:t>
      </w:r>
      <w:r>
        <w:rPr>
          <w:rFonts w:ascii="Times New Roman" w:cs="Times New Roman" w:eastAsia="Times New Roman" w:hAnsi="Times New Roman"/>
          <w:sz w:val="20"/>
          <w:szCs w:val="20"/>
          <w:color w:val="auto"/>
        </w:rPr>
        <w:t>Information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nonpublic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it has not yet been made available to the general public (generally done through a press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 or the filing of a report with the Securities and Exchange Commission (the “SEC”)). For purposes of this Policy, material information is not deemed to be public until two full trading days have elapsed following the public announcement of such information. For example, if an announcement is made before the opening of the market on Monday, the information disclosed is deemed public on Wednesday after the market opens. If, however, an announcement is made after the market opens on Monday, the information disclosed is not deemed public until Thursday after the market opens.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440" w:top="351"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392" w:lineRule="exact"/>
        <w:rPr>
          <w:sz w:val="20"/>
          <w:szCs w:val="20"/>
          <w:color w:val="auto"/>
        </w:rPr>
      </w:pPr>
    </w:p>
    <w:p>
      <w:pPr>
        <w:ind w:left="205" w:hanging="205"/>
        <w:spacing w:after="0"/>
        <w:tabs>
          <w:tab w:leader="none" w:pos="205"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Requirements</w:t>
      </w:r>
    </w:p>
    <w:p>
      <w:pPr>
        <w:spacing w:after="0" w:line="256" w:lineRule="exact"/>
        <w:rPr>
          <w:rFonts w:ascii="Times New Roman" w:cs="Times New Roman" w:eastAsia="Times New Roman" w:hAnsi="Times New Roman"/>
          <w:sz w:val="20"/>
          <w:szCs w:val="20"/>
          <w:b w:val="1"/>
          <w:bCs w:val="1"/>
          <w:color w:val="auto"/>
        </w:rPr>
      </w:pPr>
    </w:p>
    <w:p>
      <w:pPr>
        <w:jc w:val="both"/>
        <w:ind w:left="385" w:hanging="6"/>
        <w:spacing w:after="0" w:line="255" w:lineRule="auto"/>
        <w:tabs>
          <w:tab w:leader="none" w:pos="588" w:val="left"/>
        </w:tabs>
        <w:numPr>
          <w:ilvl w:val="1"/>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Trading in Other Companies’ Securities. </w:t>
      </w:r>
      <w:r>
        <w:rPr>
          <w:rFonts w:ascii="Times New Roman" w:cs="Times New Roman" w:eastAsia="Times New Roman" w:hAnsi="Times New Roman"/>
          <w:sz w:val="20"/>
          <w:szCs w:val="20"/>
          <w:color w:val="auto"/>
        </w:rPr>
        <w:t>Additionally, no individual may Trade in Securities of any other company, including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customers, vendors, and suppliers, or potential acquirors or acquisition targets, while aware of Material Nonpublic Information regarding such company.</w:t>
      </w:r>
    </w:p>
    <w:p>
      <w:pPr>
        <w:spacing w:after="0" w:line="1" w:lineRule="exact"/>
        <w:rPr>
          <w:rFonts w:ascii="Times New Roman" w:cs="Times New Roman" w:eastAsia="Times New Roman" w:hAnsi="Times New Roman"/>
          <w:sz w:val="20"/>
          <w:szCs w:val="20"/>
          <w:b w:val="1"/>
          <w:bCs w:val="1"/>
          <w:color w:val="auto"/>
        </w:rPr>
      </w:pPr>
    </w:p>
    <w:p>
      <w:pPr>
        <w:ind w:left="385" w:right="20" w:hanging="6"/>
        <w:spacing w:after="0" w:line="253" w:lineRule="auto"/>
        <w:tabs>
          <w:tab w:leader="none" w:pos="594" w:val="left"/>
        </w:tabs>
        <w:numPr>
          <w:ilvl w:val="1"/>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Exceptions for Intent. </w:t>
      </w:r>
      <w:r>
        <w:rPr>
          <w:rFonts w:ascii="Times New Roman" w:cs="Times New Roman" w:eastAsia="Times New Roman" w:hAnsi="Times New Roman"/>
          <w:sz w:val="20"/>
          <w:szCs w:val="20"/>
          <w:color w:val="auto"/>
        </w:rPr>
        <w:t>Having alternative or unrelated reasons to Trade while aware of Material Nonpublic Information, such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existence of a personal financial emergency, does not exempt any person from complying with this Policy.</w:t>
      </w:r>
    </w:p>
    <w:p>
      <w:pPr>
        <w:spacing w:after="0" w:line="211" w:lineRule="exact"/>
        <w:rPr>
          <w:rFonts w:ascii="Times New Roman" w:cs="Times New Roman" w:eastAsia="Times New Roman" w:hAnsi="Times New Roman"/>
          <w:sz w:val="20"/>
          <w:szCs w:val="20"/>
          <w:b w:val="1"/>
          <w:bCs w:val="1"/>
          <w:color w:val="auto"/>
        </w:rPr>
      </w:pPr>
    </w:p>
    <w:p>
      <w:pPr>
        <w:jc w:val="both"/>
        <w:ind w:left="385" w:hanging="6"/>
        <w:spacing w:after="0" w:line="254" w:lineRule="auto"/>
        <w:tabs>
          <w:tab w:leader="none" w:pos="585" w:val="left"/>
        </w:tabs>
        <w:numPr>
          <w:ilvl w:val="1"/>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Confidentiality. </w:t>
      </w:r>
      <w:r>
        <w:rPr>
          <w:rFonts w:ascii="Times New Roman" w:cs="Times New Roman" w:eastAsia="Times New Roman" w:hAnsi="Times New Roman"/>
          <w:sz w:val="20"/>
          <w:szCs w:val="20"/>
          <w:color w:val="auto"/>
        </w:rPr>
        <w:t>Material Nonpublic Information relating to the Company is the property of the Company and the unauthorized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disclosure of such information is forbidden. In the event any person receives any request from a person outside the Company, such as a stock analyst, for information (particularly information regarding the Company’s financial results or projections, business plans, or significant potential transactions) that may be Material Nonpublic Information, the inquiry should be referred to the Company’s Chief Financial Officer (“CFO”) or General Counsel, who are responsible for coordinating and overseeing the release of such information to the investing public, analysts, and others in compliance with applicable laws and regulations.</w:t>
      </w:r>
    </w:p>
    <w:p>
      <w:pPr>
        <w:spacing w:after="0" w:line="200" w:lineRule="exact"/>
        <w:rPr>
          <w:rFonts w:ascii="Times New Roman" w:cs="Times New Roman" w:eastAsia="Times New Roman" w:hAnsi="Times New Roman"/>
          <w:sz w:val="20"/>
          <w:szCs w:val="20"/>
          <w:b w:val="1"/>
          <w:bCs w:val="1"/>
          <w:color w:val="auto"/>
        </w:rPr>
      </w:pPr>
    </w:p>
    <w:p>
      <w:pPr>
        <w:jc w:val="both"/>
        <w:ind w:left="385" w:hanging="6"/>
        <w:spacing w:after="0" w:line="275" w:lineRule="auto"/>
        <w:tabs>
          <w:tab w:leader="none" w:pos="630" w:val="left"/>
        </w:tabs>
        <w:numPr>
          <w:ilvl w:val="1"/>
          <w:numId w:val="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Prohibition on Tipping. </w:t>
      </w:r>
      <w:r>
        <w:rPr>
          <w:rFonts w:ascii="Times New Roman" w:cs="Times New Roman" w:eastAsia="Times New Roman" w:hAnsi="Times New Roman"/>
          <w:sz w:val="19"/>
          <w:szCs w:val="19"/>
          <w:color w:val="auto"/>
        </w:rPr>
        <w:t>A person may not communicate Material Nonpublic Information to other persons (including family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members) where such information may be used by such person to his or her benefit by Trading in Company Securities (or Securities of another company to which such information relates), nor shall any person make recommendations or express opinions on the basis of Material Nonpublic Information as to Trading in any such Securities. So long as material information is nonpublic, members of that person’s immediate family and others who have received the information from that person are not permitted to Trade in such Securities.</w:t>
      </w:r>
    </w:p>
    <w:p>
      <w:pPr>
        <w:spacing w:after="0" w:line="179" w:lineRule="exact"/>
        <w:rPr>
          <w:rFonts w:ascii="Times New Roman" w:cs="Times New Roman" w:eastAsia="Times New Roman" w:hAnsi="Times New Roman"/>
          <w:sz w:val="19"/>
          <w:szCs w:val="19"/>
          <w:b w:val="1"/>
          <w:bCs w:val="1"/>
          <w:color w:val="auto"/>
        </w:rPr>
      </w:pPr>
    </w:p>
    <w:p>
      <w:pPr>
        <w:jc w:val="both"/>
        <w:ind w:left="385" w:hanging="6"/>
        <w:spacing w:after="0" w:line="260" w:lineRule="auto"/>
        <w:tabs>
          <w:tab w:leader="none" w:pos="581" w:val="left"/>
        </w:tabs>
        <w:numPr>
          <w:ilvl w:val="1"/>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Restricted Transactions. </w:t>
      </w:r>
      <w:r>
        <w:rPr>
          <w:rFonts w:ascii="Times New Roman" w:cs="Times New Roman" w:eastAsia="Times New Roman" w:hAnsi="Times New Roman"/>
          <w:sz w:val="20"/>
          <w:szCs w:val="20"/>
          <w:color w:val="auto"/>
        </w:rPr>
        <w:t>Trading in “puts” and “calls” (publicly traded options to sell or buy stock) and engaging in “short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sales” (the sale of a Security that the seller does not own or any sale that is completed by delivering a Security borrowed by the seller) are often perceived as involving insider trading. Therefore, the Company strongly discourages all persons from such Trading with respect to Company Securities.</w:t>
      </w:r>
    </w:p>
    <w:p>
      <w:pPr>
        <w:spacing w:after="0" w:line="204" w:lineRule="exact"/>
        <w:rPr>
          <w:rFonts w:ascii="Times New Roman" w:cs="Times New Roman" w:eastAsia="Times New Roman" w:hAnsi="Times New Roman"/>
          <w:sz w:val="20"/>
          <w:szCs w:val="20"/>
          <w:b w:val="1"/>
          <w:bCs w:val="1"/>
          <w:color w:val="auto"/>
        </w:rPr>
      </w:pPr>
    </w:p>
    <w:p>
      <w:pPr>
        <w:ind w:left="205" w:hanging="205"/>
        <w:spacing w:after="0"/>
        <w:tabs>
          <w:tab w:leader="none" w:pos="205"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Provisions</w:t>
      </w:r>
    </w:p>
    <w:p>
      <w:pPr>
        <w:spacing w:after="0" w:line="242" w:lineRule="exact"/>
        <w:rPr>
          <w:rFonts w:ascii="Times New Roman" w:cs="Times New Roman" w:eastAsia="Times New Roman" w:hAnsi="Times New Roman"/>
          <w:sz w:val="20"/>
          <w:szCs w:val="20"/>
          <w:b w:val="1"/>
          <w:bCs w:val="1"/>
          <w:color w:val="auto"/>
        </w:rPr>
      </w:pPr>
    </w:p>
    <w:p>
      <w:pPr>
        <w:jc w:val="both"/>
        <w:ind w:left="385" w:hanging="6"/>
        <w:spacing w:after="0" w:line="260" w:lineRule="auto"/>
        <w:tabs>
          <w:tab w:leader="none" w:pos="590" w:val="left"/>
        </w:tabs>
        <w:numPr>
          <w:ilvl w:val="1"/>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Additional Procedures as Needed. </w:t>
      </w:r>
      <w:r>
        <w:rPr>
          <w:rFonts w:ascii="Times New Roman" w:cs="Times New Roman" w:eastAsia="Times New Roman" w:hAnsi="Times New Roman"/>
          <w:sz w:val="20"/>
          <w:szCs w:val="20"/>
          <w:color w:val="auto"/>
        </w:rPr>
        <w:t>Additional restrictions may be required with respect to those employees whose responsibilities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functions require or involve routine access to Material Nonpublic Information, or who are asked to work with sensitive projects or transactions. As such, the Company may implement any additional measures or procedures that may be required at any time to fully implement the requirements and intent of this Policy.</w:t>
      </w:r>
    </w:p>
    <w:p>
      <w:pPr>
        <w:spacing w:after="0" w:line="204" w:lineRule="exact"/>
        <w:rPr>
          <w:rFonts w:ascii="Times New Roman" w:cs="Times New Roman" w:eastAsia="Times New Roman" w:hAnsi="Times New Roman"/>
          <w:sz w:val="20"/>
          <w:szCs w:val="20"/>
          <w:b w:val="1"/>
          <w:bCs w:val="1"/>
          <w:color w:val="auto"/>
        </w:rPr>
      </w:pPr>
    </w:p>
    <w:p>
      <w:pPr>
        <w:jc w:val="both"/>
        <w:ind w:left="385" w:hanging="6"/>
        <w:spacing w:after="0" w:line="255" w:lineRule="auto"/>
        <w:tabs>
          <w:tab w:leader="none" w:pos="628" w:val="left"/>
        </w:tabs>
        <w:numPr>
          <w:ilvl w:val="1"/>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Individual Responsibility. </w:t>
      </w:r>
      <w:r>
        <w:rPr>
          <w:rFonts w:ascii="Times New Roman" w:cs="Times New Roman" w:eastAsia="Times New Roman" w:hAnsi="Times New Roman"/>
          <w:sz w:val="20"/>
          <w:szCs w:val="20"/>
          <w:color w:val="auto"/>
        </w:rPr>
        <w:t>Each person subject to this Policy has the individual responsibility to comply with the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this Policy. A person subject to this Policy may, from time to time, be required to forego a transaction in Securities even if he or she planned to engage in the transaction before learning of Material Nonpublic Information and even though he or she may suffer an economic loss or forego an anticipated profit by waiting.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5"/>
          </w:cols>
          <w:pgMar w:left="435" w:top="351" w:right="339" w:bottom="1440" w:gutter="0" w:footer="0" w:header="0"/>
        </w:sectPr>
      </w:pPr>
    </w:p>
    <w:bookmarkStart w:id="99" w:name="page100"/>
    <w:bookmarkEnd w:id="99"/>
    <w:p>
      <w:pPr>
        <w:ind w:left="10365"/>
        <w:spacing w:after="0"/>
        <w:rPr>
          <w:sz w:val="20"/>
          <w:szCs w:val="20"/>
          <w:color w:val="auto"/>
        </w:rPr>
      </w:pPr>
      <w:r>
        <w:rPr>
          <w:rFonts w:ascii="Times New Roman" w:cs="Times New Roman" w:eastAsia="Times New Roman" w:hAnsi="Times New Roman"/>
          <w:sz w:val="18"/>
          <w:szCs w:val="18"/>
          <w:color w:val="auto"/>
        </w:rPr>
        <w:t>Exhibit 19</w:t>
      </w:r>
    </w:p>
    <w:p>
      <w:pPr>
        <w:spacing w:after="0" w:line="149" w:lineRule="exact"/>
        <w:rPr>
          <w:sz w:val="20"/>
          <w:szCs w:val="20"/>
          <w:color w:val="auto"/>
        </w:rPr>
      </w:pPr>
    </w:p>
    <w:p>
      <w:pPr>
        <w:jc w:val="both"/>
        <w:ind w:left="385"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c. Survival. </w:t>
      </w:r>
      <w:r>
        <w:rPr>
          <w:rFonts w:ascii="Times New Roman" w:cs="Times New Roman" w:eastAsia="Times New Roman" w:hAnsi="Times New Roman"/>
          <w:sz w:val="20"/>
          <w:szCs w:val="20"/>
          <w:color w:val="auto"/>
        </w:rPr>
        <w:t>This Policy continues to apply after an individual’s retirement or termination of employment with the Company until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 no longer possesses any Material Nonpublic Information.</w:t>
      </w:r>
    </w:p>
    <w:p>
      <w:pPr>
        <w:spacing w:after="0" w:line="165" w:lineRule="exact"/>
        <w:rPr>
          <w:sz w:val="20"/>
          <w:szCs w:val="20"/>
          <w:color w:val="auto"/>
        </w:rPr>
      </w:pPr>
    </w:p>
    <w:p>
      <w:pPr>
        <w:ind w:left="385" w:right="10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Certain additional restrictions set forth in Sections 5 and 6 of this Policy apply only to designated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i w:val="1"/>
          <w:iCs w:val="1"/>
          <w:u w:val="single" w:color="auto"/>
          <w:color w:val="auto"/>
        </w:rPr>
        <w:t>Covered Persons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described below.</w:t>
      </w:r>
    </w:p>
    <w:p>
      <w:pPr>
        <w:spacing w:after="0" w:line="179" w:lineRule="exact"/>
        <w:rPr>
          <w:sz w:val="20"/>
          <w:szCs w:val="20"/>
          <w:color w:val="auto"/>
        </w:rPr>
      </w:pPr>
    </w:p>
    <w:p>
      <w:pPr>
        <w:ind w:left="205" w:hanging="205"/>
        <w:spacing w:after="0"/>
        <w:tabs>
          <w:tab w:leader="none" w:pos="205"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Blackout Periods</w:t>
      </w:r>
    </w:p>
    <w:p>
      <w:pPr>
        <w:spacing w:after="0" w:line="296" w:lineRule="exact"/>
        <w:rPr>
          <w:rFonts w:ascii="Times New Roman" w:cs="Times New Roman" w:eastAsia="Times New Roman" w:hAnsi="Times New Roman"/>
          <w:sz w:val="20"/>
          <w:szCs w:val="20"/>
          <w:b w:val="1"/>
          <w:bCs w:val="1"/>
          <w:color w:val="auto"/>
        </w:rPr>
      </w:pPr>
    </w:p>
    <w:p>
      <w:pPr>
        <w:jc w:val="both"/>
        <w:ind w:left="385"/>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 Persons Subject to Blackout Periods. </w:t>
      </w:r>
      <w:r>
        <w:rPr>
          <w:rFonts w:ascii="Times New Roman" w:cs="Times New Roman" w:eastAsia="Times New Roman" w:hAnsi="Times New Roman"/>
          <w:sz w:val="20"/>
          <w:szCs w:val="20"/>
          <w:color w:val="auto"/>
        </w:rPr>
        <w:t>Quarterly Blackout Periods apply to the Company’s directors, those persons designated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“officers” of the Company for purposes of Section 16 of the Exchange Act (“Section 16 Officers”), and certain other employees identified by the Company from time to time and who have been notified that they have been so identified, as well as immediate family members (e.g., spouses, children, or parents) of, and persons living in the same household as, any of the foregoing persons, and any person or entity (including trusts, partnerships, corporations, and foundations) whose transactions in Securities are directed by such persons or are subject to their control (collectively, “Covered Persons”). A list of the directors, Section 16 Officers, and other Company employees who have been identified as Covered Persons is attached hereto as Appendix A. The Appendix may be updated from time to time by Company management to account for employee transitions.</w:t>
      </w:r>
    </w:p>
    <w:p>
      <w:pPr>
        <w:spacing w:after="0" w:line="201" w:lineRule="exact"/>
        <w:rPr>
          <w:sz w:val="20"/>
          <w:szCs w:val="20"/>
          <w:color w:val="auto"/>
        </w:rPr>
      </w:pPr>
    </w:p>
    <w:p>
      <w:pPr>
        <w:jc w:val="both"/>
        <w:ind w:left="385"/>
        <w:spacing w:after="0" w:line="252" w:lineRule="auto"/>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Quarterly Blackout Periods and Special Blackout Periods. </w:t>
      </w:r>
      <w:r>
        <w:rPr>
          <w:rFonts w:ascii="Times New Roman" w:cs="Times New Roman" w:eastAsia="Times New Roman" w:hAnsi="Times New Roman"/>
          <w:sz w:val="20"/>
          <w:szCs w:val="20"/>
          <w:color w:val="auto"/>
        </w:rPr>
        <w:t>A Covered Person may not Trade in Company Securities during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Quarterly Blackout Period. See Appendix B for more details on the Quarterly Blackout Periods. Appendix B will be updated to reflect current and future Quarterly Blackout Periods. In addition, from time to time Material Nonpublic Information regarding the Company but not directly related to its quarterly financial results may exist (e.g., information concerning a proposed major corporate transaction), and, in such event, the Company may impose a special blackout period during which some or all Covered Persons may not Trade in Company Securities (a “Special Blackout Period”). Covered Persons who are notified that they are subject to a Special Blackout Period are prohibited from disclosing to others within or outside the Company that the Special Blackout Period has been imposed or the underlying basis for the Special Blackout Period. For the avoidance of doubt, the end of a Blackout Period or the opening of a trading window does not permit any person to Trade while aware of Material Nonpublic Information.</w:t>
      </w:r>
    </w:p>
    <w:p>
      <w:pPr>
        <w:spacing w:after="0" w:line="2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b w:val="1"/>
          <w:bCs w:val="1"/>
          <w:color w:val="auto"/>
        </w:rPr>
        <w:t>6. Covered Persons Further Restricted</w:t>
      </w:r>
    </w:p>
    <w:p>
      <w:pPr>
        <w:spacing w:after="0" w:line="247" w:lineRule="exact"/>
        <w:rPr>
          <w:sz w:val="20"/>
          <w:szCs w:val="20"/>
          <w:color w:val="auto"/>
        </w:rPr>
      </w:pPr>
    </w:p>
    <w:p>
      <w:pPr>
        <w:ind w:left="325"/>
        <w:spacing w:after="0" w:line="283" w:lineRule="auto"/>
        <w:rPr>
          <w:sz w:val="20"/>
          <w:szCs w:val="20"/>
          <w:color w:val="auto"/>
        </w:rPr>
      </w:pPr>
      <w:r>
        <w:rPr>
          <w:rFonts w:ascii="Times New Roman" w:cs="Times New Roman" w:eastAsia="Times New Roman" w:hAnsi="Times New Roman"/>
          <w:sz w:val="20"/>
          <w:szCs w:val="20"/>
          <w:color w:val="auto"/>
        </w:rPr>
        <w:t>In addition, to avoid the appearance of impropriety in transactions in Company Securities, Covered Persons must comply with the following restrictions:</w:t>
      </w:r>
    </w:p>
    <w:p>
      <w:pPr>
        <w:spacing w:after="0" w:line="173" w:lineRule="exact"/>
        <w:rPr>
          <w:sz w:val="20"/>
          <w:szCs w:val="20"/>
          <w:color w:val="auto"/>
        </w:rPr>
      </w:pPr>
    </w:p>
    <w:p>
      <w:pPr>
        <w:ind w:left="545" w:right="580" w:hanging="247"/>
        <w:spacing w:after="0" w:line="250" w:lineRule="auto"/>
        <w:tabs>
          <w:tab w:leader="none" w:pos="5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Prohibited Transactions. Covered persons must refrain entirely from Trading in puts and calls in and engaging in short sales of Company Securities.</w:t>
      </w:r>
    </w:p>
    <w:p>
      <w:pPr>
        <w:spacing w:after="0" w:line="1" w:lineRule="exact"/>
        <w:rPr>
          <w:rFonts w:ascii="Times New Roman" w:cs="Times New Roman" w:eastAsia="Times New Roman" w:hAnsi="Times New Roman"/>
          <w:sz w:val="20"/>
          <w:szCs w:val="20"/>
          <w:color w:val="auto"/>
        </w:rPr>
      </w:pPr>
    </w:p>
    <w:p>
      <w:pPr>
        <w:ind w:left="545" w:right="60" w:hanging="247"/>
        <w:spacing w:after="0" w:line="239" w:lineRule="auto"/>
        <w:tabs>
          <w:tab w:leader="none" w:pos="54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Pre-Approval for all Transactions. Covered Persons are not allowed to Trade Company Securities unless they have the approval for a specific Trade from the Chief Executive Officer (“CEO”), CFO, or General Counsel of the Company.</w:t>
      </w:r>
    </w:p>
    <w:p>
      <w:pPr>
        <w:jc w:val="both"/>
        <w:ind w:left="545" w:hanging="247"/>
        <w:spacing w:after="0" w:line="238" w:lineRule="auto"/>
        <w:tabs>
          <w:tab w:leader="none" w:pos="5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Approval Process.</w:t>
      </w:r>
      <w:r>
        <w:rPr>
          <w:rFonts w:ascii="Times New Roman" w:cs="Times New Roman" w:eastAsia="Times New Roman" w:hAnsi="Times New Roman"/>
          <w:sz w:val="20"/>
          <w:szCs w:val="20"/>
          <w:color w:val="auto"/>
        </w:rPr>
        <w:t xml:space="preserve"> Covered Persons may request approval to complete a Trade by emailing DaktStock@daktronics.com with information about the types and numbers of shares the Covered Person desires to trade, and confirmation that they are not in possession of Material Nonpublic Information. If approval is granted, the Trade may be completed within two (2) trading days thereafter or longer as specifically approved. If for any reason the trade is not completed within the allotted approved time, clearance must be obtained again.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5"/>
          </w:cols>
          <w:pgMar w:left="435" w:top="35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396" w:lineRule="exact"/>
        <w:rPr>
          <w:sz w:val="20"/>
          <w:szCs w:val="20"/>
          <w:color w:val="auto"/>
        </w:rPr>
      </w:pPr>
    </w:p>
    <w:p>
      <w:pPr>
        <w:jc w:val="both"/>
        <w:ind w:left="625" w:hanging="132"/>
        <w:spacing w:after="0" w:line="283" w:lineRule="auto"/>
        <w:rPr>
          <w:sz w:val="20"/>
          <w:szCs w:val="20"/>
          <w:color w:val="auto"/>
        </w:rPr>
      </w:pPr>
      <w:r>
        <w:rPr>
          <w:rFonts w:ascii="Times New Roman" w:cs="Times New Roman" w:eastAsia="Times New Roman" w:hAnsi="Times New Roman"/>
          <w:sz w:val="20"/>
          <w:szCs w:val="20"/>
          <w:color w:val="auto"/>
        </w:rPr>
        <w:t>A Covered Person may also notify their authorized broker of the proposed Trade and request that such broker coordinate the proposed Trade with the CEO, CFO, or General Counsel.</w:t>
      </w:r>
    </w:p>
    <w:p>
      <w:pPr>
        <w:spacing w:after="0" w:line="173" w:lineRule="exact"/>
        <w:rPr>
          <w:sz w:val="20"/>
          <w:szCs w:val="20"/>
          <w:color w:val="auto"/>
        </w:rPr>
      </w:pPr>
    </w:p>
    <w:p>
      <w:pPr>
        <w:jc w:val="both"/>
        <w:ind w:left="625" w:hanging="85"/>
        <w:spacing w:after="0" w:line="268" w:lineRule="auto"/>
        <w:rPr>
          <w:sz w:val="20"/>
          <w:szCs w:val="20"/>
          <w:color w:val="auto"/>
        </w:rPr>
      </w:pPr>
      <w:r>
        <w:rPr>
          <w:rFonts w:ascii="Times New Roman" w:cs="Times New Roman" w:eastAsia="Times New Roman" w:hAnsi="Times New Roman"/>
          <w:sz w:val="20"/>
          <w:szCs w:val="20"/>
          <w:color w:val="auto"/>
        </w:rPr>
        <w:t>If, upon requesting approval or otherwise the Covered Person is advised that Company Securities may not be traded, he or she may not Trade any Company Securities under any circumstance, nor may he or she inform anyone of the restriction. The Trading restriction will apply until such restriction is lifted by the CEO, CFO, or General Counsel.</w:t>
      </w:r>
    </w:p>
    <w:p>
      <w:pPr>
        <w:spacing w:after="0" w:line="188" w:lineRule="exact"/>
        <w:rPr>
          <w:sz w:val="20"/>
          <w:szCs w:val="20"/>
          <w:color w:val="auto"/>
        </w:rPr>
      </w:pPr>
    </w:p>
    <w:p>
      <w:pPr>
        <w:jc w:val="both"/>
        <w:ind w:left="625" w:hanging="107"/>
        <w:spacing w:after="0" w:line="258" w:lineRule="auto"/>
        <w:rPr>
          <w:sz w:val="20"/>
          <w:szCs w:val="20"/>
          <w:color w:val="auto"/>
        </w:rPr>
      </w:pPr>
      <w:r>
        <w:rPr>
          <w:rFonts w:ascii="Times New Roman" w:cs="Times New Roman" w:eastAsia="Times New Roman" w:hAnsi="Times New Roman"/>
          <w:sz w:val="20"/>
          <w:szCs w:val="20"/>
          <w:color w:val="auto"/>
        </w:rPr>
        <w:t>Compliance with this mandatory pre-clearance procedure is not only critical in preventing insider trading violations and avoiding the appearance of improper transactions, but also to ensure compliance with the reporting requirements of Section 16(a) of the Exchange Act and prevent inadvertent violations of the limitations on short-swing transactions under Section 16(b) of the Exchange Act.</w:t>
      </w:r>
    </w:p>
    <w:p>
      <w:pPr>
        <w:spacing w:after="0" w:line="253" w:lineRule="exact"/>
        <w:rPr>
          <w:sz w:val="20"/>
          <w:szCs w:val="20"/>
          <w:color w:val="auto"/>
        </w:rPr>
      </w:pPr>
    </w:p>
    <w:p>
      <w:pPr>
        <w:ind w:left="645" w:right="20" w:hanging="321"/>
        <w:spacing w:after="0" w:line="324" w:lineRule="auto"/>
        <w:tabs>
          <w:tab w:leader="none" w:pos="643"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Safe Harbor; Open Windows Do Not Override MNPI Restrictions. Pre-clearance is an administrative procedure only and does not constitute legal advice or a determination that a proposed Trade complies with applicable law. No person may Trade in Company Securities while aware of Material Nonpublic Information, even during an open trading window or after pre-clearance has been granted. If a person becomes aware of Material Nonpublic Information after receiving pre-clearance but before completing the Trade, the approval is automatically revoked and the Trade may not occur.</w:t>
      </w:r>
    </w:p>
    <w:p>
      <w:pPr>
        <w:ind w:left="645" w:right="40" w:hanging="321"/>
        <w:spacing w:after="0" w:line="317" w:lineRule="auto"/>
        <w:tabs>
          <w:tab w:leader="none" w:pos="632"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10b5-1 Plans</w:t>
      </w:r>
      <w:r>
        <w:rPr>
          <w:rFonts w:ascii="Times New Roman" w:cs="Times New Roman" w:eastAsia="Times New Roman" w:hAnsi="Times New Roman"/>
          <w:sz w:val="20"/>
          <w:szCs w:val="20"/>
          <w:color w:val="auto"/>
        </w:rPr>
        <w:t>. Trades made pursuant to a 10b5-1 Plan do not require pre-approval, however all 10b5-1 plans adopted by any Covered Person must be submitted to the CEO, CFO, or General Counsel for review and approval by the Audit Committee prior to adoption. The Audit Committee shall be responsible for ensuring that the proposed plan is consistent with any applicable rules and regulations and shall approve the steps that Company will take with regard to disclosure issues that may arise. The Company encourages the use of 10b5-1 Plans by Covered Persons when Trading Company Securities.</w:t>
      </w:r>
    </w:p>
    <w:p>
      <w:pPr>
        <w:spacing w:after="0" w:line="2" w:lineRule="exact"/>
        <w:rPr>
          <w:rFonts w:ascii="Times New Roman" w:cs="Times New Roman" w:eastAsia="Times New Roman" w:hAnsi="Times New Roman"/>
          <w:sz w:val="20"/>
          <w:szCs w:val="20"/>
          <w:color w:val="auto"/>
        </w:rPr>
      </w:pPr>
    </w:p>
    <w:p>
      <w:pPr>
        <w:ind w:left="205" w:hanging="205"/>
        <w:spacing w:after="0"/>
        <w:tabs>
          <w:tab w:leader="none" w:pos="205"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Potential Penalties for Noncompliance</w:t>
      </w:r>
    </w:p>
    <w:p>
      <w:pPr>
        <w:spacing w:after="0" w:line="260" w:lineRule="exact"/>
        <w:rPr>
          <w:rFonts w:ascii="Times New Roman" w:cs="Times New Roman" w:eastAsia="Times New Roman" w:hAnsi="Times New Roman"/>
          <w:sz w:val="20"/>
          <w:szCs w:val="20"/>
          <w:b w:val="1"/>
          <w:bCs w:val="1"/>
          <w:color w:val="auto"/>
        </w:rPr>
      </w:pPr>
    </w:p>
    <w:p>
      <w:pPr>
        <w:jc w:val="both"/>
        <w:ind w:left="785" w:hanging="487"/>
        <w:spacing w:after="0" w:line="253" w:lineRule="auto"/>
        <w:tabs>
          <w:tab w:leader="none" w:pos="78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Criminal and Civil Liability under Securities Laws</w:t>
      </w:r>
      <w:r>
        <w:rPr>
          <w:rFonts w:ascii="Times New Roman" w:cs="Times New Roman" w:eastAsia="Times New Roman" w:hAnsi="Times New Roman"/>
          <w:sz w:val="20"/>
          <w:szCs w:val="20"/>
          <w:color w:val="auto"/>
        </w:rPr>
        <w:t>. Pursuant to federal and state securities laws, persons may be subject to criminal and civil fines and penalties, as well as imprisonment, for engaging in transactions in Securities at a time when they have Material Nonpublic Information. Persons also may face similar liability for improper transactions by any person to whom they have disclosed Material Nonpublic Information or to whom they have made recommendations or expressed opinions on the basis of such information. The following penalties apply to violations of Rule 10b-5 under the Exchange Act (which prohibits trading or "tipping" on the basis of Material Nonpublic Information):</w:t>
      </w:r>
    </w:p>
    <w:p>
      <w:pPr>
        <w:spacing w:after="0" w:line="205" w:lineRule="exact"/>
        <w:rPr>
          <w:rFonts w:ascii="Times New Roman" w:cs="Times New Roman" w:eastAsia="Times New Roman" w:hAnsi="Times New Roman"/>
          <w:sz w:val="20"/>
          <w:szCs w:val="20"/>
          <w:color w:val="auto"/>
        </w:rPr>
      </w:pPr>
    </w:p>
    <w:p>
      <w:pPr>
        <w:ind w:left="1585" w:hanging="396"/>
        <w:spacing w:after="0"/>
        <w:tabs>
          <w:tab w:leader="none" w:pos="1585" w:val="left"/>
        </w:tabs>
        <w:numPr>
          <w:ilvl w:val="3"/>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imprisonment for up to 20 years;</w:t>
      </w:r>
    </w:p>
    <w:p>
      <w:pPr>
        <w:spacing w:after="0" w:line="28" w:lineRule="exact"/>
        <w:rPr>
          <w:rFonts w:ascii="Times New Roman" w:cs="Times New Roman" w:eastAsia="Times New Roman" w:hAnsi="Times New Roman"/>
          <w:sz w:val="20"/>
          <w:szCs w:val="20"/>
          <w:color w:val="auto"/>
        </w:rPr>
      </w:pPr>
    </w:p>
    <w:p>
      <w:pPr>
        <w:ind w:left="1585" w:hanging="396"/>
        <w:spacing w:after="0"/>
        <w:tabs>
          <w:tab w:leader="none" w:pos="1585" w:val="left"/>
        </w:tabs>
        <w:numPr>
          <w:ilvl w:val="3"/>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fines up to $5 million;</w:t>
      </w:r>
    </w:p>
    <w:p>
      <w:pPr>
        <w:spacing w:after="0" w:line="13" w:lineRule="exact"/>
        <w:rPr>
          <w:rFonts w:ascii="Times New Roman" w:cs="Times New Roman" w:eastAsia="Times New Roman" w:hAnsi="Times New Roman"/>
          <w:sz w:val="20"/>
          <w:szCs w:val="20"/>
          <w:color w:val="auto"/>
        </w:rPr>
      </w:pPr>
    </w:p>
    <w:p>
      <w:pPr>
        <w:ind w:left="1585" w:hanging="396"/>
        <w:spacing w:after="0"/>
        <w:tabs>
          <w:tab w:leader="none" w:pos="1585" w:val="left"/>
        </w:tabs>
        <w:numPr>
          <w:ilvl w:val="3"/>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penalties of up to three times the profits gained or losses avoided;</w:t>
      </w:r>
    </w:p>
    <w:p>
      <w:pPr>
        <w:spacing w:after="0" w:line="6" w:lineRule="exact"/>
        <w:rPr>
          <w:rFonts w:ascii="Times New Roman" w:cs="Times New Roman" w:eastAsia="Times New Roman" w:hAnsi="Times New Roman"/>
          <w:sz w:val="20"/>
          <w:szCs w:val="20"/>
          <w:color w:val="auto"/>
        </w:rPr>
      </w:pPr>
    </w:p>
    <w:p>
      <w:pPr>
        <w:ind w:left="1585" w:hanging="396"/>
        <w:spacing w:after="0"/>
        <w:tabs>
          <w:tab w:leader="none" w:pos="1585" w:val="left"/>
        </w:tabs>
        <w:numPr>
          <w:ilvl w:val="3"/>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prejudgment interest;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5"/>
          </w:cols>
          <w:pgMar w:left="435" w:top="35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153" w:lineRule="exact"/>
        <w:rPr>
          <w:sz w:val="20"/>
          <w:szCs w:val="20"/>
          <w:color w:val="auto"/>
        </w:rPr>
      </w:pPr>
    </w:p>
    <w:p>
      <w:pPr>
        <w:ind w:left="1585" w:hanging="396"/>
        <w:spacing w:after="0"/>
        <w:tabs>
          <w:tab w:leader="none" w:pos="158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private party damages.</w:t>
      </w:r>
    </w:p>
    <w:p>
      <w:pPr>
        <w:spacing w:after="0" w:line="256" w:lineRule="exact"/>
        <w:rPr>
          <w:sz w:val="20"/>
          <w:szCs w:val="20"/>
          <w:color w:val="auto"/>
        </w:rPr>
      </w:pPr>
    </w:p>
    <w:p>
      <w:pPr>
        <w:ind w:left="785" w:hanging="107"/>
        <w:spacing w:after="0" w:line="269" w:lineRule="auto"/>
        <w:rPr>
          <w:sz w:val="20"/>
          <w:szCs w:val="20"/>
          <w:color w:val="auto"/>
        </w:rPr>
      </w:pPr>
      <w:r>
        <w:rPr>
          <w:rFonts w:ascii="Times New Roman" w:cs="Times New Roman" w:eastAsia="Times New Roman" w:hAnsi="Times New Roman"/>
          <w:sz w:val="20"/>
          <w:szCs w:val="20"/>
          <w:color w:val="auto"/>
        </w:rPr>
        <w:t>The SEC and the National Association of Securities Dealers use sophisticated electronic surveillance techniques to uncover insider trading.</w:t>
      </w:r>
    </w:p>
    <w:p>
      <w:pPr>
        <w:spacing w:after="0" w:line="196" w:lineRule="exact"/>
        <w:rPr>
          <w:sz w:val="20"/>
          <w:szCs w:val="20"/>
          <w:color w:val="auto"/>
        </w:rPr>
      </w:pPr>
    </w:p>
    <w:p>
      <w:pPr>
        <w:jc w:val="both"/>
        <w:ind w:left="785" w:hanging="487"/>
        <w:spacing w:after="0" w:line="263" w:lineRule="auto"/>
        <w:tabs>
          <w:tab w:leader="none" w:pos="78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 Disciplinary Action. </w:t>
      </w:r>
      <w:r>
        <w:rPr>
          <w:rFonts w:ascii="Times New Roman" w:cs="Times New Roman" w:eastAsia="Times New Roman" w:hAnsi="Times New Roman"/>
          <w:sz w:val="20"/>
          <w:szCs w:val="20"/>
          <w:color w:val="auto"/>
        </w:rPr>
        <w:t>Officers and employees who violate this Policy may also be subject to disciplinary action up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including termination. In addition, if the Company becomes aware of insider trading or “tipping,” the Company may inform the appropriate governmental authorities.</w:t>
      </w:r>
    </w:p>
    <w:p>
      <w:pPr>
        <w:spacing w:after="0" w:line="256" w:lineRule="exact"/>
        <w:rPr>
          <w:rFonts w:ascii="Times New Roman" w:cs="Times New Roman" w:eastAsia="Times New Roman" w:hAnsi="Times New Roman"/>
          <w:sz w:val="20"/>
          <w:szCs w:val="20"/>
          <w:color w:val="auto"/>
        </w:rPr>
      </w:pPr>
    </w:p>
    <w:p>
      <w:pPr>
        <w:ind w:left="325" w:hanging="325"/>
        <w:spacing w:after="0" w:line="273" w:lineRule="auto"/>
        <w:tabs>
          <w:tab w:leader="none" w:pos="325"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Reporting. </w:t>
      </w:r>
      <w:r>
        <w:rPr>
          <w:rFonts w:ascii="Times New Roman" w:cs="Times New Roman" w:eastAsia="Times New Roman" w:hAnsi="Times New Roman"/>
          <w:sz w:val="20"/>
          <w:szCs w:val="20"/>
          <w:color w:val="auto"/>
        </w:rPr>
        <w:t>Known or suspected violations of this Policy may be reported on a confidential and anonymous basis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Whistleblower Policy.</w:t>
      </w:r>
    </w:p>
    <w:p>
      <w:pPr>
        <w:spacing w:after="0" w:line="300" w:lineRule="exact"/>
        <w:rPr>
          <w:rFonts w:ascii="Times New Roman" w:cs="Times New Roman" w:eastAsia="Times New Roman" w:hAnsi="Times New Roman"/>
          <w:sz w:val="20"/>
          <w:szCs w:val="20"/>
          <w:b w:val="1"/>
          <w:bCs w:val="1"/>
          <w:color w:val="auto"/>
        </w:rPr>
      </w:pPr>
    </w:p>
    <w:p>
      <w:pPr>
        <w:ind w:left="365" w:hanging="365"/>
        <w:spacing w:after="0"/>
        <w:tabs>
          <w:tab w:leader="none" w:pos="365"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16 of the Exchange Act.</w:t>
      </w:r>
    </w:p>
    <w:p>
      <w:pPr>
        <w:spacing w:after="0" w:line="71" w:lineRule="exact"/>
        <w:rPr>
          <w:sz w:val="20"/>
          <w:szCs w:val="20"/>
          <w:color w:val="auto"/>
        </w:rPr>
      </w:pPr>
    </w:p>
    <w:p>
      <w:pPr>
        <w:jc w:val="both"/>
        <w:ind w:left="305"/>
        <w:spacing w:after="0" w:line="261" w:lineRule="auto"/>
        <w:rPr>
          <w:sz w:val="20"/>
          <w:szCs w:val="20"/>
          <w:color w:val="auto"/>
        </w:rPr>
      </w:pPr>
      <w:r>
        <w:rPr>
          <w:rFonts w:ascii="Times New Roman" w:cs="Times New Roman" w:eastAsia="Times New Roman" w:hAnsi="Times New Roman"/>
          <w:sz w:val="20"/>
          <w:szCs w:val="20"/>
          <w:color w:val="auto"/>
        </w:rPr>
        <w:t>Directors, Section 16 Officers, and stockholders who directly or indirectly own greater than ten percent of the Company's stock ("Certain Stockholders") must comply with the reporting obligations, limitations on short-swing transactions, and prohibition on short sales set forth in Section 16 under the Exchange Act.</w:t>
      </w:r>
    </w:p>
    <w:p>
      <w:pPr>
        <w:spacing w:after="0" w:line="303" w:lineRule="exact"/>
        <w:rPr>
          <w:sz w:val="20"/>
          <w:szCs w:val="20"/>
          <w:color w:val="auto"/>
        </w:rPr>
      </w:pPr>
    </w:p>
    <w:p>
      <w:pPr>
        <w:jc w:val="both"/>
        <w:ind w:left="305"/>
        <w:spacing w:after="0" w:line="258"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Section 16 Reporting</w:t>
      </w:r>
      <w:r>
        <w:rPr>
          <w:rFonts w:ascii="Times New Roman" w:cs="Times New Roman" w:eastAsia="Times New Roman" w:hAnsi="Times New Roman"/>
          <w:sz w:val="20"/>
          <w:szCs w:val="20"/>
          <w:color w:val="auto"/>
        </w:rPr>
        <w:t xml:space="preserve">. Section 16(a) requires that most transactions involving the Company Securities by a director, Section 16 Officer, or Certain Stockholders (including gifts and option grants and exercises) must be reported to the SEC within two business days following the date of the transaction. Although the Company will assist reporting persons in preparing and filing the required reports, </w:t>
      </w:r>
      <w:r>
        <w:rPr>
          <w:rFonts w:ascii="Times New Roman" w:cs="Times New Roman" w:eastAsia="Times New Roman" w:hAnsi="Times New Roman"/>
          <w:sz w:val="20"/>
          <w:szCs w:val="20"/>
          <w:u w:val="single" w:color="auto"/>
          <w:color w:val="auto"/>
        </w:rPr>
        <w:t>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is ultimately the responsibility of the reporting person to make sure the required reports are prepared and timely filed</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left="305" w:hanging="7"/>
        <w:spacing w:after="0" w:line="244" w:lineRule="auto"/>
        <w:tabs>
          <w:tab w:leader="none" w:pos="54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for Short-Swing Profits</w:t>
      </w:r>
      <w:r>
        <w:rPr>
          <w:rFonts w:ascii="Times New Roman" w:cs="Times New Roman" w:eastAsia="Times New Roman" w:hAnsi="Times New Roman"/>
          <w:sz w:val="20"/>
          <w:szCs w:val="20"/>
          <w:color w:val="auto"/>
        </w:rPr>
        <w:t>. Under Section 16(b), any profit realized or loss avoided by a director or Section 16 Officer on a "short-swing" transaction (i.e., a purchase and a sale, or a sale and purchase, of the Company Securities within a period of less than six months) must be disgorged to the Company upon demand by the Company or a stockholder. Liability under Section 16(b) is applied in a mechanical fashion, without regard to whether the director or Section 16 Officer actually possessed Material Nonpublic Information.</w:t>
      </w:r>
    </w:p>
    <w:p>
      <w:pPr>
        <w:spacing w:after="0" w:line="279" w:lineRule="exact"/>
        <w:rPr>
          <w:rFonts w:ascii="Times New Roman" w:cs="Times New Roman" w:eastAsia="Times New Roman" w:hAnsi="Times New Roman"/>
          <w:sz w:val="20"/>
          <w:szCs w:val="20"/>
          <w:color w:val="auto"/>
        </w:rPr>
      </w:pPr>
    </w:p>
    <w:p>
      <w:pPr>
        <w:jc w:val="both"/>
        <w:ind w:left="305" w:hanging="7"/>
        <w:spacing w:after="0" w:line="263" w:lineRule="auto"/>
        <w:tabs>
          <w:tab w:leader="none" w:pos="535"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Restriction on Short Sales</w:t>
      </w:r>
      <w:r>
        <w:rPr>
          <w:rFonts w:ascii="Times New Roman" w:cs="Times New Roman" w:eastAsia="Times New Roman" w:hAnsi="Times New Roman"/>
          <w:sz w:val="20"/>
          <w:szCs w:val="20"/>
          <w:color w:val="auto"/>
        </w:rPr>
        <w:t>. Section 16(c) prohibits directors and Section 16 Officers from engaging in "short sales" and "sales against the box" in Securities of the Company. A "short sale" is the sale of a Security that the seller does not own or any sale that is completed by delivering a Security borrowed by the seller. A "sale against the box" is the sale of a Security that is owned but not delivered. Instead, delivery is made of a borrowed Security which makes it, in effect, a short sale. Certain similar transactions, such as prepaid forward contracts and collars, however, are permitted by the SEC, and persons subject to this Policy are not prohibited from engaging in these transactions. However, due to the complexity of these transactions, all such persons should consult with the General Counsel prior to engaging in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5"/>
          </w:cols>
          <w:pgMar w:left="435" w:top="35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 of Company</w:t>
            </w:r>
          </w:p>
        </w:tc>
        <w:tc>
          <w:tcPr>
            <w:tcW w:w="6160" w:type="dxa"/>
            <w:vAlign w:val="bottom"/>
          </w:tcPr>
          <w:p>
            <w:pPr>
              <w:spacing w:after="0"/>
              <w:rPr>
                <w:sz w:val="20"/>
                <w:szCs w:val="20"/>
                <w:color w:val="auto"/>
              </w:rPr>
            </w:pPr>
          </w:p>
        </w:tc>
      </w:tr>
      <w:tr>
        <w:trPr>
          <w:trHeight w:val="72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61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Canada Inc.</w:t>
            </w:r>
          </w:p>
        </w:tc>
        <w:tc>
          <w:tcPr>
            <w:tcW w:w="616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GmbH</w:t>
            </w:r>
          </w:p>
        </w:tc>
        <w:tc>
          <w:tcPr>
            <w:tcW w:w="61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UK Limited</w:t>
            </w:r>
          </w:p>
        </w:tc>
        <w:tc>
          <w:tcPr>
            <w:tcW w:w="616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Great Britain</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(Shanghai) Co., Ltd.</w:t>
            </w:r>
          </w:p>
        </w:tc>
        <w:tc>
          <w:tcPr>
            <w:tcW w:w="61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France</w:t>
            </w:r>
          </w:p>
        </w:tc>
        <w:tc>
          <w:tcPr>
            <w:tcW w:w="616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Australia Pty Ltd.</w:t>
            </w:r>
          </w:p>
        </w:tc>
        <w:tc>
          <w:tcPr>
            <w:tcW w:w="61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Installation, Inc.</w:t>
            </w:r>
          </w:p>
        </w:tc>
        <w:tc>
          <w:tcPr>
            <w:tcW w:w="616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South Dakota</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Japan, Inc.</w:t>
            </w:r>
          </w:p>
        </w:tc>
        <w:tc>
          <w:tcPr>
            <w:tcW w:w="61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HK Limited</w:t>
            </w:r>
          </w:p>
        </w:tc>
        <w:tc>
          <w:tcPr>
            <w:tcW w:w="616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(International) Limited</w:t>
            </w:r>
          </w:p>
        </w:tc>
        <w:tc>
          <w:tcPr>
            <w:tcW w:w="61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Macau</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Singapore Pte. Ltd.</w:t>
            </w:r>
          </w:p>
        </w:tc>
        <w:tc>
          <w:tcPr>
            <w:tcW w:w="616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Spain S.L.</w:t>
            </w:r>
          </w:p>
        </w:tc>
        <w:tc>
          <w:tcPr>
            <w:tcW w:w="61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Belgium</w:t>
            </w:r>
          </w:p>
        </w:tc>
        <w:tc>
          <w:tcPr>
            <w:tcW w:w="616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Belgium</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Ireland Holdings Limited</w:t>
            </w:r>
          </w:p>
        </w:tc>
        <w:tc>
          <w:tcPr>
            <w:tcW w:w="61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Mexico, S. de R.L. de C.V.</w:t>
            </w:r>
          </w:p>
        </w:tc>
        <w:tc>
          <w:tcPr>
            <w:tcW w:w="616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Arabia</w:t>
            </w:r>
          </w:p>
        </w:tc>
        <w:tc>
          <w:tcPr>
            <w:tcW w:w="61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Saudi Arabia</w:t>
            </w:r>
          </w:p>
        </w:tc>
      </w:tr>
    </w:tbl>
    <w:p>
      <w:pPr>
        <w:sectPr>
          <w:pgSz w:w="11900" w:h="16838" w:orient="portrait"/>
          <w:cols w:equalWidth="0" w:num="1">
            <w:col w:w="11240"/>
          </w:cols>
          <w:pgMar w:left="320" w:top="140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8"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54006, 333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221901, and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273216 on Form S-3 and Registration Statement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100842, 333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109962, 333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169568, 333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206750, 333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221862, 333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227580, 333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248591, 333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268779, and 333-290100 on Form S-8 of our reports dated June 24, 2026, relating to the financial statements of Daktronics, Inc. and the effectiveness of Daktronics, Inc.'s internal control over financial reporting appearing in this Annual Report on Form 10-K for the year ended May 2,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ectPr>
          <w:pgSz w:w="11900" w:h="16838" w:orient="portrait"/>
          <w:cols w:equalWidth="0" w:num="1">
            <w:col w:w="11240"/>
          </w:cols>
          <w:pgMar w:left="320" w:top="1400"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each of Ramesh Jayaraman and</w:t>
      </w:r>
    </w:p>
    <w:p>
      <w:pPr>
        <w:spacing w:after="0" w:line="2" w:lineRule="exact"/>
        <w:rPr>
          <w:sz w:val="20"/>
          <w:szCs w:val="20"/>
          <w:color w:val="auto"/>
        </w:rPr>
      </w:pPr>
    </w:p>
    <w:p>
      <w:pPr>
        <w:jc w:val="both"/>
        <w:ind w:left="120" w:right="20"/>
        <w:spacing w:after="0" w:line="208" w:lineRule="auto"/>
        <w:rPr>
          <w:sz w:val="20"/>
          <w:szCs w:val="20"/>
          <w:color w:val="auto"/>
        </w:rPr>
      </w:pPr>
      <w:r>
        <w:rPr>
          <w:rFonts w:ascii="Times New Roman" w:cs="Times New Roman" w:eastAsia="Times New Roman" w:hAnsi="Times New Roman"/>
          <w:sz w:val="18"/>
          <w:szCs w:val="18"/>
          <w:color w:val="auto"/>
        </w:rPr>
        <w:t>Howard I. Atkins,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May 2, 2026, and any or all amendments to said Annual Report, and to file the same, with all exhibits</w:t>
      </w:r>
    </w:p>
    <w:p>
      <w:pPr>
        <w:spacing w:after="0" w:line="2" w:lineRule="exact"/>
        <w:rPr>
          <w:sz w:val="20"/>
          <w:szCs w:val="20"/>
          <w:color w:val="auto"/>
        </w:rPr>
      </w:pPr>
    </w:p>
    <w:p>
      <w:pPr>
        <w:jc w:val="both"/>
        <w:ind w:left="120" w:right="20"/>
        <w:spacing w:after="0" w:line="208" w:lineRule="auto"/>
        <w:rPr>
          <w:sz w:val="20"/>
          <w:szCs w:val="20"/>
          <w:color w:val="auto"/>
        </w:rPr>
      </w:pPr>
      <w:r>
        <w:rPr>
          <w:rFonts w:ascii="Times New Roman" w:cs="Times New Roman" w:eastAsia="Times New Roman" w:hAnsi="Times New Roman"/>
          <w:sz w:val="18"/>
          <w:szCs w:val="18"/>
          <w:color w:val="auto"/>
        </w:rPr>
        <w:t>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confirming all that each such attorney-in-fact and agent, or his substitute, may lawfully do or cause to be done by virtue hereof.</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following persons on the dates indicated below their names.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513"/>
        </w:trPr>
        <w:tc>
          <w:tcPr>
            <w:tcW w:w="1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By /s/ Howard I. Atkins</w:t>
            </w:r>
          </w:p>
        </w:tc>
        <w:tc>
          <w:tcPr>
            <w:tcW w:w="2080" w:type="dxa"/>
            <w:vAlign w:val="bottom"/>
            <w:gridSpan w:val="5"/>
          </w:tcPr>
          <w:p>
            <w:pPr>
              <w:spacing w:after="0"/>
              <w:rPr>
                <w:sz w:val="24"/>
                <w:szCs w:val="24"/>
                <w:color w:val="auto"/>
              </w:rPr>
            </w:pP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Howard I. Atkins</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By /s/ Mark F. Bowser</w:t>
            </w:r>
          </w:p>
        </w:tc>
        <w:tc>
          <w:tcPr>
            <w:tcW w:w="2180" w:type="dxa"/>
            <w:vAlign w:val="bottom"/>
            <w:gridSpan w:val="6"/>
          </w:tcPr>
          <w:p>
            <w:pPr>
              <w:spacing w:after="0"/>
              <w:rPr>
                <w:sz w:val="24"/>
                <w:szCs w:val="24"/>
                <w:color w:val="auto"/>
              </w:rPr>
            </w:pP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Mark F. Bowser</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Dr. Lance D. Bultena</w:t>
            </w: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0"/>
        </w:trPr>
        <w:tc>
          <w:tcPr>
            <w:tcW w:w="1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38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Dr. Lance D. Bultena</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By /s/ Peter Feigin</w:t>
            </w:r>
          </w:p>
        </w:tc>
        <w:tc>
          <w:tcPr>
            <w:tcW w:w="2460" w:type="dxa"/>
            <w:vAlign w:val="bottom"/>
            <w:gridSpan w:val="8"/>
          </w:tcPr>
          <w:p>
            <w:pPr>
              <w:spacing w:after="0"/>
              <w:rPr>
                <w:sz w:val="24"/>
                <w:szCs w:val="24"/>
                <w:color w:val="auto"/>
              </w:rPr>
            </w:pP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Peter Feigin</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By /s/ John P. Friel</w:t>
            </w:r>
          </w:p>
        </w:tc>
        <w:tc>
          <w:tcPr>
            <w:tcW w:w="2440" w:type="dxa"/>
            <w:vAlign w:val="bottom"/>
            <w:gridSpan w:val="7"/>
          </w:tcPr>
          <w:p>
            <w:pPr>
              <w:spacing w:after="0"/>
              <w:rPr>
                <w:sz w:val="24"/>
                <w:szCs w:val="24"/>
                <w:color w:val="auto"/>
              </w:rPr>
            </w:pP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John P. Friel</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Neil D. Glat</w:t>
            </w: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0"/>
        </w:trPr>
        <w:tc>
          <w:tcPr>
            <w:tcW w:w="1360" w:type="dxa"/>
            <w:vAlign w:val="bottom"/>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38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Neil D. Glat</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Dr. José-Marie Griffiths</w:t>
            </w: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0"/>
        </w:trPr>
        <w:tc>
          <w:tcPr>
            <w:tcW w:w="178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38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Dr. José-Marie Griffiths</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3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Ramesh Jayaraman</w:t>
            </w: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0"/>
        </w:trPr>
        <w:tc>
          <w:tcPr>
            <w:tcW w:w="178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38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Ramesh Jayaraman</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1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By /s/ Andrew D. Siegel</w:t>
            </w:r>
          </w:p>
        </w:tc>
        <w:tc>
          <w:tcPr>
            <w:tcW w:w="2040" w:type="dxa"/>
            <w:vAlign w:val="bottom"/>
            <w:gridSpan w:val="4"/>
          </w:tcPr>
          <w:p>
            <w:pPr>
              <w:spacing w:after="0"/>
              <w:rPr>
                <w:sz w:val="24"/>
                <w:szCs w:val="24"/>
                <w:color w:val="auto"/>
              </w:rPr>
            </w:pP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Andrew D. Siegel</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2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By /s/ Shereta D. Williams</w:t>
            </w:r>
          </w:p>
        </w:tc>
        <w:tc>
          <w:tcPr>
            <w:tcW w:w="1820" w:type="dxa"/>
            <w:vAlign w:val="bottom"/>
            <w:gridSpan w:val="2"/>
          </w:tcPr>
          <w:p>
            <w:pPr>
              <w:spacing w:after="0"/>
              <w:rPr>
                <w:sz w:val="24"/>
                <w:szCs w:val="24"/>
                <w:color w:val="auto"/>
              </w:rPr>
            </w:pPr>
          </w:p>
        </w:tc>
        <w:tc>
          <w:tcPr>
            <w:tcW w:w="3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June 24, 2026</w:t>
            </w:r>
          </w:p>
        </w:tc>
      </w:tr>
      <w:tr>
        <w:trPr>
          <w:trHeight w:val="277"/>
        </w:trPr>
        <w:tc>
          <w:tcPr>
            <w:tcW w:w="382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Shereta D. Williams</w:t>
            </w: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100"/>
          </w:cols>
          <w:pgMar w:left="340" w:top="1400" w:right="45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REQUIRED BY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Ramesh Jayaraman, certify that:</w:t>
      </w:r>
    </w:p>
    <w:p>
      <w:pPr>
        <w:spacing w:after="0" w:line="18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May 2, 2026 of Daktronics,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Ramesh Jayaraman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Ramesh Jayaraman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24, 2026</w:t>
      </w:r>
    </w:p>
    <w:p>
      <w:pPr>
        <w:sectPr>
          <w:pgSz w:w="11900" w:h="16838" w:orient="portrait"/>
          <w:cols w:equalWidth="0" w:num="1">
            <w:col w:w="11240"/>
          </w:cols>
          <w:pgMar w:left="320" w:top="110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REQUIRED BY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Howard I. Atkins, certify that:</w:t>
      </w:r>
    </w:p>
    <w:p>
      <w:pPr>
        <w:spacing w:after="0" w:line="18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May 2, 2026 of Daktronics,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Howard I. Atkins</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Howard I. Atkins</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24, 2026</w:t>
      </w:r>
    </w:p>
    <w:p>
      <w:pPr>
        <w:sectPr>
          <w:pgSz w:w="11900" w:h="16838" w:orient="portrait"/>
          <w:cols w:equalWidth="0" w:num="1">
            <w:col w:w="11240"/>
          </w:cols>
          <w:pgMar w:left="320" w:top="110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Daktronics, Inc. (the “Company”) for the fiscal year ended May 2, 2026 as filed with the Securities and Exchange Commission on the date hereof (the “Report”), I, Ramesh Jayaraman, Chief Executive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Ramesh Jayaraman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Ramesh Jayaraman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24, 2026</w:t>
      </w:r>
    </w:p>
    <w:p>
      <w:pPr>
        <w:sectPr>
          <w:pgSz w:w="11900" w:h="16838" w:orient="portrait"/>
          <w:cols w:equalWidth="0" w:num="1">
            <w:col w:w="11240"/>
          </w:cols>
          <w:pgMar w:left="320" w:top="110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Daktronics, Inc. (the “Company”) for the fiscal year ended May 2, 2026 as filed with the Securities and Exchange Commission on the date hereof (the “Report”), I, Howard I. Atkins, Acting Chief Financial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Howard I. Atkins</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Howard I. Atkins</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lowerRoman"/>
      <w:start w:val="22"/>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lowerRoman"/>
      <w:start w:val="6"/>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lvl w:ilvl="1">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23"/>
    </w:lvl>
  </w:abstractNum>
  <w:abstractNum w:abstractNumId="13">
    <w:nsid w:val="3A95F874"/>
    <w:multiLevelType w:val="hybridMultilevel"/>
    <w:lvl w:ilvl="0">
      <w:lvlJc w:val="left"/>
      <w:lvlText w:val="%1"/>
      <w:numFmt w:val="decimal"/>
      <w:start w:val="36"/>
    </w:lvl>
  </w:abstractNum>
  <w:abstractNum w:abstractNumId="14">
    <w:nsid w:val="8138641"/>
    <w:multiLevelType w:val="hybridMultilevel"/>
    <w:lvl w:ilvl="0">
      <w:lvlJc w:val="left"/>
      <w:lvlText w:val="%1"/>
      <w:numFmt w:val="decimal"/>
      <w:start w:val="140"/>
    </w:lvl>
    <w:lvl w:ilvl="1">
      <w:lvlJc w:val="left"/>
      <w:lvlText w:val="%2"/>
      <w:numFmt w:val="decimal"/>
      <w:start w:val="1"/>
    </w:lvl>
  </w:abstractNum>
  <w:abstractNum w:abstractNumId="15">
    <w:nsid w:val="1E7FF521"/>
    <w:multiLevelType w:val="hybridMultilevel"/>
    <w:lvl w:ilvl="0">
      <w:lvlJc w:val="left"/>
      <w:lvlText w:val="%1"/>
      <w:numFmt w:val="decimal"/>
      <w:start w:val="19"/>
    </w:lvl>
    <w:lvl w:ilvl="1">
      <w:lvlJc w:val="left"/>
      <w:lvlText w:val="(%2)"/>
      <w:numFmt w:val="decimal"/>
      <w:start w:val="31"/>
    </w:lvl>
  </w:abstractNum>
  <w:abstractNum w:abstractNumId="16">
    <w:nsid w:val="7C3DBD3D"/>
    <w:multiLevelType w:val="hybridMultilevel"/>
    <w:lvl w:ilvl="0">
      <w:lvlJc w:val="left"/>
      <w:lvlText w:val="(%1)"/>
      <w:numFmt w:val="decimal"/>
      <w:start w:val="36"/>
    </w:lvl>
  </w:abstractNum>
  <w:abstractNum w:abstractNumId="17">
    <w:nsid w:val="737B8DDC"/>
    <w:multiLevelType w:val="hybridMultilevel"/>
    <w:lvl w:ilvl="0">
      <w:lvlJc w:val="left"/>
      <w:lvlText w:val="(%1)"/>
      <w:numFmt w:val="decimal"/>
      <w:start w:val="327"/>
    </w:lvl>
  </w:abstractNum>
  <w:abstractNum w:abstractNumId="18">
    <w:nsid w:val="6CEAF087"/>
    <w:multiLevelType w:val="hybridMultilevel"/>
    <w:lvl w:ilvl="0">
      <w:lvlJc w:val="left"/>
      <w:lvlText w:val="\emdash "/>
      <w:numFmt w:val="bullet"/>
      <w:start w:val="1"/>
    </w:lvl>
  </w:abstractNum>
  <w:abstractNum w:abstractNumId="19">
    <w:nsid w:val="22221A70"/>
    <w:multiLevelType w:val="hybridMultilevel"/>
    <w:lvl w:ilvl="0">
      <w:lvlJc w:val="left"/>
      <w:lvlText w:val="(%1)"/>
      <w:numFmt w:val="decimal"/>
      <w:start w:val="178"/>
    </w:lvl>
  </w:abstractNum>
  <w:abstractNum w:abstractNumId="20">
    <w:nsid w:val="4516DDE9"/>
    <w:multiLevelType w:val="hybridMultilevel"/>
    <w:lvl w:ilvl="0">
      <w:lvlJc w:val="left"/>
      <w:lvlText w:val="\emdash "/>
      <w:numFmt w:val="bullet"/>
      <w:start w:val="1"/>
    </w:lvl>
  </w:abstractNum>
  <w:abstractNum w:abstractNumId="21">
    <w:nsid w:val="3006C83E"/>
    <w:multiLevelType w:val="hybridMultilevel"/>
    <w:lvl w:ilvl="0">
      <w:lvlJc w:val="left"/>
      <w:lvlText w:val="(%1)"/>
      <w:numFmt w:val="decimal"/>
      <w:start w:val="35"/>
    </w:lvl>
  </w:abstractNum>
  <w:abstractNum w:abstractNumId="22">
    <w:nsid w:val="614FD4A1"/>
    <w:multiLevelType w:val="hybridMultilevel"/>
    <w:lvl w:ilvl="0">
      <w:lvlJc w:val="left"/>
      <w:lvlText w:val="(%1)"/>
      <w:numFmt w:val="decimal"/>
      <w:start w:val="15"/>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decimal"/>
      <w:start w:val="2"/>
    </w:lvl>
  </w:abstractNum>
  <w:abstractNum w:abstractNumId="25">
    <w:nsid w:val="440BADFC"/>
    <w:multiLevelType w:val="hybridMultilevel"/>
    <w:lvl w:ilvl="0">
      <w:lvlJc w:val="left"/>
      <w:lvlText w:val="%1"/>
      <w:numFmt w:val="decimal"/>
      <w:start w:val="19"/>
    </w:lvl>
  </w:abstractNum>
  <w:abstractNum w:abstractNumId="26">
    <w:nsid w:val="5072367"/>
    <w:multiLevelType w:val="hybridMultilevel"/>
    <w:lvl w:ilvl="0">
      <w:lvlJc w:val="left"/>
      <w:lvlText w:val="%1"/>
      <w:numFmt w:val="decimal"/>
      <w:start w:val="24"/>
    </w:lvl>
  </w:abstractNum>
  <w:abstractNum w:abstractNumId="27">
    <w:nsid w:val="3804823E"/>
    <w:multiLevelType w:val="hybridMultilevel"/>
    <w:lvl w:ilvl="0">
      <w:lvlJc w:val="left"/>
      <w:lvlText w:val="%1"/>
      <w:numFmt w:val="decimal"/>
      <w:start w:val="97"/>
    </w:lvl>
  </w:abstractNum>
  <w:abstractNum w:abstractNumId="28">
    <w:nsid w:val="77465F01"/>
    <w:multiLevelType w:val="hybridMultilevel"/>
    <w:lvl w:ilvl="0">
      <w:lvlJc w:val="left"/>
      <w:lvlText w:val="%1"/>
      <w:numFmt w:val="decimal"/>
      <w:start w:val="101"/>
    </w:lvl>
  </w:abstractNum>
  <w:abstractNum w:abstractNumId="29">
    <w:nsid w:val="7724C67E"/>
    <w:multiLevelType w:val="hybridMultilevel"/>
    <w:lvl w:ilvl="0">
      <w:lvlJc w:val="left"/>
      <w:lvlText w:val="%1"/>
      <w:numFmt w:val="decimal"/>
      <w:start w:val="104"/>
    </w:lvl>
    <w:lvl w:ilvl="1">
      <w:lvlJc w:val="left"/>
      <w:lvlText w:val="(%2)"/>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3"/>
    </w:lvl>
    <w:lvl w:ilvl="1">
      <w:lvlJc w:val="left"/>
      <w:lvlText w:val="%2."/>
      <w:numFmt w:val="lowerLetter"/>
      <w:start w:val="1"/>
    </w:lvl>
  </w:abstractNum>
  <w:abstractNum w:abstractNumId="33">
    <w:nsid w:val="51EAD36B"/>
    <w:multiLevelType w:val="hybridMultilevel"/>
    <w:lvl w:ilvl="0">
      <w:lvlJc w:val="left"/>
      <w:lvlText w:val="%1."/>
      <w:numFmt w:val="decimal"/>
      <w:start w:val="5"/>
    </w:lvl>
    <w:lvl w:ilvl="1">
      <w:lvlJc w:val="left"/>
      <w:lvlText w:val="%2"/>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
      <w:numFmt w:val="bullet"/>
      <w:start w:val="1"/>
    </w:lvl>
  </w:abstractNum>
  <w:abstractNum w:abstractNumId="36">
    <w:nsid w:val="153EA43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lvl w:ilvl="1">
      <w:lvlJc w:val="left"/>
      <w:lvlText w:val="%2."/>
      <w:numFmt w:val="lowerLetter"/>
      <w:start w:val="2"/>
    </w:lvl>
  </w:abstractNum>
  <w:abstractNum w:abstractNumId="39">
    <w:nsid w:val="6A2342EC"/>
    <w:multiLevelType w:val="hybridMultilevel"/>
    <w:lvl w:ilvl="0">
      <w:lvlJc w:val="left"/>
      <w:lvlText w:val="%1."/>
      <w:numFmt w:val="decimal"/>
      <w:start w:val="8"/>
    </w:lvl>
    <w:lvl w:ilvl="1">
      <w:lvlJc w:val="left"/>
      <w:lvlText w:val="%2"/>
      <w:numFmt w:val="lowerLetter"/>
      <w:start w:val="1"/>
    </w:lvl>
  </w:abstractNum>
  <w:abstractNum w:abstractNumId="40">
    <w:nsid w:val="2A487CB0"/>
    <w:multiLevelType w:val="hybridMultilevel"/>
    <w:lvl w:ilvl="0">
      <w:lvlJc w:val="left"/>
      <w:lvlText w:val="%1."/>
      <w:numFmt w:val="lowerLetter"/>
      <w:start w:val="2"/>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46" Type="http://schemas.openxmlformats.org/officeDocument/2006/relationships/image" Target="media/image128.png"/><Relationship Id="rId166"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44" Type="http://schemas.openxmlformats.org/officeDocument/2006/relationships/hyperlink" Target="https://www.sec.gov/ix?doc=/Archives/edgar/data/0000915779/000091577924000025/dakt-20240427.htm" TargetMode="External"/><Relationship Id="rId136" Type="http://schemas.openxmlformats.org/officeDocument/2006/relationships/hyperlink" Target="https://www.sec.gov/Archives/edgar/data/915779/000119312525084867/d894627dex32.htm" TargetMode="External"/><Relationship Id="rId137" Type="http://schemas.openxmlformats.org/officeDocument/2006/relationships/hyperlink" Target="https://www.sec.gov/Archives/edgar/data/915779/000119312525084867/d894627dex33.htm" TargetMode="External"/><Relationship Id="rId138" Type="http://schemas.openxmlformats.org/officeDocument/2006/relationships/hyperlink" Target="https://www.sec.gov/Archives/edgar/data/915779/000091577918000089/dakt_20181116x8-kxex41.htm" TargetMode="External"/><Relationship Id="rId139" Type="http://schemas.openxmlformats.org/officeDocument/2006/relationships/hyperlink" Target="https://www.sec.gov/Archives/edgar/data/915779/000143774921027158/ex_309612.htm" TargetMode="External"/><Relationship Id="rId140" Type="http://schemas.openxmlformats.org/officeDocument/2006/relationships/hyperlink" Target="https://www.sec.gov/Archives/edgar/data/915779/000091577924000145/exhibit43_2ndamendmenttori.htm" TargetMode="External"/><Relationship Id="rId141" Type="http://schemas.openxmlformats.org/officeDocument/2006/relationships/hyperlink" Target="https://www.sec.gov/Archives/edgar/data/915779/000119312525044301/d874207dex44.htm" TargetMode="External"/><Relationship Id="rId142" Type="http://schemas.openxmlformats.org/officeDocument/2006/relationships/hyperlink" Target="https://www.sec.gov/Archives/edgar/data/915779/000091577925000102/exhibit4504262025.htm" TargetMode="External"/><Relationship Id="rId143" Type="http://schemas.openxmlformats.org/officeDocument/2006/relationships/hyperlink" Target="https://www.sec.gov/ix?doc=/Archives/edgar/data/0000915779/000091577925000132/dakt-20250813.htm#i8658f743c1094dd0b57f5d6790f004b7_309" TargetMode="External"/><Relationship Id="rId144" Type="http://schemas.openxmlformats.org/officeDocument/2006/relationships/hyperlink" Target="https://www.sec.gov/Archives/edgar/data/915779/000162828025056270/ex103-restrictedstockaward.htm" TargetMode="External"/><Relationship Id="rId145" Type="http://schemas.openxmlformats.org/officeDocument/2006/relationships/hyperlink" Target="https://www.sec.gov/Archives/edgar/data/915779/000162828025056270/ex104-nonxqualifiedstockop.htm" TargetMode="External"/><Relationship Id="rId147" Type="http://schemas.openxmlformats.org/officeDocument/2006/relationships/hyperlink" Target="https://www.sec.gov/Archives/edgar/data/915779/000162828025056270/ex105-incentivestockoption.htm" TargetMode="External"/><Relationship Id="rId148" Type="http://schemas.openxmlformats.org/officeDocument/2006/relationships/hyperlink" Target="https://www.sec.gov/Archives/edgar/data/915779/000162828025056270/ex106-rsugrantnoticeandagr.htm" TargetMode="External"/><Relationship Id="rId149" Type="http://schemas.openxmlformats.org/officeDocument/2006/relationships/hyperlink" Target="https://www.sec.gov/Archives/edgar/data/915779/000162828025056270/ex107-psugrantnoticeandagr.htm" TargetMode="External"/><Relationship Id="rId150" Type="http://schemas.openxmlformats.org/officeDocument/2006/relationships/hyperlink" Target="https://www.sec.gov/Archives/edgar/data/915779/000091577923000029/exhibit106toform_execute.htm" TargetMode="External"/><Relationship Id="rId151" Type="http://schemas.openxmlformats.org/officeDocument/2006/relationships/hyperlink" Target="https://www.sec.gov/Archives/edgar/data/915779/000091577923000029/exhibit107toform_execute.htm" TargetMode="External"/><Relationship Id="rId152" Type="http://schemas.openxmlformats.org/officeDocument/2006/relationships/hyperlink" Target="https://www.sec.gov/Archives/edgar/data/915779/000119312525044301/d874207dex101.htm" TargetMode="External"/><Relationship Id="rId153" Type="http://schemas.openxmlformats.org/officeDocument/2006/relationships/hyperlink" Target="https://www.sec.gov/Archives/edgar/data/915779/000162828025047438/firstamendmenttocooperatio.htm" TargetMode="External"/><Relationship Id="rId154" Type="http://schemas.openxmlformats.org/officeDocument/2006/relationships/hyperlink" Target="https://www.sec.gov/Archives/edgar/data/915779/000119312525047361/d936246dex101.htm" TargetMode="External"/><Relationship Id="rId155" Type="http://schemas.openxmlformats.org/officeDocument/2006/relationships/hyperlink" Target="https://www.sec.gov/Archives/edgar/data/915779/000119312525047361/d936246dex102.htm" TargetMode="External"/><Relationship Id="rId156" Type="http://schemas.openxmlformats.org/officeDocument/2006/relationships/hyperlink" Target="https://www.sec.gov/Archives/edgar/data/915779/000162828025047438/amendment_toxconsultingxag.htm" TargetMode="External"/><Relationship Id="rId157" Type="http://schemas.openxmlformats.org/officeDocument/2006/relationships/hyperlink" Target="https://www.sec.gov/Archives/edgar/data/915779/000162828026004636/secondamendment_toxconsult.htm" TargetMode="External"/><Relationship Id="rId158" Type="http://schemas.openxmlformats.org/officeDocument/2006/relationships/hyperlink" Target="https://www.sec.gov/Archives/edgar/data/915779/000119312525047361/d936246dex103.htm" TargetMode="External"/><Relationship Id="rId159" Type="http://schemas.openxmlformats.org/officeDocument/2006/relationships/hyperlink" Target="https://www.sec.gov/Archives/edgar/data/915779/000119312525047361/d936246dex105.htm" TargetMode="External"/><Relationship Id="rId160" Type="http://schemas.openxmlformats.org/officeDocument/2006/relationships/hyperlink" Target="https://www.sec.gov/Archives/edgar/data/915779/000119312525047361/d936246dex104.htm" TargetMode="External"/><Relationship Id="rId161" Type="http://schemas.openxmlformats.org/officeDocument/2006/relationships/hyperlink" Target="https://www.sec.gov/Archives/edgar/data/915779/000119312525047361/d936246dex106.htm" TargetMode="External"/><Relationship Id="rId162" Type="http://schemas.openxmlformats.org/officeDocument/2006/relationships/hyperlink" Target="https://www.sec.gov/Archives/edgar/data/915779/000119312525146291/d122389dex101.htm" TargetMode="External"/><Relationship Id="rId163" Type="http://schemas.openxmlformats.org/officeDocument/2006/relationships/hyperlink" Target="https://www.sec.gov/Archives/edgar/data/915779/000162828026010251/amendedandrestateddaktroni.htm" TargetMode="External"/><Relationship Id="rId164" Type="http://schemas.openxmlformats.org/officeDocument/2006/relationships/hyperlink" Target="https://www.sec.gov/Archives/edgar/data/915779/000162828025055114/executed2025creditagreem.htm" TargetMode="External"/><Relationship Id="rId165" Type="http://schemas.openxmlformats.org/officeDocument/2006/relationships/hyperlink" Target="https://www.sec.gov/Archives/edgar/data/915779/000162828025055114/executed2025pledgeandsec.htm" TargetMode="External"/><Relationship Id="rId167" Type="http://schemas.openxmlformats.org/officeDocument/2006/relationships/hyperlink" Target="https://www.sec.gov/Archives/edgar/data/915779/000162828025054909/rameshjayaraman_offerlette.htm" TargetMode="External"/><Relationship Id="rId168" Type="http://schemas.openxmlformats.org/officeDocument/2006/relationships/hyperlink" Target="https://www.sec.gov/Archives/edgar/data/915779/000162828026002798/daktronics-separationandre.htm" TargetMode="External"/><Relationship Id="rId169" Type="http://schemas.openxmlformats.org/officeDocument/2006/relationships/hyperlink" Target="https://www.sec.gov/Archives/edgar/data/915779/000162828026002798/daktronics-consultingagree.htm" TargetMode="External"/><Relationship Id="rId170" Type="http://schemas.openxmlformats.org/officeDocument/2006/relationships/hyperlink" Target="https://www.sec.gov/Archives/edgar/data/915779/000091577924000025/exhibit970427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2026-06-24T16:28:04Z</dcterms:created>
  <dcterms:modified xsi:type="dcterms:W3CDTF">2026-06-24T16:28:04Z</dcterms:modified>
</cp:coreProperties>
</file>