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6687.xml.htm"/>
      <w:bookmarkStart w:id="1" w:name="kswkform4_17842366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Kurtenbach Matthew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of Manufacturing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28,929</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RSUs granted under the Daktronics, Inc. 2025 Stock Incentive Plan. The RSUs vest in four equal annual installments beginning August 23, 2027, subject to certain vesting, forfeiture, and termination provisions.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derivative securities beneficially owned represents the aggregate number of unvested restricted stock units beneficially owned by the reporting person following the reported transaction, consisting of: (i) 500 unvested RSUs granted September 2, 2021; (ii) 1,000 unvested RSUs granted September 8, 2022; (iii) 738 unvested RSUs granted September 11, 2023; (iv) 1,816 unvested RSUs granted September 9, 2024; (v) 9,211 unvested RSUs granted March 5, 2025; (vi) 8,391 unvested RSUs granted July 28, 2025; and (vii) 7,273 unvested RSUs granted July 14, 2026. Such awards vest at varying times pursuant to the terms of the applicable award agreements.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 Kurtenbach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5065"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3942</Characters>
  <CharactersWithSpaces>4596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