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(Rule 14a-101)</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 INFORMATION</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10219"/>
          </w:cols>
          <w:pgMar w:left="240" w:top="904"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04"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04"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04"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1" w:lineRule="exact"/>
        <w:rPr>
          <w:sz w:val="24"/>
          <w:szCs w:val="24"/>
          <w:color w:val="auto"/>
        </w:rPr>
      </w:pPr>
    </w:p>
    <w:p>
      <w:pPr>
        <w:sectPr>
          <w:pgSz w:w="11900" w:h="16838" w:orient="portrait"/>
          <w:cols w:equalWidth="0" w:num="2">
            <w:col w:w="300" w:space="500"/>
            <w:col w:w="9419"/>
          </w:cols>
          <w:pgMar w:left="240" w:top="904" w:right="1440" w:bottom="1440" w:gutter="0" w:footer="0" w:header="0"/>
          <w:type w:val="continuous"/>
        </w:sectPr>
      </w:pPr>
    </w:p>
    <w:p>
      <w:pPr>
        <w:ind w:left="240" w:hanging="205"/>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b w:val="1"/>
          <w:bCs w:val="1"/>
          <w:color w:val="auto"/>
        </w:rPr>
        <w:t>Confidential, for Use of the Commission Only (as permitted by Rule 14a-6(e)(2))</w:t>
      </w:r>
    </w:p>
    <w:p>
      <w:pPr>
        <w:spacing w:after="0" w:line="67" w:lineRule="exact"/>
        <w:rPr>
          <w:sz w:val="24"/>
          <w:szCs w:val="24"/>
          <w:color w:val="auto"/>
        </w:rPr>
      </w:pPr>
    </w:p>
    <w:p>
      <w:pPr>
        <w:ind w:left="800" w:hanging="76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under §240.14a-12</w:t>
      </w:r>
    </w:p>
    <w:p>
      <w:pPr>
        <w:spacing w:after="0" w:line="253"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00" w:hanging="765"/>
        <w:spacing w:after="0"/>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540" w:hanging="749"/>
        <w:spacing w:after="0"/>
        <w:tabs>
          <w:tab w:leader="none" w:pos="1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540" w:hanging="749"/>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540" w:right="1079" w:hanging="749"/>
        <w:spacing w:after="0" w:line="308" w:lineRule="auto"/>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540" w:hanging="749"/>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540" w:hanging="749"/>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63" w:lineRule="exact"/>
        <w:rPr>
          <w:sz w:val="24"/>
          <w:szCs w:val="24"/>
          <w:color w:val="auto"/>
        </w:rPr>
      </w:pPr>
    </w:p>
    <w:p>
      <w:pPr>
        <w:ind w:left="800" w:right="859" w:hanging="765"/>
        <w:spacing w:after="0" w:line="264"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5" w:lineRule="exact"/>
        <w:rPr>
          <w:sz w:val="24"/>
          <w:szCs w:val="24"/>
          <w:color w:val="auto"/>
        </w:rPr>
      </w:pPr>
    </w:p>
    <w:p>
      <w:pPr>
        <w:ind w:left="1540" w:hanging="749"/>
        <w:spacing w:after="0"/>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540" w:hanging="749"/>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63" w:lineRule="exact"/>
        <w:rPr>
          <w:sz w:val="24"/>
          <w:szCs w:val="24"/>
          <w:color w:val="auto"/>
        </w:rPr>
      </w:pPr>
    </w:p>
    <w:p>
      <w:pPr>
        <w:ind w:left="1540" w:hanging="749"/>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540" w:hanging="749"/>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5, 2018</w:t>
      </w:r>
    </w:p>
    <w:p>
      <w:pPr>
        <w:sectPr>
          <w:pgSz w:w="11900" w:h="16838" w:orient="portrait"/>
          <w:cols w:equalWidth="0" w:num="1">
            <w:col w:w="11420"/>
          </w:cols>
          <w:pgMar w:left="240" w:top="364" w:right="239" w:bottom="1440" w:gutter="0" w:footer="0" w:header="0"/>
        </w:sect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Time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7:00 p.m. Central Daylight Time on Wednesday, September 5, 2018</w:t>
      </w:r>
    </w:p>
    <w:p>
      <w:pPr>
        <w:spacing w:after="0" w:line="207"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Daktronics, Inc.</w:t>
      </w:r>
    </w:p>
    <w:p>
      <w:pPr>
        <w:spacing w:after="0" w:line="86" w:lineRule="exact"/>
        <w:rPr>
          <w:sz w:val="20"/>
          <w:szCs w:val="20"/>
          <w:color w:val="auto"/>
        </w:rPr>
      </w:pPr>
    </w:p>
    <w:p>
      <w:pPr>
        <w:sectPr>
          <w:pgSz w:w="11900" w:h="16838" w:orient="portrait"/>
          <w:cols w:equalWidth="0" w:num="2">
            <w:col w:w="1240" w:space="720"/>
            <w:col w:w="9460"/>
          </w:cols>
          <w:pgMar w:left="240" w:top="364" w:right="239" w:bottom="1440" w:gutter="0" w:footer="0" w:header="0"/>
          <w:type w:val="continuous"/>
        </w:sectPr>
      </w:pPr>
    </w:p>
    <w:p>
      <w:pPr>
        <w:ind w:left="1960"/>
        <w:spacing w:after="0"/>
        <w:rPr>
          <w:sz w:val="20"/>
          <w:szCs w:val="20"/>
          <w:color w:val="auto"/>
        </w:rPr>
      </w:pPr>
      <w:r>
        <w:rPr>
          <w:rFonts w:ascii="Arial" w:cs="Arial" w:eastAsia="Arial" w:hAnsi="Arial"/>
          <w:sz w:val="18"/>
          <w:szCs w:val="18"/>
          <w:color w:val="auto"/>
        </w:rPr>
        <w:t>201 Daktronics Drive</w:t>
      </w:r>
    </w:p>
    <w:p>
      <w:pPr>
        <w:spacing w:after="0" w:line="63"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Brookings, South Dakota 57006</w:t>
      </w:r>
    </w:p>
    <w:p>
      <w:pPr>
        <w:sectPr>
          <w:pgSz w:w="11900" w:h="16838" w:orient="portrait"/>
          <w:cols w:equalWidth="0" w:num="1">
            <w:col w:w="11420"/>
          </w:cols>
          <w:pgMar w:left="240" w:top="364" w:right="23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960" w:right="20" w:hanging="2241"/>
        <w:spacing w:after="0" w:line="277" w:lineRule="auto"/>
        <w:tabs>
          <w:tab w:leader="none" w:pos="1940" w:val="left"/>
        </w:tabs>
        <w:rPr>
          <w:sz w:val="20"/>
          <w:szCs w:val="20"/>
          <w:color w:val="auto"/>
        </w:rPr>
      </w:pPr>
      <w:r>
        <w:rPr>
          <w:rFonts w:ascii="Arial" w:cs="Arial" w:eastAsia="Arial" w:hAnsi="Arial"/>
          <w:sz w:val="18"/>
          <w:szCs w:val="18"/>
          <w:b w:val="1"/>
          <w:bCs w:val="1"/>
          <w:color w:val="auto"/>
        </w:rPr>
        <w:t>Items of Business</w:t>
      </w:r>
      <w:r>
        <w:rPr>
          <w:sz w:val="20"/>
          <w:szCs w:val="20"/>
          <w:color w:val="auto"/>
        </w:rPr>
        <w:tab/>
      </w:r>
      <w:r>
        <w:rPr>
          <w:rFonts w:ascii="Arial" w:cs="Arial" w:eastAsia="Arial" w:hAnsi="Arial"/>
          <w:sz w:val="18"/>
          <w:szCs w:val="18"/>
          <w:color w:val="auto"/>
        </w:rPr>
        <w:t>1. To elect three Directors to serve for a three-year term that expires on the date of the Annual Meeting of Shareholders in 2021 or until their successors are duly elected;</w:t>
      </w:r>
    </w:p>
    <w:p>
      <w:pPr>
        <w:spacing w:after="0" w:line="12" w:lineRule="exact"/>
        <w:rPr>
          <w:sz w:val="20"/>
          <w:szCs w:val="20"/>
          <w:color w:val="auto"/>
        </w:rPr>
      </w:pPr>
    </w:p>
    <w:p>
      <w:pPr>
        <w:ind w:left="2280" w:hanging="327"/>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conduct an advisory approval of the Company's executive compensation;</w:t>
      </w:r>
    </w:p>
    <w:p>
      <w:pPr>
        <w:spacing w:after="0" w:line="63" w:lineRule="exact"/>
        <w:rPr>
          <w:rFonts w:ascii="Arial" w:cs="Arial" w:eastAsia="Arial" w:hAnsi="Arial"/>
          <w:sz w:val="18"/>
          <w:szCs w:val="18"/>
          <w:color w:val="auto"/>
        </w:rPr>
      </w:pPr>
    </w:p>
    <w:p>
      <w:pPr>
        <w:ind w:left="2280" w:right="40" w:hanging="327"/>
        <w:spacing w:after="0" w:line="277" w:lineRule="auto"/>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Deloitte &amp; Touche, LLP as our independent registered public accounting firm for the Company for fiscal 2019; and</w:t>
      </w:r>
    </w:p>
    <w:p>
      <w:pPr>
        <w:spacing w:after="0" w:line="8" w:lineRule="exact"/>
        <w:rPr>
          <w:rFonts w:ascii="Arial" w:cs="Arial" w:eastAsia="Arial" w:hAnsi="Arial"/>
          <w:sz w:val="18"/>
          <w:szCs w:val="18"/>
          <w:color w:val="auto"/>
        </w:rPr>
      </w:pPr>
    </w:p>
    <w:p>
      <w:pPr>
        <w:ind w:left="2280" w:hanging="327"/>
        <w:spacing w:after="0"/>
        <w:tabs>
          <w:tab w:leader="none" w:pos="2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approve an amendment to our Employee Stock Purchase Plan.</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You are entitled to vote if you were a shareholder of record at the close of business on July 2, 2018.</w:t>
            </w:r>
          </w:p>
        </w:tc>
      </w:tr>
      <w:tr>
        <w:trPr>
          <w:trHeight w:val="594"/>
        </w:trPr>
        <w:tc>
          <w:tcPr>
            <w:tcW w:w="158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All shareholders are invited to attend the Annual Meeting in person.</w:t>
            </w:r>
          </w:p>
        </w:tc>
      </w:tr>
      <w:tr>
        <w:trPr>
          <w:trHeight w:val="580"/>
        </w:trPr>
        <w:tc>
          <w:tcPr>
            <w:tcW w:w="1580" w:type="dxa"/>
            <w:vAlign w:val="bottom"/>
          </w:tcPr>
          <w:p>
            <w:pPr>
              <w:spacing w:after="0"/>
              <w:rPr>
                <w:sz w:val="20"/>
                <w:szCs w:val="20"/>
                <w:color w:val="auto"/>
              </w:rPr>
            </w:pPr>
            <w:r>
              <w:rPr>
                <w:rFonts w:ascii="Arial" w:cs="Arial" w:eastAsia="Arial" w:hAnsi="Arial"/>
                <w:sz w:val="18"/>
                <w:szCs w:val="18"/>
                <w:b w:val="1"/>
                <w:bCs w:val="1"/>
                <w:color w:val="auto"/>
              </w:rPr>
              <w:t>Voting by Proxy</w:t>
            </w: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w w:val="91"/>
              </w:rPr>
              <w:t>Even if you plan to attend the Annual Meeting, please submit a proxy as soon as possible so that your shares can be voted at the</w:t>
            </w:r>
          </w:p>
        </w:tc>
      </w:tr>
      <w:tr>
        <w:trPr>
          <w:trHeight w:val="230"/>
        </w:trPr>
        <w:tc>
          <w:tcPr>
            <w:tcW w:w="1580" w:type="dxa"/>
            <w:vAlign w:val="bottom"/>
          </w:tcPr>
          <w:p>
            <w:pPr>
              <w:spacing w:after="0"/>
              <w:rPr>
                <w:sz w:val="20"/>
                <w:szCs w:val="20"/>
                <w:color w:val="auto"/>
              </w:rPr>
            </w:pPr>
          </w:p>
        </w:tc>
        <w:tc>
          <w:tcPr>
            <w:tcW w:w="9780" w:type="dxa"/>
            <w:vAlign w:val="bottom"/>
            <w:gridSpan w:val="2"/>
          </w:tcPr>
          <w:p>
            <w:pPr>
              <w:ind w:left="34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1.</w:t>
            </w:r>
          </w:p>
        </w:tc>
        <w:tc>
          <w:tcPr>
            <w:tcW w:w="9220" w:type="dxa"/>
            <w:vAlign w:val="bottom"/>
          </w:tcPr>
          <w:p>
            <w:pPr>
              <w:ind w:left="100"/>
              <w:spacing w:after="0"/>
              <w:rPr>
                <w:sz w:val="20"/>
                <w:szCs w:val="20"/>
                <w:color w:val="auto"/>
              </w:rPr>
            </w:pPr>
            <w:r>
              <w:rPr>
                <w:rFonts w:ascii="Arial" w:cs="Arial" w:eastAsia="Arial" w:hAnsi="Arial"/>
                <w:sz w:val="18"/>
                <w:szCs w:val="18"/>
                <w:color w:val="auto"/>
              </w:rPr>
              <w:t>over the Internet;</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2.</w:t>
            </w:r>
          </w:p>
        </w:tc>
        <w:tc>
          <w:tcPr>
            <w:tcW w:w="9220" w:type="dxa"/>
            <w:vAlign w:val="bottom"/>
          </w:tcPr>
          <w:p>
            <w:pPr>
              <w:ind w:left="100"/>
              <w:spacing w:after="0"/>
              <w:rPr>
                <w:sz w:val="20"/>
                <w:szCs w:val="20"/>
                <w:color w:val="auto"/>
              </w:rPr>
            </w:pPr>
            <w:r>
              <w:rPr>
                <w:rFonts w:ascii="Arial" w:cs="Arial" w:eastAsia="Arial" w:hAnsi="Arial"/>
                <w:sz w:val="18"/>
                <w:szCs w:val="18"/>
                <w:color w:val="auto"/>
              </w:rPr>
              <w:t>by telephone; or</w:t>
            </w:r>
          </w:p>
        </w:tc>
      </w:tr>
      <w:tr>
        <w:trPr>
          <w:trHeight w:val="270"/>
        </w:trPr>
        <w:tc>
          <w:tcPr>
            <w:tcW w:w="1580" w:type="dxa"/>
            <w:vAlign w:val="bottom"/>
          </w:tcPr>
          <w:p>
            <w:pPr>
              <w:spacing w:after="0"/>
              <w:rPr>
                <w:sz w:val="23"/>
                <w:szCs w:val="23"/>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3.</w:t>
            </w:r>
          </w:p>
        </w:tc>
        <w:tc>
          <w:tcPr>
            <w:tcW w:w="9220" w:type="dxa"/>
            <w:vAlign w:val="bottom"/>
          </w:tcPr>
          <w:p>
            <w:pPr>
              <w:ind w:left="100"/>
              <w:spacing w:after="0"/>
              <w:rPr>
                <w:sz w:val="20"/>
                <w:szCs w:val="20"/>
                <w:color w:val="auto"/>
              </w:rPr>
            </w:pPr>
            <w:r>
              <w:rPr>
                <w:rFonts w:ascii="Arial" w:cs="Arial" w:eastAsia="Arial" w:hAnsi="Arial"/>
                <w:sz w:val="18"/>
                <w:szCs w:val="18"/>
                <w:color w:val="auto"/>
              </w:rPr>
              <w:t>by mail.</w:t>
            </w:r>
          </w:p>
        </w:tc>
      </w:tr>
    </w:tbl>
    <w:p>
      <w:pPr>
        <w:spacing w:after="0" w:line="364" w:lineRule="exact"/>
        <w:rPr>
          <w:sz w:val="20"/>
          <w:szCs w:val="20"/>
          <w:color w:val="auto"/>
        </w:rPr>
      </w:pPr>
    </w:p>
    <w:p>
      <w:pPr>
        <w:ind w:left="1960" w:right="40"/>
        <w:spacing w:after="0" w:line="277"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AND PROXY CARD ARE BEING DISTRIBUTED ON OR ABOUT JULY 17, 2018.</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32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Carla S. Gatzke</w:t>
      </w:r>
    </w:p>
    <w:p>
      <w:pPr>
        <w:spacing w:after="0" w:line="6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2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5, 2018.</w:t>
      </w:r>
    </w:p>
    <w:p>
      <w:pPr>
        <w:spacing w:after="0" w:line="16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This notice and the accompanying Proxy Statement, proxy card and our Fiscal 2018 Annual Report to Shareholders, which includes our Annual Report on Form 10-K for the fiscal year ended April 28, 2018, are available at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type w:val="continuous"/>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c>
          <w:tcPr>
            <w:tcW w:w="0" w:type="dxa"/>
            <w:vAlign w:val="bottom"/>
          </w:tcPr>
          <w:p>
            <w:pPr>
              <w:spacing w:after="0"/>
              <w:rPr>
                <w:sz w:val="1"/>
                <w:szCs w:val="1"/>
                <w:color w:val="auto"/>
              </w:rPr>
            </w:pPr>
          </w:p>
        </w:tc>
      </w:tr>
      <w:tr>
        <w:trPr>
          <w:trHeight w:val="250"/>
        </w:trPr>
        <w:tc>
          <w:tcPr>
            <w:tcW w:w="103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Procedural Matters</w:t>
              </w:r>
            </w:hyperlink>
          </w:p>
        </w:tc>
        <w:tc>
          <w:tcPr>
            <w:tcW w:w="4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8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Security Ownership of Certain Beneficial Owners and Management</w:t>
              </w:r>
            </w:hyperlink>
          </w:p>
        </w:tc>
        <w:tc>
          <w:tcPr>
            <w:tcW w:w="5440" w:type="dxa"/>
            <w:vAlign w:val="bottom"/>
            <w:gridSpan w:val="4"/>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574"/>
        </w:trPr>
        <w:tc>
          <w:tcPr>
            <w:tcW w:w="10320" w:type="dxa"/>
            <w:vAlign w:val="bottom"/>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Proposal One - Election of Directors</w:t>
              </w:r>
            </w:hyperlink>
          </w:p>
        </w:tc>
        <w:tc>
          <w:tcPr>
            <w:tcW w:w="44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67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Two - Advisory (non-binding) Approval of the Company's Executive Compensation</w:t>
              </w:r>
            </w:hyperlink>
          </w:p>
        </w:tc>
        <w:tc>
          <w:tcPr>
            <w:tcW w:w="358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0" w:type="dxa"/>
            <w:vAlign w:val="bottom"/>
          </w:tcPr>
          <w:p>
            <w:pPr>
              <w:spacing w:after="0"/>
              <w:rPr>
                <w:sz w:val="1"/>
                <w:szCs w:val="1"/>
                <w:color w:val="auto"/>
              </w:rPr>
            </w:pPr>
          </w:p>
        </w:tc>
      </w:tr>
      <w:tr>
        <w:trPr>
          <w:trHeight w:val="574"/>
        </w:trPr>
        <w:tc>
          <w:tcPr>
            <w:tcW w:w="10320" w:type="dxa"/>
            <w:vAlign w:val="bottom"/>
            <w:gridSpan w:val="14"/>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Proposal Three - Ratification of Appointment of Independent Registered Public Accounting Firm</w:t>
              </w:r>
            </w:hyperlink>
          </w:p>
        </w:tc>
        <w:tc>
          <w:tcPr>
            <w:tcW w:w="44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000" w:type="dxa"/>
            <w:vAlign w:val="bottom"/>
            <w:gridSpan w:val="13"/>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Proposal Four - Approval of an Amendment to the Employee Stock Purchase Plan</w:t>
              </w:r>
            </w:hyperlink>
          </w:p>
        </w:tc>
        <w:tc>
          <w:tcPr>
            <w:tcW w:w="332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4">
              <w:r>
                <w:rPr>
                  <w:rFonts w:ascii="Arial" w:cs="Arial" w:eastAsia="Arial" w:hAnsi="Arial"/>
                  <w:sz w:val="18"/>
                  <w:szCs w:val="18"/>
                  <w:color w:val="0000EE"/>
                </w:rPr>
                <w:t>12</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592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Corporate Governance</w:t>
              </w:r>
            </w:hyperlink>
          </w:p>
        </w:tc>
        <w:tc>
          <w:tcPr>
            <w:tcW w:w="4400" w:type="dxa"/>
            <w:vAlign w:val="bottom"/>
            <w:gridSpan w:val="3"/>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w w:val="91"/>
              </w:rPr>
            </w:pPr>
            <w:hyperlink w:anchor="page20">
              <w:r>
                <w:rPr>
                  <w:rFonts w:ascii="Arial" w:cs="Arial" w:eastAsia="Arial" w:hAnsi="Arial"/>
                  <w:sz w:val="18"/>
                  <w:szCs w:val="18"/>
                  <w:color w:val="0000EE"/>
                  <w:w w:val="91"/>
                </w:rPr>
                <w:t>Section 16(a) Beneficial Ownership Reporting Compliance</w:t>
              </w:r>
            </w:hyperlink>
          </w:p>
        </w:tc>
        <w:tc>
          <w:tcPr>
            <w:tcW w:w="60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426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Compensation Discussion and Analysis</w:t>
              </w:r>
            </w:hyperlink>
          </w:p>
        </w:tc>
        <w:tc>
          <w:tcPr>
            <w:tcW w:w="60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420" w:type="dxa"/>
            <w:vAlign w:val="bottom"/>
            <w:gridSpan w:val="5"/>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7"/>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Executive Compensation</w:t>
              </w:r>
            </w:hyperlink>
          </w:p>
        </w:tc>
        <w:tc>
          <w:tcPr>
            <w:tcW w:w="640" w:type="dxa"/>
            <w:vAlign w:val="bottom"/>
          </w:tcPr>
          <w:p>
            <w:pPr>
              <w:spacing w:after="0"/>
              <w:rPr>
                <w:sz w:val="24"/>
                <w:szCs w:val="24"/>
                <w:color w:val="auto"/>
              </w:rPr>
            </w:pPr>
          </w:p>
        </w:tc>
        <w:tc>
          <w:tcPr>
            <w:tcW w:w="7900" w:type="dxa"/>
            <w:vAlign w:val="bottom"/>
            <w:gridSpan w:val="9"/>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tcBorders>
              <w:left w:val="single" w:sz="8" w:color="0000EE"/>
            </w:tcBorders>
            <w:gridSpan w:val="4"/>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780" w:type="dxa"/>
            <w:vAlign w:val="bottom"/>
            <w:gridSpan w:val="4"/>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Audit Committee Report</w:t>
              </w:r>
            </w:hyperlink>
          </w:p>
        </w:tc>
        <w:tc>
          <w:tcPr>
            <w:tcW w:w="8540" w:type="dxa"/>
            <w:vAlign w:val="bottom"/>
            <w:gridSpan w:val="10"/>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31</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Householding of Annual Disclosure Documents</w:t>
              </w:r>
            </w:hyperlink>
          </w:p>
        </w:tc>
        <w:tc>
          <w:tcPr>
            <w:tcW w:w="686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80" w:type="dxa"/>
            <w:vAlign w:val="bottom"/>
            <w:tcBorders>
              <w:left w:val="single" w:sz="8" w:color="0000EE"/>
            </w:tcBorders>
            <w:gridSpan w:val="5"/>
            <w:shd w:val="clear" w:color="auto" w:fill="0000EE"/>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460" w:type="dxa"/>
            <w:vAlign w:val="bottom"/>
            <w:gridSpan w:val="8"/>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Available Information</w:t>
              </w:r>
            </w:hyperlink>
          </w:p>
        </w:tc>
        <w:tc>
          <w:tcPr>
            <w:tcW w:w="686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580" w:type="dxa"/>
            <w:vAlign w:val="bottom"/>
            <w:gridSpan w:val="3"/>
            <w:vMerge w:val="restart"/>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Notice and Ballot</w:t>
              </w:r>
            </w:hyperlink>
          </w:p>
        </w:tc>
        <w:tc>
          <w:tcPr>
            <w:tcW w:w="8740" w:type="dxa"/>
            <w:vAlign w:val="bottom"/>
            <w:gridSpan w:val="11"/>
            <w:vMerge w:val="restart"/>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33</w:t>
              </w:r>
            </w:hyperlink>
          </w:p>
        </w:tc>
        <w:tc>
          <w:tcPr>
            <w:tcW w:w="0" w:type="dxa"/>
            <w:vAlign w:val="bottom"/>
          </w:tcPr>
          <w:p>
            <w:pPr>
              <w:spacing w:after="0"/>
              <w:rPr>
                <w:sz w:val="1"/>
                <w:szCs w:val="1"/>
                <w:color w:val="auto"/>
              </w:rPr>
            </w:pPr>
          </w:p>
        </w:tc>
      </w:tr>
      <w:tr>
        <w:trPr>
          <w:trHeight w:val="196"/>
        </w:trPr>
        <w:tc>
          <w:tcPr>
            <w:tcW w:w="1580" w:type="dxa"/>
            <w:vAlign w:val="bottom"/>
            <w:gridSpan w:val="3"/>
            <w:vMerge w:val="continue"/>
          </w:tcPr>
          <w:p>
            <w:pPr>
              <w:spacing w:after="0"/>
              <w:rPr>
                <w:sz w:val="17"/>
                <w:szCs w:val="17"/>
                <w:color w:val="auto"/>
              </w:rPr>
            </w:pPr>
          </w:p>
        </w:tc>
        <w:tc>
          <w:tcPr>
            <w:tcW w:w="8740" w:type="dxa"/>
            <w:vAlign w:val="bottom"/>
            <w:gridSpan w:val="11"/>
            <w:vMerge w:val="continue"/>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2018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September 5, 2018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2018 Annual Report to Shareholders, are being made available to shareholders on the Internet or are being mailed on or about July 17, 2018 to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Only shareholders of record at the close of business on July 2, 2018 (the "Record Date") are entitled to notice of and to vote at the Annual Meeting. As of the Record Date, there were 44,588,625 shares of our common stock outstanding and entitled to vote held by 1,043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"Menu", then "Investor" and then "Annual Reports and Proxy" under the heading "Financial Information." We are providing some of our shareholders, including shareholders who have previously requested to receive paper copies of the proxy materials, with paper copies of the proxy materials instead of the Notice of Internet Availability of Proxy Materials.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only the election of Directors, every shareholder will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more nominees. Shares abstaining will be treated as not voted.</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Brokers who hold shares in street name for customers will not be able to vote the shares without instructions from their customers with respect to any of the proposals, other than the proposal to ratify the selection of our auditors (Proposal Three of this Proxy Statement). Shares for which brokers have not received instructions, and which therefore are not voted, with respect to a particular proposal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referred to as "broker non-votes" with respect to that proposal. Abstentions from voting on a proposal described in this Proxy Statement and broker non-votes will not affect the outcome of the vote on that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If the shares of our common stock are held directly in the name of the shareholder, he or she can vote on matters to come before the Annual Meeting:</w:t>
      </w:r>
    </w:p>
    <w:p>
      <w:pPr>
        <w:spacing w:after="0" w:line="222" w:lineRule="exact"/>
        <w:rPr>
          <w:sz w:val="20"/>
          <w:szCs w:val="20"/>
          <w:color w:val="auto"/>
        </w:rPr>
      </w:pPr>
    </w:p>
    <w:p>
      <w:pPr>
        <w:ind w:left="660" w:right="2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by Internet, at 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Annual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19, 2019 and must otherwise comply with the requirements of Rule 14a-8 under the Securities Exchange Act of 1934. If a shareholder wants to nominate a Director or bring other business before the shareholders at the next annual meeting of our shareholders without including the proposal in our Proxy Statement, we must receive notice of the proposal on or before June 2, 2019, and the shareholder must otherwise comply with Rule 14a-4(c) under the Securities Exchange Act of 1934. Notices of intention to present proposals at the 2019 annual meeting of shareholders should be addressed to Corporate Secretary, Daktronics, Inc., 201 Daktronics Drive, Brookings, South Dakota 57006.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July 2, 2018,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2"/>
          </w:tcPr>
          <w:p>
            <w:pPr>
              <w:ind w:left="500"/>
              <w:spacing w:after="0"/>
              <w:rPr>
                <w:sz w:val="20"/>
                <w:szCs w:val="20"/>
                <w:color w:val="auto"/>
              </w:rPr>
            </w:pPr>
            <w:r>
              <w:rPr>
                <w:rFonts w:ascii="Arial" w:cs="Arial" w:eastAsia="Arial" w:hAnsi="Arial"/>
                <w:sz w:val="18"/>
                <w:szCs w:val="18"/>
                <w:color w:val="auto"/>
              </w:rPr>
              <w:t>Amount and Nature of</w:t>
            </w:r>
          </w:p>
        </w:tc>
        <w:tc>
          <w:tcPr>
            <w:tcW w:w="2580" w:type="dxa"/>
            <w:vAlign w:val="bottom"/>
          </w:tcPr>
          <w:p>
            <w:pPr>
              <w:jc w:val="right"/>
              <w:ind w:right="230"/>
              <w:spacing w:after="0"/>
              <w:rPr>
                <w:sz w:val="20"/>
                <w:szCs w:val="20"/>
                <w:color w:val="auto"/>
              </w:rPr>
            </w:pPr>
            <w:r>
              <w:rPr>
                <w:rFonts w:ascii="Arial" w:cs="Arial" w:eastAsia="Arial" w:hAnsi="Arial"/>
                <w:sz w:val="18"/>
                <w:szCs w:val="18"/>
                <w:color w:val="auto"/>
              </w:rPr>
              <w:t>Percentage of Outstanding</w:t>
            </w:r>
          </w:p>
        </w:tc>
      </w:tr>
      <w:tr>
        <w:trPr>
          <w:trHeight w:val="257"/>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 and Address of Beneficial Owners</w:t>
            </w:r>
          </w:p>
        </w:tc>
        <w:tc>
          <w:tcPr>
            <w:tcW w:w="220" w:type="dxa"/>
            <w:vAlign w:val="bottom"/>
          </w:tcPr>
          <w:p>
            <w:pPr>
              <w:spacing w:after="0"/>
              <w:rPr>
                <w:sz w:val="22"/>
                <w:szCs w:val="22"/>
                <w:color w:val="auto"/>
              </w:rPr>
            </w:pPr>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Note</w:t>
            </w:r>
          </w:p>
        </w:tc>
        <w:tc>
          <w:tcPr>
            <w:tcW w:w="220" w:type="dxa"/>
            <w:vAlign w:val="bottom"/>
          </w:tcPr>
          <w:p>
            <w:pPr>
              <w:spacing w:after="0"/>
              <w:rPr>
                <w:sz w:val="22"/>
                <w:szCs w:val="22"/>
                <w:color w:val="auto"/>
              </w:rPr>
            </w:pPr>
          </w:p>
        </w:tc>
        <w:tc>
          <w:tcPr>
            <w:tcW w:w="2620" w:type="dxa"/>
            <w:vAlign w:val="bottom"/>
            <w:tcBorders>
              <w:bottom w:val="single" w:sz="8" w:color="auto"/>
            </w:tcBorders>
          </w:tcPr>
          <w:p>
            <w:pPr>
              <w:jc w:val="right"/>
              <w:ind w:right="370"/>
              <w:spacing w:after="0" w:line="257" w:lineRule="exact"/>
              <w:rPr>
                <w:sz w:val="20"/>
                <w:szCs w:val="20"/>
                <w:color w:val="auto"/>
              </w:rPr>
            </w:pPr>
            <w:r>
              <w:rPr>
                <w:rFonts w:ascii="Arial" w:cs="Arial" w:eastAsia="Arial" w:hAnsi="Arial"/>
                <w:sz w:val="18"/>
                <w:szCs w:val="18"/>
                <w:color w:val="auto"/>
              </w:rPr>
              <w:t>Beneficial Ownership</w:t>
            </w:r>
            <w:r>
              <w:rPr>
                <w:rFonts w:ascii="Arial" w:cs="Arial" w:eastAsia="Arial" w:hAnsi="Arial"/>
                <w:sz w:val="25"/>
                <w:szCs w:val="25"/>
                <w:color w:val="auto"/>
                <w:vertAlign w:val="superscript"/>
              </w:rPr>
              <w:t>(1)</w:t>
            </w:r>
          </w:p>
        </w:tc>
        <w:tc>
          <w:tcPr>
            <w:tcW w:w="200" w:type="dxa"/>
            <w:vAlign w:val="bottom"/>
          </w:tcPr>
          <w:p>
            <w:pPr>
              <w:spacing w:after="0"/>
              <w:rPr>
                <w:sz w:val="22"/>
                <w:szCs w:val="22"/>
                <w:color w:val="auto"/>
              </w:rPr>
            </w:pPr>
          </w:p>
        </w:tc>
        <w:tc>
          <w:tcPr>
            <w:tcW w:w="2580" w:type="dxa"/>
            <w:vAlign w:val="bottom"/>
            <w:tcBorders>
              <w:bottom w:val="single" w:sz="8" w:color="auto"/>
            </w:tcBorders>
          </w:tcPr>
          <w:p>
            <w:pPr>
              <w:jc w:val="right"/>
              <w:ind w:right="870"/>
              <w:spacing w:after="0" w:line="257" w:lineRule="exact"/>
              <w:rPr>
                <w:sz w:val="20"/>
                <w:szCs w:val="20"/>
                <w:color w:val="auto"/>
              </w:rPr>
            </w:pPr>
            <w:r>
              <w:rPr>
                <w:rFonts w:ascii="Arial" w:cs="Arial" w:eastAsia="Arial" w:hAnsi="Arial"/>
                <w:sz w:val="18"/>
                <w:szCs w:val="18"/>
                <w:color w:val="auto"/>
              </w:rPr>
              <w:t>Shares</w:t>
            </w:r>
            <w:r>
              <w:rPr>
                <w:rFonts w:ascii="Arial" w:cs="Arial" w:eastAsia="Arial" w:hAnsi="Arial"/>
                <w:sz w:val="25"/>
                <w:szCs w:val="25"/>
                <w:color w:val="auto"/>
                <w:vertAlign w:val="superscript"/>
              </w:rPr>
              <w:t>(2)</w:t>
            </w:r>
          </w:p>
        </w:tc>
      </w:tr>
      <w:tr>
        <w:trPr>
          <w:trHeight w:val="237"/>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(15)</w:t>
            </w:r>
          </w:p>
        </w:tc>
        <w:tc>
          <w:tcPr>
            <w:tcW w:w="2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(16)</w:t>
            </w:r>
          </w:p>
        </w:tc>
        <w:tc>
          <w:tcPr>
            <w:tcW w:w="220" w:type="dxa"/>
            <w:vAlign w:val="bottom"/>
            <w:shd w:val="clear" w:color="auto" w:fill="CCEEFF"/>
          </w:tcPr>
          <w:p>
            <w:pPr>
              <w:spacing w:after="0"/>
              <w:rPr>
                <w:sz w:val="21"/>
                <w:szCs w:val="21"/>
                <w:color w:val="auto"/>
              </w:rPr>
            </w:pPr>
          </w:p>
        </w:tc>
        <w:tc>
          <w:tcPr>
            <w:tcW w:w="2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4,815,679</w:t>
            </w:r>
          </w:p>
        </w:tc>
        <w:tc>
          <w:tcPr>
            <w:tcW w:w="20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55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58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10055</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580" w:type="dxa"/>
            <w:vAlign w:val="bottom"/>
            <w:tcBorders>
              <w:bottom w:val="single" w:sz="8" w:color="CCEEFF"/>
            </w:tcBorders>
            <w:shd w:val="clear" w:color="auto" w:fill="CCEEFF"/>
          </w:tcPr>
          <w:p>
            <w:pPr>
              <w:spacing w:after="0"/>
              <w:rPr>
                <w:sz w:val="24"/>
                <w:szCs w:val="24"/>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Dimensional Fund Advisors LP</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2,655,285</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Building One, 6300 Bee Cave Road</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0"/>
        </w:trPr>
        <w:tc>
          <w:tcPr>
            <w:tcW w:w="4560" w:type="dxa"/>
            <w:vAlign w:val="bottom"/>
          </w:tcPr>
          <w:p>
            <w:pPr>
              <w:ind w:left="380"/>
              <w:spacing w:after="0"/>
              <w:rPr>
                <w:sz w:val="20"/>
                <w:szCs w:val="20"/>
                <w:color w:val="auto"/>
              </w:rPr>
            </w:pPr>
            <w:r>
              <w:rPr>
                <w:rFonts w:ascii="Arial" w:cs="Arial" w:eastAsia="Arial" w:hAnsi="Arial"/>
                <w:sz w:val="18"/>
                <w:szCs w:val="18"/>
                <w:color w:val="auto"/>
              </w:rPr>
              <w:t>Austin, TX 78746</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80" w:type="dxa"/>
            <w:vAlign w:val="bottom"/>
          </w:tcPr>
          <w:p>
            <w:pPr>
              <w:spacing w:after="0"/>
              <w:rPr>
                <w:sz w:val="23"/>
                <w:szCs w:val="23"/>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2,436,916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Daktronics, Inc. 401(k) Plan</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2,709,055</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485,726</w:t>
            </w:r>
          </w:p>
        </w:tc>
        <w:tc>
          <w:tcPr>
            <w:tcW w:w="2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1,404,297</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87,040</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95,866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111,422</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64,218</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Kevin P. McDermott</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39,618</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P. Friel</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34,970</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Sheila M.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87"/>
              </w:rPr>
              <w:t>(11)</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67,609</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170,786</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Matthew J. Kurtenbach</w:t>
            </w:r>
          </w:p>
        </w:tc>
        <w:tc>
          <w:tcPr>
            <w:tcW w:w="122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(13)</w:t>
            </w:r>
          </w:p>
        </w:tc>
        <w:tc>
          <w:tcPr>
            <w:tcW w:w="220" w:type="dxa"/>
            <w:vAlign w:val="bottom"/>
          </w:tcPr>
          <w:p>
            <w:pPr>
              <w:spacing w:after="0"/>
              <w:rPr>
                <w:sz w:val="21"/>
                <w:szCs w:val="21"/>
                <w:color w:val="auto"/>
              </w:rPr>
            </w:pPr>
          </w:p>
        </w:tc>
        <w:tc>
          <w:tcPr>
            <w:tcW w:w="2620" w:type="dxa"/>
            <w:vAlign w:val="bottom"/>
          </w:tcPr>
          <w:p>
            <w:pPr>
              <w:jc w:val="right"/>
              <w:ind w:right="30"/>
              <w:spacing w:after="0"/>
              <w:rPr>
                <w:sz w:val="20"/>
                <w:szCs w:val="20"/>
                <w:color w:val="auto"/>
              </w:rPr>
            </w:pPr>
            <w:r>
              <w:rPr>
                <w:rFonts w:ascii="Arial" w:cs="Arial" w:eastAsia="Arial" w:hAnsi="Arial"/>
                <w:sz w:val="18"/>
                <w:szCs w:val="18"/>
                <w:color w:val="auto"/>
              </w:rPr>
              <w:t>326,973</w:t>
            </w:r>
          </w:p>
        </w:tc>
        <w:tc>
          <w:tcPr>
            <w:tcW w:w="200" w:type="dxa"/>
            <w:vAlign w:val="bottom"/>
          </w:tcPr>
          <w:p>
            <w:pPr>
              <w:spacing w:after="0"/>
              <w:rPr>
                <w:sz w:val="21"/>
                <w:szCs w:val="21"/>
                <w:color w:val="auto"/>
              </w:rPr>
            </w:pPr>
          </w:p>
        </w:tc>
        <w:tc>
          <w:tcPr>
            <w:tcW w:w="25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Carla S. Gatzke</w:t>
            </w:r>
          </w:p>
        </w:tc>
        <w:tc>
          <w:tcPr>
            <w:tcW w:w="1220" w:type="dxa"/>
            <w:vAlign w:val="bottom"/>
            <w:tcBorders>
              <w:bottom w:val="single" w:sz="8" w:color="CCEEFF"/>
            </w:tcBorders>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3"/>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763,354</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3,651,879</w:t>
            </w:r>
          </w:p>
        </w:tc>
        <w:tc>
          <w:tcPr>
            <w:tcW w:w="2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81" w:lineRule="auto"/>
        <w:tabs>
          <w:tab w:leader="none" w:pos="8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Applicable percentage ownership is based on 44,588,625 shares of common stock outstanding as of July 2, 2018.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July 2, 2018, and restricted stock units that are scheduled to vest within 60 days of July 2, 2018. We did not deem these shares outstanding, however, for the purpose of computing the percentage ownership of any other person.</w:t>
      </w:r>
    </w:p>
    <w:p>
      <w:pPr>
        <w:spacing w:after="0" w:line="3" w:lineRule="exact"/>
        <w:rPr>
          <w:rFonts w:ascii="Arial" w:cs="Arial" w:eastAsia="Arial" w:hAnsi="Arial"/>
          <w:sz w:val="16"/>
          <w:szCs w:val="16"/>
          <w:color w:val="auto"/>
        </w:rPr>
      </w:pPr>
    </w:p>
    <w:p>
      <w:pPr>
        <w:ind w:left="820" w:hanging="488"/>
        <w:spacing w:after="0" w:line="250"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108,228 shares subject to options, 30,191 shares held through the 401(k) Plan, 17,400 shares held by his spouse, 44,800 shares held by his children and 5,500 shares of restricted stock with which vest within 60 days from July 2, 2018.</w:t>
      </w: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5,815 shares of restricted stock which vest on August 31, 2018.</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53,726 shares subject to exercisable options and 5,815 shares of restricted stock which vest on August 31, 2018.</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53,726 shares subject to exercisable options and 5,815 shares of restricted stock which vest on August 31, 2018.</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46,726 shares subject to exercisable options and 5,815 shares of restricted stock which vest on August 31, 2018.</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27,928 shares subject to exercisable options and 5,815 shares of restricted stock which vest on August 31, 2018.</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5,815 shares of restricted stock which vest on August 31, 2018.</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5,815 shares of restricted stock which vest on August 31, 2018.</w:t>
      </w:r>
    </w:p>
    <w:p>
      <w:pPr>
        <w:spacing w:after="0" w:line="23"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45,315 shares subject to options, 7,683 shares held through the 401(k) Plan and 2,950 shares of restricted stock which vest within 60 days from July 2, 2018.</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71,955 shares subject to options, 1,687 shares held through the 401(k) Plan, 597 shares held by his spouse and 3,000 shares of restricted stock which vest within 60 days from July 2, 2018.</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71,655 shares subject to options, 14,466 shares held through 401(k) Plan, 39,100 shares held by his children and 3,000 shares of restricted stock which vest within 60 days from July 2, 2018.</w:t>
      </w:r>
    </w:p>
    <w:p>
      <w:pPr>
        <w:ind w:left="820" w:right="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66,565 shares subject to options, 137,626 shares held through the 401(k) Plan, 90,000 shares held by her spouse, 30,385 shares held by her children and 2,750 shares of restricted stock with which vest within 60 days from July 2, 2018.</w:t>
      </w: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January 19, 2018. As set forth in the Schedule 13G/A, BlackRock, Inc. has sole voting power as to 4,726,924 of these shares and sole dispositive power as to all 4,815,679 shares.</w:t>
      </w:r>
    </w:p>
    <w:p>
      <w:pPr>
        <w:spacing w:after="0" w:line="1" w:lineRule="exact"/>
        <w:rPr>
          <w:rFonts w:ascii="Arial" w:cs="Arial" w:eastAsia="Arial" w:hAnsi="Arial"/>
          <w:sz w:val="18"/>
          <w:szCs w:val="18"/>
          <w:color w:val="auto"/>
        </w:rPr>
      </w:pPr>
    </w:p>
    <w:p>
      <w:pPr>
        <w:jc w:val="both"/>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 on February 09, 2018. As set forth in the Schedule 13G/A, Dimensional Fund Advisors LP has sole voting power as to 2,504,831 of these shares and sole dispositive power as to all 2,655,285 shares.</w:t>
      </w:r>
    </w:p>
    <w:p>
      <w:pPr>
        <w:spacing w:after="0" w:line="1"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920,412 shares held by his spouse, Irene Kurtenbach, and 531,675 shares held in Medary Creek LLLP. Medary Creek LLLP is a limited liability limited partnership of which Aelred and Irene Kurtenbach are the general partners.</w:t>
      </w:r>
    </w:p>
    <w:p>
      <w:pPr>
        <w:ind w:left="820" w:hanging="488"/>
        <w:spacing w:after="0" w:line="323"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common stock held by the 401(k) Plan and allocated to the 401(k) Plan participants are voted by the trustee of the 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Board of Directors consists of eight individuals divided into three classes serving staggered three-year terms of office. There are three Directors (Byron J. Anderson, John P. Friel, and Reece A. Kurtenbach) whose terms will expire at the 2018 Annual Meeting; three Directors (James B. Morgan, John L. Mulligan, and Kevin P. McDermott) whose terms will expire in 2019; and two Directors (Robert G. Dutcher and Nancy D. Frame) whose terms will expire in 2020. The Nominating and Corporate Governance Committee has recommended to the Board of Directors that Byron J. Anderson, John P. Friel, and Reece A. Kurtenbach be nominated for re-election at the 2018 Annual Meeting, and the Board of Directors has approved that recommendation. All nominees have consented to being named as a nominee in this Proxy Statement and have indicated a willingness to serve if elected. However, if any nominee becomes unable to serve before the election, the shares represented by proxies may be voted for a substitute designated by the Board, unless a contrary instruction is indicated on the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21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3840" w:type="dxa"/>
            <w:vAlign w:val="bottom"/>
            <w:gridSpan w:val="2"/>
          </w:tcPr>
          <w:p>
            <w:pPr>
              <w:ind w:left="1040"/>
              <w:spacing w:after="0"/>
              <w:rPr>
                <w:sz w:val="20"/>
                <w:szCs w:val="20"/>
                <w:color w:val="auto"/>
              </w:rPr>
            </w:pPr>
            <w:r>
              <w:rPr>
                <w:rFonts w:ascii="Arial" w:cs="Arial" w:eastAsia="Arial" w:hAnsi="Arial"/>
                <w:sz w:val="18"/>
                <w:szCs w:val="18"/>
                <w:color w:val="auto"/>
              </w:rPr>
              <w:t>Principal Occupation</w:t>
            </w:r>
          </w:p>
        </w:tc>
        <w:tc>
          <w:tcPr>
            <w:tcW w:w="3960" w:type="dxa"/>
            <w:vAlign w:val="bottom"/>
          </w:tcPr>
          <w:p>
            <w:pPr>
              <w:ind w:left="114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22"/>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74</w:t>
            </w:r>
          </w:p>
        </w:tc>
        <w:tc>
          <w:tcPr>
            <w:tcW w:w="2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Committee; Nominating and</w:t>
            </w:r>
          </w:p>
        </w:tc>
      </w:tr>
      <w:tr>
        <w:trPr>
          <w:trHeight w:val="237"/>
        </w:trPr>
        <w:tc>
          <w:tcPr>
            <w:tcW w:w="18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Governance Committee</w:t>
            </w:r>
          </w:p>
        </w:tc>
      </w:tr>
      <w:tr>
        <w:trPr>
          <w:trHeight w:val="229"/>
        </w:trPr>
        <w:tc>
          <w:tcPr>
            <w:tcW w:w="2120" w:type="dxa"/>
            <w:vAlign w:val="bottom"/>
            <w:gridSpan w:val="2"/>
          </w:tcPr>
          <w:p>
            <w:pPr>
              <w:ind w:left="40"/>
              <w:spacing w:after="0"/>
              <w:rPr>
                <w:sz w:val="20"/>
                <w:szCs w:val="20"/>
                <w:color w:val="auto"/>
              </w:rPr>
            </w:pPr>
            <w:r>
              <w:rPr>
                <w:rFonts w:ascii="Arial" w:cs="Arial" w:eastAsia="Arial" w:hAnsi="Arial"/>
                <w:sz w:val="18"/>
                <w:szCs w:val="18"/>
                <w:color w:val="auto"/>
              </w:rPr>
              <w:t>John P. Friel</w:t>
            </w: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9"/>
                <w:szCs w:val="19"/>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 at Preservation Technologies LLC;</w:t>
            </w:r>
          </w:p>
        </w:tc>
        <w:tc>
          <w:tcPr>
            <w:tcW w:w="3960" w:type="dxa"/>
            <w:vAlign w:val="bottom"/>
          </w:tcPr>
          <w:p>
            <w:pPr>
              <w:ind w:left="20"/>
              <w:spacing w:after="0"/>
              <w:rPr>
                <w:sz w:val="20"/>
                <w:szCs w:val="20"/>
                <w:color w:val="auto"/>
              </w:rPr>
            </w:pPr>
            <w:r>
              <w:rPr>
                <w:rFonts w:ascii="Arial" w:cs="Arial" w:eastAsia="Arial" w:hAnsi="Arial"/>
                <w:sz w:val="18"/>
                <w:szCs w:val="18"/>
                <w:color w:val="auto"/>
              </w:rPr>
              <w:t>Audit Committee; Compensation Committee</w:t>
            </w:r>
          </w:p>
        </w:tc>
      </w:tr>
      <w:tr>
        <w:trPr>
          <w:trHeight w:val="216"/>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Director at Blue Water Growth LLC; and</w:t>
            </w:r>
          </w:p>
        </w:tc>
        <w:tc>
          <w:tcPr>
            <w:tcW w:w="3960" w:type="dxa"/>
            <w:vAlign w:val="bottom"/>
          </w:tcPr>
          <w:p>
            <w:pPr>
              <w:spacing w:after="0"/>
              <w:rPr>
                <w:sz w:val="18"/>
                <w:szCs w:val="18"/>
                <w:color w:val="auto"/>
              </w:rPr>
            </w:pPr>
          </w:p>
        </w:tc>
      </w:tr>
      <w:tr>
        <w:trPr>
          <w:trHeight w:val="216"/>
        </w:trPr>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President and CEO and Board Member at</w:t>
            </w:r>
          </w:p>
        </w:tc>
        <w:tc>
          <w:tcPr>
            <w:tcW w:w="3960" w:type="dxa"/>
            <w:vAlign w:val="bottom"/>
          </w:tcPr>
          <w:p>
            <w:pPr>
              <w:spacing w:after="0"/>
              <w:rPr>
                <w:sz w:val="18"/>
                <w:szCs w:val="18"/>
                <w:color w:val="auto"/>
              </w:rPr>
            </w:pPr>
          </w:p>
        </w:tc>
      </w:tr>
      <w:tr>
        <w:trPr>
          <w:trHeight w:val="230"/>
        </w:trPr>
        <w:tc>
          <w:tcPr>
            <w:tcW w:w="1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Vascor, Inc.</w:t>
            </w:r>
          </w:p>
        </w:tc>
        <w:tc>
          <w:tcPr>
            <w:tcW w:w="3960" w:type="dxa"/>
            <w:vAlign w:val="bottom"/>
          </w:tcPr>
          <w:p>
            <w:pPr>
              <w:spacing w:after="0"/>
              <w:rPr>
                <w:sz w:val="20"/>
                <w:szCs w:val="20"/>
                <w:color w:val="auto"/>
              </w:rPr>
            </w:pPr>
          </w:p>
        </w:tc>
      </w:tr>
      <w:tr>
        <w:trPr>
          <w:trHeight w:val="243"/>
        </w:trPr>
        <w:tc>
          <w:tcPr>
            <w:tcW w:w="1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960" w:type="dxa"/>
            <w:vAlign w:val="bottom"/>
          </w:tcPr>
          <w:p>
            <w:pPr>
              <w:spacing w:after="0"/>
              <w:rPr>
                <w:sz w:val="21"/>
                <w:szCs w:val="21"/>
                <w:color w:val="auto"/>
              </w:rPr>
            </w:pPr>
          </w:p>
        </w:tc>
      </w:tr>
      <w:tr>
        <w:trPr>
          <w:trHeight w:val="243"/>
        </w:trPr>
        <w:tc>
          <w:tcPr>
            <w:tcW w:w="2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shd w:val="clear" w:color="auto" w:fill="CCEEFF"/>
          </w:tcPr>
          <w:p>
            <w:pPr>
              <w:spacing w:after="0"/>
              <w:rPr>
                <w:sz w:val="21"/>
                <w:szCs w:val="21"/>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c>
          <w:tcPr>
            <w:tcW w:w="3960" w:type="dxa"/>
            <w:vAlign w:val="bottom"/>
            <w:shd w:val="clear" w:color="auto" w:fill="CCEEFF"/>
          </w:tcPr>
          <w:p>
            <w:pPr>
              <w:spacing w:after="0"/>
              <w:rPr>
                <w:sz w:val="21"/>
                <w:szCs w:val="21"/>
                <w:color w:val="auto"/>
              </w:rPr>
            </w:pPr>
          </w:p>
        </w:tc>
      </w:tr>
      <w:tr>
        <w:trPr>
          <w:trHeight w:val="27"/>
        </w:trPr>
        <w:tc>
          <w:tcPr>
            <w:tcW w:w="1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Byron J. Anderson (74) </w:t>
      </w:r>
      <w:r>
        <w:rPr>
          <w:rFonts w:ascii="Arial" w:cs="Arial" w:eastAsia="Arial" w:hAnsi="Arial"/>
          <w:sz w:val="17"/>
          <w:szCs w:val="17"/>
          <w:color w:val="auto"/>
        </w:rPr>
        <w:t>is currently retired. He has been a Director of the Company since 2005 and has served on the Compensation Committee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Nominating and Corporate Governance Committee since November 2005. Before his retirement, from 1999 to 2004, he served at Agilent Technologies, Inc. as Senior Vice President serving customers and managing business groups located in the United States, Europe, Japan and Asia, which included worldwide sales and service activities. Before working with Agilent, he held various senior positions with Hewlett-Packard Company, most recently as a Vice President responsible for a business unit serving the worldwide communications industry. He holds a Master of Business Administration from Harvard University and an electrical engineering degree from South Dakota State University.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John P. Friel (64) </w:t>
      </w:r>
      <w:r>
        <w:rPr>
          <w:rFonts w:ascii="Arial" w:cs="Arial" w:eastAsia="Arial" w:hAnsi="Arial"/>
          <w:sz w:val="16"/>
          <w:szCs w:val="16"/>
          <w:color w:val="auto"/>
        </w:rPr>
        <w:t>has been a Director since September 2015 and has served on the Audit Committee since September 2015 and on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October 2016.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 Corporate Planning in 1986 and Vice President of Business Development area in 1987. He then served as Executive Vice President of Sales and Marketing from 1989 to 1995, Senior Vice President and General Manager from 1995 to 1998, and as President and Chief Executive Officer from 1998 to 2010. MEDRAD received the Malcolm Baldrige National Quality Award twice during his tenure, once in 2004 and again in 2010. Mr. Friel is currently the President and CEO of Vascor, Inc. Vascor is a pre-clinical medical device development company. He also is currently the Managing Director at Preservation Technologies L.P. and a Director of the medical device industry segment at Blue Water Growth LLC. Mr. Friel is the Principal and Founder of Five Radicals, which focuses on Baldrige Performance Excellence, strategic planning, general business consulting to entrepreneurial medical device companies, and private equity business development opportunity search efforts. He holds a Master of Arts in Law and Diplomacy from Tufts University and a Bachelor of Arts in Political Science and Bachelor of Science in Accounting from Pennsylvania State University. Mr. Friel brings to the Board extensive global general management knowledge and practice. He has strong experience in building and growing businesses, especially in technical product development and global expansions, which align with many of the Company's initiatives and strategies.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Reece A. Kurtenbach (53) </w:t>
      </w:r>
      <w:r>
        <w:rPr>
          <w:rFonts w:ascii="Arial" w:cs="Arial" w:eastAsia="Arial" w:hAnsi="Arial"/>
          <w:sz w:val="18"/>
          <w:szCs w:val="18"/>
          <w:color w:val="auto"/>
        </w:rPr>
        <w:t>was appointed as President and Chief Executive Officer and a Director effective on September 1, 2013 and has served as Chairman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Mr. Kurtenbach also worked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 of management on the Board given his position as a senior executive officer and his long tenure with the Company which dates back more than 30 years. In addition, Mr. Kurtenbach brings a wealth of industry experience to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Robert G. Dutcher (73) </w:t>
      </w:r>
      <w:r>
        <w:rPr>
          <w:rFonts w:ascii="Arial" w:cs="Arial" w:eastAsia="Arial" w:hAnsi="Arial"/>
          <w:sz w:val="18"/>
          <w:szCs w:val="18"/>
          <w:color w:val="auto"/>
        </w:rPr>
        <w:t>is currently retired. He has been a Director of the Company since 2002 and chairperson of the Compensation Committee since 2005.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his retirement, from April 2009 until March 2011, he served as Strategic Advisor Lead Member of MEDRAD, Inc. From April 2008 through March 2009, he was President and Chief Executive Officer of the Cardiovascular Division of MEDRAD, Inc. From 1993 until April 2008, he was the President and Chief Executive Officer of Possis Medical, Inc., a publicly-held medical device company located in Minneapolis, Minnesota, which was acquired by MEDRAD, Inc. in April 2008. From December 2001 until April 2008, he served as Chairman of the Board of Possis Medical, Inc. Before joining Possis Medical in 1985, he was with Medtronic, Inc. for 12 years, most recently as Director of Research and Development. He previously worked in an engineering capacity for Control Data Corporation and Honeywell, Inc. Mr. Dutcher holds a Bachelor of Science degree in electrical engineering from South Dakota State University and a Master of Science degree in electrical engineering from the University of Minnesota. Mr. Dutcher brings to the Board extensive knowledge in driving profitable growth in technology driven industries from his experience in leading R&amp;D at Medtronic and as Chief Executive Officer of Possis Medical.</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Nancy D. Frame (73) </w:t>
      </w:r>
      <w:r>
        <w:rPr>
          <w:rFonts w:ascii="Arial" w:cs="Arial" w:eastAsia="Arial" w:hAnsi="Arial"/>
          <w:sz w:val="16"/>
          <w:szCs w:val="16"/>
          <w:color w:val="auto"/>
        </w:rPr>
        <w:t>is currently retired. She has been a Director of the Company since 1999, chairperson of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since 2004 and Lead Independent Director since 2005. She was Deputy Director of the U.S. Trade and Development Agency from 1986 to 1999, when she retired. As a senior executive in this 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Bachelor of Science degree from South Dakota State University.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James B. Morgan (71) </w:t>
      </w:r>
      <w:r>
        <w:rPr>
          <w:rFonts w:ascii="Arial" w:cs="Arial" w:eastAsia="Arial" w:hAnsi="Arial"/>
          <w:sz w:val="17"/>
          <w:szCs w:val="17"/>
          <w:color w:val="auto"/>
        </w:rPr>
        <w:t>is currently retired. He has been a Director since 1984 and has served on the Audit Committee and Nominating and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Committee since October 2016. He served as the Company's President and Chief Executive Officer from 2001 through his retirement effective on September 1, 2013. Prior to that he served as President and Chief Operating Officer and Vice President for Engineering. He originally joined the Company in 1969 as its first design engineer. He holds a Bachelor of Science degree and a Master of Science degree in electrical engineering from South Dakota State University. Mr. Morgan brings to the Board his experience and knowledge of our business and industry derived from his previous positions as President and Chief Executive Officer and his experience of over 44 years working for the Company.</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John L. Mulligan (79) </w:t>
      </w:r>
      <w:r>
        <w:rPr>
          <w:rFonts w:ascii="Arial" w:cs="Arial" w:eastAsia="Arial" w:hAnsi="Arial"/>
          <w:sz w:val="18"/>
          <w:szCs w:val="18"/>
          <w:color w:val="auto"/>
        </w:rPr>
        <w:t>is currently retired. He has been a Director since 1993 and has served on the Audit Committee as Chairman from 1993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2016 and as a member since October 2016. Since 1993, he has been employed by a number of financial institutions as a financial advisor and Vice President. He was employed by UBS from May 2008 through June 2017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Kevin P. McDermott (64) </w:t>
      </w:r>
      <w:r>
        <w:rPr>
          <w:rFonts w:ascii="Arial" w:cs="Arial" w:eastAsia="Arial" w:hAnsi="Arial"/>
          <w:sz w:val="16"/>
          <w:szCs w:val="16"/>
          <w:color w:val="auto"/>
        </w:rPr>
        <w:t>has been a Director since June 2015 and has served on the Audit Committee as a member from August 2015 through September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2016 and as Chairman since October 2016. Mr. McDermott retired from international accounting firm KPMG LLP in the fall of 2013 after having been 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 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SEC and Public Company Accounting Oversight Board investigations and third-party litigation matters. He is a licensed Certified Public Accountant in Tennessee and New York and holds a Bachelor of Science in economics from South Dakota State University. Mr. McDermott was appointed to the board of directors of Genesco Inc. effective February 1, 2016 and currently serves as Chairman of its Audit Committee. Genesco is a publicly-traded retailer and wholesaler of branded footwear, apparel and accessories. Mr. McDermott brings significant expertise in the area of financial and internal control reporting by publicly-traded companies. This expertise aligns with our responsibility and commitment to provide oversight for our shareholders and others relating to the integrity of our financial statements and related filings.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Nominating and Corporate Governance Committee has determined that each of Messrs. Anderson, Mulligan, Dutcher, Friel, Morgan and McDermott and Ms. Frame are "independent," as that term is defined in Rule 5605(a)(2) of the NASDAQ Listing Rules. Accordingly, the Board is composed of a majority of independent Directors as required by the NASDAQ Listing Rules. In addition, none of our directors are a party to any agreement or arrangement that would require disclosure pursuant to NASDAQ Listing Rule 5250(b)(3) regarding the payment of compensation to directors by a third party in connection with serving as a director of the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APPROVAL OF THE COMPANY'S EXECUTIVE COMPENSATION</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Chief Executive Officer ("CEO") and all of the other executive officers named in the Summary Compensation Table appearing later in this Proxy Statement (collectively, the "Named Executive Officers") are at-will employees consistent with applicable South Dakota state law. There are no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2018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U.S. Congress has enacted requirements commonly referred to as the "say-on-pay"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2018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approval, this proposal is non-binding. However, the Board and our Compensation Committee, which is responsible for designing and overseeing the administration of our executive compensation program, value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ADVISORY (NON-BINDING)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of the Board of Directors has appointed Deloitte &amp; Touche, LLP ("Deloitte") as our independent registered public accounting firm (the "Independent Auditor") to perform reviews of our interim consolidated financial statements to be included in our fiscal 2019 Quarterly Reports on Form 10-Q and to audit our annual consolidated financial statements and our internal control over financial reporting for fiscal 2019, and it recommends that the shareholders vote for ratification of such appointment. A representative of Deloitte is expected to be present at the Annual Meeting, will have the opportunity to make a statement, and is expected to be available to respond to appropriate questions.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 in Auditor</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reported on the Company’s Current Report on Form 8-K filed on September 15, 2017 (the "Change in Auditor 8-K"), effective September 12, 2017, the Audit Committee dismissed Ernst &amp; Young LLP ("EY") as the Company’s independent registered public accounting firm and appointed Deloitte to serve in this role for the fiscal year ended April 28, 2018. For more information, see the Change in Auditor 8-K, as amended by the Current Report on Form 8-K/A (Amendment No. 1) filed on December 1, 2017. A representative of EY is not expected to be present at the Annual Meeting.</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EY audited the consolidated financial statements of the Company for the fiscal years ended April 29, 2017 and April 30, 2016. EY's audit reports for each of these fiscal years did not contain an adverse opinion or a disclaimer of opinion and, were not qualified or modified as to uncertainty, audit scope, or accounting principle.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our two most recent fiscal years ended April 29, 2017 and April 30, 2016 and during the subsequent interim period from April 30, 2017 through September 12, 2017, (i) there were no disagreements with EY on any matter of accounting principles or practices, financial statement disclosure or auditing scope or procedures that, if not resolved to EY's satisfaction, would have caused EY to make reference to the subject matter of the disagreement in connection with its reports and (ii) there were no "reportable events" as defined in Item 304(a)(1)(v) of Regulation 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provided EY with a copy of the Change in Auditor 8-K and requested EY to furnish the Company with a letter addressed to the Securities and Exchange Commission stating whether it agrees with the statements contained in the Change in Auditor 8-K. The Company received the requested letter from EY, and a copy of EY’s letter was attached as Exhibit 16.1 to the Change in Auditor 8-K.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two most recent fiscal years ended April 29, 2017 and April 30, 2016 and during the subsequent interim period from April 30, 2017 through September 12, 2017, neither we nor anyone on our behalf consulted Deloitte regarding either (i) the application of accounting principles to a specified transaction, either completed or proposed, or the type of audit opinion that might be rendered on our financial statements, and neither a written report nor oral advice was provided to us that Deloitte concluded was an important factor considered by us in reaching a decision as to any accounting, auditing or financial reporting issue, or (ii) any matter that was either the subject of a "disagreement" (as defined in Item 304(a)(1)(iv) of Regulation S-K) or a "reportable event" (as defined in Item 304(a)(1)(v) of Regulation 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aggregate fees billed for professional services rendered by Deloitte and EY for the fiscal year ended April 28, 2018 and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EY for the fiscal year ended April 29,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00" w:type="dxa"/>
            <w:vAlign w:val="bottom"/>
            <w:gridSpan w:val="4"/>
          </w:tcPr>
          <w:p>
            <w:pPr>
              <w:jc w:val="right"/>
              <w:ind w:right="770"/>
              <w:spacing w:after="0"/>
              <w:rPr>
                <w:sz w:val="20"/>
                <w:szCs w:val="20"/>
                <w:color w:val="auto"/>
              </w:rPr>
            </w:pPr>
            <w:r>
              <w:rPr>
                <w:rFonts w:ascii="Arial" w:cs="Arial" w:eastAsia="Arial" w:hAnsi="Arial"/>
                <w:sz w:val="18"/>
                <w:szCs w:val="18"/>
                <w:color w:val="auto"/>
              </w:rPr>
              <w:t>Fiscal Year Ended</w:t>
            </w:r>
          </w:p>
        </w:tc>
      </w:tr>
      <w:tr>
        <w:trPr>
          <w:trHeight w:val="27"/>
        </w:trPr>
        <w:tc>
          <w:tcPr>
            <w:tcW w:w="3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color w:val="auto"/>
              </w:rPr>
              <w:t>April 28, 2018</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29, 2017</w:t>
            </w:r>
          </w:p>
        </w:tc>
      </w:tr>
      <w:tr>
        <w:trPr>
          <w:trHeight w:val="27"/>
        </w:trPr>
        <w:tc>
          <w:tcPr>
            <w:tcW w:w="30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951,029</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887,897</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37,145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25,200</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26,179</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(3)</w:t>
            </w: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69,995</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89"/>
        </w:trPr>
        <w:tc>
          <w:tcPr>
            <w:tcW w:w="3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1,084,348</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915,092</w:t>
            </w:r>
          </w:p>
        </w:tc>
      </w:tr>
      <w:tr>
        <w:trPr>
          <w:trHeight w:val="20"/>
        </w:trPr>
        <w:tc>
          <w:tcPr>
            <w:tcW w:w="30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jc w:val="both"/>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EY and Deloitte that are reasonably related to the performance of the audit or review of the Company’s financial statements.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EY and Deloitte that does not meet the above category descriptions.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Audit and other professional fees for fiscal 2018 consisted of $162,134 paid to EY and $922,214 paid to Deloitte.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Auditor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its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EY and Deloitte to us, over and above the audit fees, to be compatible with the ability of each of EY and Deloitte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Deloitte &amp; Touche, LLP as our Independent Auditor for the fiscal year ending April 27, 2019. If the shareholders do not approve the selection of Deloitte &amp; Touche,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DELOITTE &amp; TOUCHE, LLP AS THE COMPANY’S INDEPENDENT REGISTERED PUBLIC ACCOUNTING FIRM FOR THE FISCAL YEAR ENDING APRIL 27, 2019 AS SET FORTH IN PROPOSAL THREE.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FOUR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AN AMENDMENT TO THE EMPLOYEE STOCK PURCHASE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Daktronics, Inc. Employee Stock Purchase Plan, or ESPP, was established by our Board and approved by our shareholders in 2002. Our Board and shareholders authorized the issuance of 2,500,000 shares under the ESPP. On May 30, 2018, our Board approved, subject to shareholder approval, an amendment to the ESPP to increase the number of shares authorized under the ESPP to 4,000,000 (an increase of 1,500,000 shares).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believes that the amendment to the ESPP is in our and your best interests and is important to help assure our ability to continue to recruit and retain highly qualified employees. As of April 28, 2018, 173,232 shares of our common stock remained available for purchase under the ESPP. If the amendment to the ESPP is not approved by shareholders, we will exhaust these previously authorized shares in the coming months or years and then our employees will no longer be able to purchase shares of our common stock under the ESPP.</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the material features of the ESPP. The summary is qualified in its entirety by reference to the full text of the ESPP as proposed to be amended, which is included as an appendix to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Amended ESPP</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 xml:space="preserve">Available Shares. </w:t>
      </w:r>
      <w:r>
        <w:rPr>
          <w:rFonts w:ascii="Arial" w:cs="Arial" w:eastAsia="Arial" w:hAnsi="Arial"/>
          <w:sz w:val="18"/>
          <w:szCs w:val="18"/>
          <w:color w:val="auto"/>
        </w:rPr>
        <w:t>The aggregate number of shares of common stock to be reserved by the Company and available for purchase under the ESPP is 4,000,000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Purpose. </w:t>
      </w:r>
      <w:r>
        <w:rPr>
          <w:rFonts w:ascii="Arial" w:cs="Arial" w:eastAsia="Arial" w:hAnsi="Arial"/>
          <w:sz w:val="17"/>
          <w:szCs w:val="17"/>
          <w:color w:val="auto"/>
        </w:rPr>
        <w:t>The purpose of the ESPP is to provide eligible employees with an opportunity to increase their proprietary interest in the success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purchasing common stock from the Company on favorable terms and paying for such purchases through periodic payroll deductions.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ESPP is administered by the Compensation Committee (the "Committee"). The Committee interprets the ESPP and makes all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decisions relating to the operation of the ESPP.</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Any employee of the Company (or any designated subsidiary) whose customary employment is for more than five months per calendar year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more than 20 hours per week and who has been employed for at least six months at the start of an offering period is eligible to participate in the ESPP. As of the Record Date, there were approximately 2,180 employees who were eligible to participate in the ESPP. No employee is permitted to purchase common stock under the ESPP if such employee owns more than five percent (5%) of the total combined voting power or value of all classes of our stock (including shares which may be purchased under the ESPP, and no employee is entitled to purchase shares having a fair market value of more than $25,000 in any calendar year.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Contribution Period</w:t>
      </w:r>
      <w:r>
        <w:rPr>
          <w:rFonts w:ascii="Arial" w:cs="Arial" w:eastAsia="Arial" w:hAnsi="Arial"/>
          <w:sz w:val="18"/>
          <w:szCs w:val="18"/>
          <w:color w:val="auto"/>
        </w:rPr>
        <w:t>. Each calendar year, two offering periods each with a duration of six months commence on November 1 and May 1. Each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contains one six-month contribution period, with purchases occurring at the end of each six-month contribution period.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The price of each share of common stock purchased under the ESPP is 85% of the lower of (i) the fair market value per share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 the last trading day of the offering period or (ii) the fair market value per share of common stock on the last trading day before the offering date. The purchase price of the shares is accumulated by payroll deductions over each contribution period. The deductions may not exceed 15% of an employee's compensation, and no more than 4,000 shares may be purchased on any purchase date. All payroll deductions of a participant are credited to his or her account under the ESPP, and such funds may be used for any corporate purpose.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Termination. </w:t>
      </w:r>
      <w:r>
        <w:rPr>
          <w:rFonts w:ascii="Arial" w:cs="Arial" w:eastAsia="Arial" w:hAnsi="Arial"/>
          <w:sz w:val="18"/>
          <w:szCs w:val="18"/>
          <w:color w:val="auto"/>
        </w:rPr>
        <w:t>Employees may end their participation in the ESPP at any time during the contribution period, and participation ends automatically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of employment with the Company.</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Amendment. </w:t>
      </w:r>
      <w:r>
        <w:rPr>
          <w:rFonts w:ascii="Arial" w:cs="Arial" w:eastAsia="Arial" w:hAnsi="Arial"/>
          <w:sz w:val="18"/>
          <w:szCs w:val="18"/>
          <w:color w:val="auto"/>
        </w:rPr>
        <w:t>The Board may amend or terminate the ESPP at any time. However, the Board may not, without shareholder approval, increase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of common stock reserved for issuance under the ESPP.</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Antidilution Provisions</w:t>
      </w:r>
      <w:r>
        <w:rPr>
          <w:rFonts w:ascii="Arial" w:cs="Arial" w:eastAsia="Arial" w:hAnsi="Arial"/>
          <w:sz w:val="17"/>
          <w:szCs w:val="17"/>
          <w:color w:val="auto"/>
        </w:rPr>
        <w:t>. The Board of Directors must equitably adjust the maximum number of shares of common stock reserved for issuance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ESPP in the event of stock splits or consolidations, stock dividends or other transactions in which the Company receives no consideration.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Benefits and purchases of shares of our common stock under the ESPP depend on elections made by employees and the fair market value of our common stock on dates in the future. As a result, it is not possible to determine the benefits that will be received by executive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officers and other employees in the future under the ESPP. As described above, no employee may purchase shares under the ESPP at a rate that exceeds $25,000 in fair market value in any calendar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ESPP is intended to be an "employee stock purchase plan" within the meaning of Section 423 of the Internal Revenue Code of 1986 (the "Code"). Under such a plan, no taxable income is recognized by participants, and no deductions are allowable to the Company either when a purchase right is granted at the beginning of the offering period or when shares are purchased at the end of a contribution period.</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Internal Revenue Service (the "IRS") has in the past stated that participants will recognize income in the year in which they make a disposition of the purchased shares. The term "disposition" generally includes any transfer of legal title, whether by sale, exchange or gift. It does not include a transfer to a participant's spouse, a transfer into joint ownership if the participant remains one of the joint owners or a transfer into a participant's brokerage account. Hence, a participant will be subject to federal income tax on the purchased shares only when he or she disposes of them.</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participant's federal income tax liability will depend on whether he or she makes a qualifying or disqualifying disposition of the purchased shares. A qualifying disposition will occur if the sale or other disposition of those shares is made after the participant has held the shares for (a) more than two years after the start date of the applicable offering period, and (b) more than one year after the actual purchase date. A disqualifying disposition is any sale or disposition which is made before either of these two holding periods is satisfied.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a participant makes a qualifying disposition, he or she will recognize ordinary income in the year of the qualifying disposition equal to the lesser of (a) the amount by which the fair market value of the shares on the date of the qualifying disposition exceeds the purchase price paid for those shares, or (b) 15% of the fair market value of the shares on the start date of the offering period during which those shares were purchased. The Company is not entitled to an income tax deduction with respect to such disposition. Any additional gain recognized by the participant upon the qualifying disposition will be taxed as long-term capital gain. If the fair market value of the shares on the date of the qualifying disposition is less than the purchase price a participant paid for the shares, there will be no ordinary income, and any loss recognized will generally be a long-term capital loss.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participant disposes of the shares acquired under the ESPP prior to meeting either of the above-described holding periods, he or she will recognize ordinary income in the year of disposition equal to the difference between the fair market value of the shares at the date of exercise and the purchase price and capital gain or loss equal to the difference between the amount realized on the sale and the fair market value on the date of exercise. The amount of the ordinary income will be added to the participant's basis in the shares, and any resulting gain or loss realized will be treated as long-term capital gain or loss if the participant held the stock at least 12 months. The Company is entitled to an income tax deduction in the amount of the ordinary income recognized by the participant with respect to the disqualifying disposition.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is only a summary of the general effect of the U.S. federal income taxation upon participants and the Company with respect to the purchase of shares under the ESPP and the subsequent sale of such shares, and it does not purport to be complete. This summary does not discuss the tax consequences of a participant's death or the income tax laws of any state or foreign country in which a participant may reside. A participant should consult his or her own tax advisor as to the tax consequences of any particular transaction under the ESPP.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ESPP is designed to qualify for favorable tax treatment under Section 423 of the Code. To maintain this qualification, we must obtain shareholder approval of the amendment to the ESPP within 12 months of the Board’s approval date. The affirmative vote of a majority of the votes cast by shareholders entitled to vote who are present in person or represented by proxy is required to approve the amendment to the ESPP.</w:t>
      </w:r>
    </w:p>
    <w:p>
      <w:pPr>
        <w:spacing w:after="0" w:line="1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THE BOARD OF DIRECTORS RECOMMENDS THAT THE SHAREHOLDERS VOTE "FOR" THE APPROVAL OF THE AMENDMENT TO OUR EMPLOYEE STOCK PURCHASE PLAN AS SET FORTH IN PROPOSAL FOUR.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The Board has responsibility for risk management oversight and for providing strategic guidance to the Company. 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through discussions with the Chief Executive Officer and other officers, by reviewing material provided to them and by participating in meetings of the Board and its Committees.</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Dr. Aelred Kurtenbach, one of our founders and our first Chief Executive Officer ("CEO"), served as Chairman of the Board from the Company's inception until September 2014. When he retired from the CEO responsibilities in 2001, the Board separated the Chair and CEO roles and retained Dr. Kurtenbach as Chair in order to continue to benefit from his leadership. The Board has also established a Lead Independent Director role. Ms. Nancy Frame has served as our Lead Independent Director since 2005. When Dr. Kurtenbach retired as Chairman of the Board in September 2014, the Board studied and discussed publicly available research and expert guidance on different structures. After this study and discussion, the Board determined that a return to the combined Chair and CEO roles plus a Lead Independent Director role would best serve the Company and its shareholders going forward.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Chairman conducts the Board meetings, and the Lead Independent Director presides over independent Director meetings. The Lead Independent Director also serves as chairperson of the Nominating and Corporate Governance Committee.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2018, the Board of Directors held four regularly scheduled meetings and one special meeting, the Audit Committee met eight times, the Compensation Committee met seven times, and the Nominating and Corporate Governance Committee met four times. All of the Directors attended at least 75 percent of the aggregate of all meetings of the Board of Directors and Committees upon which they served, and all of the Directors attended the annual meeting of shareholders held in August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adopted a practice of meeting in executive session, and then with independent Directors only, in conjunction with each regularly scheduled Board meeting. The independent Directors met four times in fiscal 2018.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takes an active role in risk oversight both as a full Board and through its Committees. The Company's management team attends a portion of each regular Board meeting, and the Board engages management in a review of the business with respect to our strategies and risks. Such risks include those inherent in our businesses as well as the risks from external sources such as competitors, the economy, credit markets and regulatory and legislative developments.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practices and procedures that promote good governance and thus mitigate governance risk, and it is also responsible for reviewing the performance of the Board, its Committees and their members. These Committees report to the full Board on these topics, including risks, as they deem to be necessary or advisable.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party transactions, which the Audit Committee oversees. Under the 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2018, our Audit Committee consisted of Kevin P. McDermott (Chairperson), John L. Mulligan, John P. Friel, and James B.</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Morgan. The Board of Directors has determined that each Audit Committee member is independent as defined under Rule 5605(a)(2) of the NASDAQ Listing Rules and Rule 10A-3 under the Securities Exchange Act of 1934 ("Exchange Act"). The Board has determined that Mr. Mulligan, Mr. McDermott, Mr. Friel, and Mr. Morgan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 In fulfilling this role, the Audit Committee, among other things, oversees the accounting and financial reporting process and audits of the financial statements and related SEC filings, appoints and determines the compensation of our Independent Auditor, reviews the scope and findings of the audit, reviews the adequacy and effectiveness of our accounting policies and system of internal control over financial reporting, and oversees our policy and procedures with respect to related party transactions. The Audit Committee’s Charter is available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Compensation Committee</w:t>
      </w:r>
      <w:r>
        <w:rPr>
          <w:rFonts w:ascii="Arial" w:cs="Arial" w:eastAsia="Arial" w:hAnsi="Arial"/>
          <w:sz w:val="17"/>
          <w:szCs w:val="17"/>
          <w:color w:val="auto"/>
        </w:rPr>
        <w:t>. During fiscal 2018, our Compensation Committee consisted of Robert G. Dutcher (Chairperson), Byron J. Anderson, and John P.</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Friel. All of the Compensation Committee members satisfy the independence requirements of the NASDAQ Listing Rules, as determined by the Board of Directors. The Compensation Committee annually reviews and approves the Chief Executive Officer’s and other executives' compensation packages and acts upon management’s recommendations for executives concerning employee equity incentives, bonuses and other compensation and benefit plans. The Compensation Committee’s Charter is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color w:val="auto"/>
        </w:rPr>
        <w:t>. During fiscal 2018,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Nancy D. Frame (Chairperson), Byron J. Anderson and James B. Morgan.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Nominating Committee’s Charter and our Corporate Governance Guidelines are available on our website at </w:t>
      </w:r>
      <w:r>
        <w:rPr>
          <w:rFonts w:ascii="Arial" w:cs="Arial" w:eastAsia="Arial" w:hAnsi="Arial"/>
          <w:sz w:val="17"/>
          <w:szCs w:val="17"/>
          <w:i w:val="1"/>
          <w:iCs w:val="1"/>
          <w:color w:val="auto"/>
        </w:rPr>
        <w:t>www.daktronics.com</w:t>
      </w:r>
      <w:r>
        <w:rPr>
          <w:rFonts w:ascii="Arial" w:cs="Arial" w:eastAsia="Arial" w:hAnsi="Arial"/>
          <w:sz w:val="17"/>
          <w:szCs w:val="17"/>
          <w:color w:val="auto"/>
        </w:rPr>
        <w: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and judgment and willingness to be prepared and active participants at Board and Committee meetings. The Nominating Committee and the Board seek to attract and retain highly qualified Directors who have sufficient time to attend to their duties and responsibilities to the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Company’s responsibility to its key stakeholders, which include shareholders, customers, suppliers, community and employees.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 Candidates are selected based upon their potential contributions to the long-term interests of shareholders.</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Demonstrated integrity and ethics in his or her professional life and an established record of professional accomplishment in his or her chosen field.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9"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Nominating Committee will consider written proposals from shareholders for nominees for Director. Any such nominations must be submitted to the Nominating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Director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deadline described in this Proxy Statement under the caption "Procedural Matters – Procedure for Submitting Shareholder Proposals" above.</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Board of Directors may do so by writing to it at the following address: Corporate Secretary, Daktronics, Inc., 201 Daktronics Drive, Brookings, South Dakota 57006. All letters received will be forwarded to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2018, none of our executive officers served on the board of directors or compensation committee of another company that had an executive officer who served on our Board of Directors or our Compensation Committee.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compensation paid to and earned by our Directors for the fiscal year ended April 28,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2018 DIRECTOR COMPENSATION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Fees Earned or</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ind w:right="690"/>
              <w:spacing w:after="0"/>
              <w:rPr>
                <w:sz w:val="20"/>
                <w:szCs w:val="20"/>
                <w:color w:val="auto"/>
              </w:rPr>
            </w:pPr>
            <w:r>
              <w:rPr>
                <w:rFonts w:ascii="Arial" w:cs="Arial" w:eastAsia="Arial" w:hAnsi="Arial"/>
                <w:sz w:val="18"/>
                <w:szCs w:val="18"/>
                <w:color w:val="auto"/>
              </w:rPr>
              <w:t>Total</w:t>
            </w:r>
          </w:p>
        </w:tc>
      </w:tr>
      <w:tr>
        <w:trPr>
          <w:trHeight w:val="257"/>
        </w:trPr>
        <w:tc>
          <w:tcPr>
            <w:tcW w:w="204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1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Paid in Cash ($)</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0"/>
              <w:spacing w:after="0" w:line="257" w:lineRule="exact"/>
              <w:rPr>
                <w:sz w:val="20"/>
                <w:szCs w:val="20"/>
                <w:color w:val="auto"/>
              </w:rPr>
            </w:pPr>
            <w:r>
              <w:rPr>
                <w:rFonts w:ascii="Arial" w:cs="Arial" w:eastAsia="Arial" w:hAnsi="Arial"/>
                <w:sz w:val="18"/>
                <w:szCs w:val="18"/>
                <w:color w:val="auto"/>
                <w:w w:val="92"/>
              </w:rPr>
              <w:t xml:space="preserve">Stock Awards ($) </w:t>
            </w:r>
            <w:r>
              <w:rPr>
                <w:rFonts w:ascii="Arial" w:cs="Arial" w:eastAsia="Arial" w:hAnsi="Arial"/>
                <w:sz w:val="25"/>
                <w:szCs w:val="25"/>
                <w:color w:val="auto"/>
                <w:w w:val="92"/>
                <w:vertAlign w:val="superscript"/>
              </w:rPr>
              <w:t>(2)</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6"/>
              </w:rPr>
              <w:t>Compensation ($)</w:t>
            </w: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106,998</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Robert G. Dutcher</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106,998</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110,748</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John P. Friel</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108,998</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Kevin P. McDermott</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108,998</w:t>
            </w: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James B. Morgan</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53,000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108,998</w:t>
            </w:r>
          </w:p>
        </w:tc>
      </w:tr>
      <w:tr>
        <w:trPr>
          <w:trHeight w:val="27"/>
        </w:trPr>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John L. Mulligan</w:t>
            </w:r>
          </w:p>
        </w:tc>
        <w:tc>
          <w:tcPr>
            <w:tcW w:w="26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55,998</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106,248</w:t>
            </w:r>
          </w:p>
        </w:tc>
      </w:tr>
      <w:tr>
        <w:trPr>
          <w:trHeight w:val="27"/>
        </w:trPr>
        <w:tc>
          <w:tcPr>
            <w:tcW w:w="2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jc w:val="both"/>
        <w:ind w:left="660" w:right="2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Chief Executive Officer since September 1, 2013, was a Named Executive Officer during fiscal 2018 and therefore his compensation is included in the appropriate tables within the section of this Proxy Statement entitled "Executive Compensation."</w:t>
      </w:r>
    </w:p>
    <w:p>
      <w:pPr>
        <w:spacing w:after="0" w:line="1" w:lineRule="exact"/>
        <w:rPr>
          <w:rFonts w:ascii="Arial" w:cs="Arial" w:eastAsia="Arial" w:hAnsi="Arial"/>
          <w:sz w:val="18"/>
          <w:szCs w:val="18"/>
          <w:color w:val="auto"/>
        </w:rPr>
      </w:pPr>
    </w:p>
    <w:p>
      <w:pPr>
        <w:jc w:val="both"/>
        <w:ind w:left="660" w:hanging="328"/>
        <w:spacing w:after="0" w:line="277"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Represents August 31, 2017 grants of 5,815 restricted shares of our common stock to each of the Directors named in the table with a grant date fair value of $55,998, which vest on August 31, 2018 if they are then Directors of the Company. The dollar amounts in this column of the table were computed in accordance with Financial Accounting Standards Board Accounting Standards Codification Topic 718 ("ASC 718").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Independent Director Fees. </w:t>
      </w:r>
      <w:r>
        <w:rPr>
          <w:rFonts w:ascii="Arial" w:cs="Arial" w:eastAsia="Arial" w:hAnsi="Arial"/>
          <w:sz w:val="18"/>
          <w:szCs w:val="18"/>
          <w:color w:val="auto"/>
        </w:rPr>
        <w:t>For fiscal 2018, each independent Director received an annual retainer of $35,500. In addition, each independent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$2,500 per meeting for each Board of Directors meeting attended in person. The following table describes the annual retainers paid to each independent director for Committee membership participation: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2018 Director Compensation".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Stock Ownership and Retention Guidelines. </w:t>
      </w:r>
      <w:r>
        <w:rPr>
          <w:rFonts w:ascii="Arial" w:cs="Arial" w:eastAsia="Arial" w:hAnsi="Arial"/>
          <w:sz w:val="16"/>
          <w:szCs w:val="16"/>
          <w:color w:val="auto"/>
        </w:rPr>
        <w:t>The Board of Directors has implemented stock ownership guidelines for Directors. Under these guidelines,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Director is expected to achieve a target of 5,000 shares owned, excluding shares subject to options. Directors have five years from the date they first become a member of the Board of Directors to achieve this level of ownership. As of the Record Date, all directors were in compliance with these guidelines.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2, 2018 about our executive officers who are not Directors.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Executive</w:t>
            </w:r>
          </w:p>
        </w:tc>
      </w:t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8"/>
              </w:rPr>
              <w:t>Officer</w:t>
            </w:r>
          </w:p>
        </w:tc>
      </w:tr>
      <w:tr>
        <w:trPr>
          <w:trHeight w:val="230"/>
        </w:trPr>
        <w:tc>
          <w:tcPr>
            <w:tcW w:w="2500" w:type="dxa"/>
            <w:vAlign w:val="bottom"/>
            <w:gridSpan w:val="2"/>
          </w:tcPr>
          <w:p>
            <w:pPr>
              <w:ind w:left="940"/>
              <w:spacing w:after="0"/>
              <w:rPr>
                <w:sz w:val="20"/>
                <w:szCs w:val="20"/>
                <w:color w:val="auto"/>
              </w:rPr>
            </w:pPr>
            <w:r>
              <w:rPr>
                <w:rFonts w:ascii="Arial" w:cs="Arial" w:eastAsia="Arial" w:hAnsi="Arial"/>
                <w:sz w:val="18"/>
                <w:szCs w:val="18"/>
                <w:color w:val="auto"/>
              </w:rPr>
              <w:t>Name</w:t>
            </w:r>
          </w:p>
        </w:tc>
        <w:tc>
          <w:tcPr>
            <w:tcW w:w="5400" w:type="dxa"/>
            <w:vAlign w:val="bottom"/>
            <w:gridSpan w:val="2"/>
          </w:tcPr>
          <w:p>
            <w:pPr>
              <w:ind w:left="1580"/>
              <w:spacing w:after="0"/>
              <w:rPr>
                <w:sz w:val="20"/>
                <w:szCs w:val="20"/>
                <w:color w:val="auto"/>
              </w:rPr>
            </w:pPr>
            <w:r>
              <w:rPr>
                <w:rFonts w:ascii="Arial" w:cs="Arial" w:eastAsia="Arial" w:hAnsi="Arial"/>
                <w:sz w:val="18"/>
                <w:szCs w:val="18"/>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Age</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Sheila M. Anderson</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 and Treasurer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Matthew J. Kurtenbach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Vice President, Manufacturing</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Carla S. Gatzke</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Vice President of Human Resources and 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Sheila M. Anderson </w:t>
      </w:r>
      <w:r>
        <w:rPr>
          <w:rFonts w:ascii="Arial" w:cs="Arial" w:eastAsia="Arial" w:hAnsi="Arial"/>
          <w:sz w:val="17"/>
          <w:szCs w:val="17"/>
          <w:color w:val="auto"/>
        </w:rPr>
        <w:t>joined the Company in 2002 as a senior accountant after spending a number of years working as a certified public accountant in public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 lead design engineer after spending a number of years with Rockwell International Corporation, where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 was involved in flight control systems. In 1994, he became manager of the Company's engineering groups focused on commercial and 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School &amp; Theatres business unit, which is now known as the High School Park and Recreation business unit. Mr. Wiemann holds a Master of Science degree in electrical and computer engineering from the University of Iowa and a Bachelor of Science degree in electrical engineering from South Dakota State University.</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Matthew J. Kurtenbach </w:t>
      </w:r>
      <w:r>
        <w:rPr>
          <w:rFonts w:ascii="Arial" w:cs="Arial" w:eastAsia="Arial" w:hAnsi="Arial"/>
          <w:sz w:val="17"/>
          <w:szCs w:val="17"/>
          <w:color w:val="auto"/>
        </w:rPr>
        <w:t>joined the Company in 1992 as a manager in manufacturing, and he subsequently served as a project manager for sports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project manager for the Company's process improvements and facility expansions. In 2001, he was named Manufacturing Manager and, in 2006, he was appointed Vice President, Manufacturing. Also in 2006, he was charged with leading the Company's transformation to lean manufacturing. More recently, he gained responsibility for repair center operations associated with after-sales services. Mr. Kurtenbach holds a Master of Science degree in industrial management and a Bachelor of Science degree in electrical engineering from South Dakota State University. Mr. Kurtenbach is the son of Aelred J. Kurtenbach and the brother of Reece A. Kurtenbach and Carla S. Gatzke.</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Carla S. Gatzke </w:t>
      </w:r>
      <w:r>
        <w:rPr>
          <w:rFonts w:ascii="Arial" w:cs="Arial" w:eastAsia="Arial" w:hAnsi="Arial"/>
          <w:sz w:val="17"/>
          <w:szCs w:val="17"/>
          <w:color w:val="auto"/>
        </w:rPr>
        <w:t>joined the Company fulltime in 1984 in Systems Sales Engineering where she was responsible for sales and project management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legislative voting systems. In 1988, Ms. Gatzke took an 18 month leave of absence to attend and teach at Drake University. In 1990, Ms. Gatzke returned to Daktronics and managed Star Circuits, which manufactures printed circuit boards. In 1992, she became responsible for Human Resources and, in 1996, she added the responsibility of Information and Technology and Systems. In 2006, the responsibility of the Company's Human Resources 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 and computer science from South Dakota State University. Ms. Gatzke is the daughter of Aelred J. Kurtenbach and the sister of Reece A. Kurtenbach and Matthew J. Kurtenbach.</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2018, except that Nancy D. Frame inadvertently filed one late report on Form 5 regarding one sale of 6,000 shares on December 6, 2013; John L. Mulligan inadvertently filed one late report on Form 4 regarding one sale of 37,307 shares on September 19, 2014; and James B. Morgan inadvertently filed two late reports on Form 5 regarding the gifts of 400 shares on August 1, 2005, 1,720 shares on December 15, 2005, and 2,000 shares on December 1, 2008.</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discussion should be read in conjunction with the various tables and accompanying narrative disclosure appearing in this 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 Executive Officers. Our shareholders previously voted that such say-on-pay votes be held annually. As a result, Proposal Two presented in this Proxy Statement seeks our shareholders’ input on our executive compensation program. This Compensation Discussion and Analysis, the compensation tables and the narrative disclosures that accompany the tables provide information that will assist our shareholders in deciding how to vote on Proposal Two.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executive compensation program, developed by management and approved by the Compensation Committee of the Board of Directors (the "Committee"), is intended to be simple (easily understood) and team-based, focused on a few key performance metrics and balanced among:</w:t>
      </w:r>
    </w:p>
    <w:p>
      <w:pPr>
        <w:spacing w:after="0" w:line="162"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 of top talent and the achievement of corporate objectives measure the effectiveness of our compensation program.</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performance for the fiscal year ended April 28, 2018 included an increase in sales and a decline in orders as compared to fiscal 2017. Sales increased over last fiscal year due to timing of demand and shipments. The decline in orders was primarily due to the size and timing of large contract order awards. In fiscal 2018, we delivered a 1.6 percent return on assets and a 2.8 percent return on beginning shareholders' equity. In fiscal 2018 compared to fiscal 2017, sales increased 4.1 percent and operating income decreased by 19.2 percent. In fiscal 2018, operating income as a percent of sales decreased to 2.0 percent as compared to 2.6 percent in fiscal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to executive compensation during the current fiscal year were mainly due to both maintaining the competitiveness of our compensation program as the economy improved and the Company's financial results in fiscal 2018 as compared to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Philosophy and Objectives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Compensation Committee has responsibility for guiding our executive compensation philosophy and overseeing the design of our executive compensation programs. In arriving at the appropriate levels of pay and incentive opportunities, the Committee reviews our compensation philosophy and trends in our peer group to ensure that our executive compensation program is competitive to effectively recruit and retain talented management, focuses our executives to achieve short and long-range corporate objectives, and aligns the interests of the executives with the interests of our shareholders.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Committee bases its executive compensation decisions on the following philosophies:</w:t>
      </w:r>
    </w:p>
    <w:p>
      <w:pPr>
        <w:spacing w:after="0" w:line="225" w:lineRule="exact"/>
        <w:rPr>
          <w:sz w:val="20"/>
          <w:szCs w:val="20"/>
          <w:color w:val="auto"/>
        </w:rPr>
      </w:pPr>
    </w:p>
    <w:p>
      <w:pPr>
        <w:ind w:left="660" w:hanging="328"/>
        <w:spacing w:after="0" w:line="25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Committee annually reviews each executive's compensation. The Committee has determined that our executives' compensation will include base salary, non-equity-based incentive compensation, and equity-based incentive pay in the form of options and restricted stock units. We view the various components of compensation as related but distinct.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appropriate level for each executive compensation component based in part, but not exclusively, on the following factors:</w:t>
      </w:r>
    </w:p>
    <w:p>
      <w:pPr>
        <w:spacing w:after="0" w:line="225"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base salary reflects the pay that the Committee believes is appropriate for each executive's responsibility, capability and performance. The non-equity-based incentive compensation is designed to focus the executive team on the Company-wide goals and objectives, which focus on growth in revenue and reductions in costs in order to achieve and sustain a target operating margin. The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results. The equity-based compensation plan is designed to encourage executives to also own stock in the Company, and thereby more directly align executives' interests with our shareholders' interests.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Committee believes that equitable and competitive compensation, as well as leader development and promotion-from-within, is essential to retain high-performing executives. The average number of years of experience with Daktronics of our currently employed non-Director Named Executive Officers is 25.5 years.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2018, our Named Executive Officers were Reece A. Kurtenbach, President and Chief Executive Officer; Sheila M. Anderson, Chief Financial Officer and Treasurer; Bradley T. Wiemann, Executive Vice President; Matthew J. Kurtenbach, Vice President, Manufacturing; and Carla S. Gatzke, Vice President of Human Resources and Secretary.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Chief Executive Officer and Vice President of Human Resources present to the Compensation Committee their recommendations for the salary, non-equity-based incentive compensation, and equity-based compensation grants for the Named Executive Officers and selected other executives. The Committee considers these recommendations and accepts or adjusts them, in whole or in part. The Chief Executive Officer and Vice President of Human Resources are not present for the discussions or determinations about their own compensation, but they generally participate in the discussions regarding other executive officers’ compensation. The Chair of the Compensation Committee presents the Committee’s findings regarding compensation for executive officers to the Board of Directors. Based on such input, the Board of Directors reviews and generally approves and adopts the Committee's recommendations regarding the executives' compensation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making decisions regarding elements and amounts of compensation, the Committee considers the compensation paid to executive officers at similar levels and responsibilities. These are public companies in our geographical area (South Dakota, North Dakota, Minnesota, Iowa, and Nebraska) with revenues of between $250 million and $1 billion and with a focus on manufacturing or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ectPr>
          <w:pgSz w:w="11900" w:h="16838" w:orient="portrait"/>
          <w:cols w:equalWidth="0" w:num="1">
            <w:col w:w="11420"/>
          </w:cols>
          <w:pgMar w:left="240" w:top="125"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Apogee Enterprises, Inc.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Hawkins, Inc.</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Badger Meter,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EVINE Live Inc.</w:t>
      </w:r>
    </w:p>
    <w:p>
      <w:pPr>
        <w:spacing w:after="0" w:line="75"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Bio-Techne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Tennant Company</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Winnebago Industries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Lindsay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Raven Industries,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Actuant Corporation</w:t>
      </w:r>
    </w:p>
    <w:p>
      <w:pPr>
        <w:spacing w:after="0" w:line="86"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Graco,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MTS Systems Corporation</w:t>
      </w:r>
    </w:p>
    <w:p>
      <w:pPr>
        <w:spacing w:after="0" w:line="200" w:lineRule="exact"/>
        <w:rPr>
          <w:sz w:val="20"/>
          <w:szCs w:val="20"/>
          <w:color w:val="auto"/>
        </w:rPr>
      </w:pPr>
    </w:p>
    <w:p>
      <w:pPr>
        <w:sectPr>
          <w:pgSz w:w="11900" w:h="16838" w:orient="portrait"/>
          <w:cols w:equalWidth="0" w:num="2">
            <w:col w:w="3120" w:space="720"/>
            <w:col w:w="7580"/>
          </w:cols>
          <w:pgMar w:left="240" w:top="125" w:right="239" w:bottom="1440" w:gutter="0" w:footer="0" w:header="0"/>
          <w:type w:val="continuous"/>
        </w:sectPr>
      </w:pP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Committee also considers compensation data from Salary.com and the Economic Research Institute, which takes into consideration company size, geography, base salary and variable cash compensation but excludes equity incentive compensation information.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Committee believes that its executive compensation is sufficiently conservative, as well as appropriately competitive, so as not to require an external consultant opinion.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fiscal 2018, the principal components of our executive compensation program consisted of the following, each of which is addressed below in greater detail:</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benefits.</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u w:val="single" w:color="auto"/>
          <w:color w:val="auto"/>
        </w:rPr>
        <w:t>Base Salary</w:t>
      </w:r>
      <w:r>
        <w:rPr>
          <w:rFonts w:ascii="Arial" w:cs="Arial" w:eastAsia="Arial" w:hAnsi="Arial"/>
          <w:sz w:val="16"/>
          <w:szCs w:val="16"/>
          <w:i w:val="1"/>
          <w:iCs w:val="1"/>
          <w:color w:val="auto"/>
        </w:rPr>
        <w:t xml:space="preserve">. </w:t>
      </w:r>
      <w:r>
        <w:rPr>
          <w:rFonts w:ascii="Arial" w:cs="Arial" w:eastAsia="Arial" w:hAnsi="Arial"/>
          <w:sz w:val="16"/>
          <w:szCs w:val="16"/>
          <w:color w:val="auto"/>
        </w:rPr>
        <w:t>The base salary reflects each executive's responsibility, capability and performance. Base salary is determined based on the benchmarking data</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executive's responsibilities, the executive's experience, and the executive's performance and the impact of such performance on our business results.</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Committee also takes into account the Company's financial performance, and it has in the past limited executive pay changes based on business or economic conditions. The Committee also considers the recommendations of the Chief Executive Officer for other Named Executive Officers.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Non-Equity-Based Incentive Compensation Plan</w:t>
      </w:r>
      <w:r>
        <w:rPr>
          <w:rFonts w:ascii="Arial" w:cs="Arial" w:eastAsia="Arial" w:hAnsi="Arial"/>
          <w:sz w:val="17"/>
          <w:szCs w:val="17"/>
          <w:i w:val="1"/>
          <w:iCs w:val="1"/>
          <w:color w:val="auto"/>
        </w:rPr>
        <w:t xml:space="preserve">. </w:t>
      </w:r>
      <w:r>
        <w:rPr>
          <w:rFonts w:ascii="Arial" w:cs="Arial" w:eastAsia="Arial" w:hAnsi="Arial"/>
          <w:sz w:val="17"/>
          <w:szCs w:val="17"/>
          <w:color w:val="auto"/>
        </w:rPr>
        <w:t>The purpose of our non-equity-based incentive compensation plan is to focus the executive team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 percent, targeted payouts at a 10 percent operating margin, and maximum payouts at a 12.5 percent operating margin. The targeted level of variable cash compensation varies from an amount equal to five months of base salary to eight months of base salary for each executive officer. The maximum level of the variable cash compensation is 120 percent of the targeted level of variable cash compensation.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level of non-equity compensation takes into account other non-equity incentive compensation plans at comparable companies, as well as the Committee's preference for a material level of executive compensation that varies with the Company's performance. The Compensation Committee selected the operating margin measure for the formula because it believes it is the most appropriate indicator of performance that will drive long-term shareholder value, and it is consistent with our corporate strategies.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60.0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2018, the Named Executive Officers were eligible for non-equity-based incentive compensation if the maximum payout of 120 percent of target was achieved as follows: Chief Executive Officer - 80 percent of his base salary; Chief Financial Officer - 55 percent of her base salary; Vice President and Secretary - 50 percent of her base salary; and all other Named Executives Officers - 65 percent of their base salaries. For fiscal 2016, there was no non-equity-based incentive compensation paid out to any Named Executive Officer. For fiscal 2017, the operating margin resulted in a non-equity incentive compensation payout of approximately 1 percent of the target, or 1 percent of the maximum payouts. For fiscal 2018, there was no non-equity-based incentive compensation paid out to any Named Executive Officer.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have been the primary vehicles for offering long-term incentives to our executives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aligning the interests of employees more closely with those of our shareholders.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of Directors generally follow a practice of calculating the equity grant valuation limit based on the share price on the date of the Compensation Committee meeting at which the equity grants are determined by the Committee for recommendation to the Board to assure that the valuation limit is consistent with the approximate dilution limit of one percent. The Compensation Committee then allocates these equity grants to the Named Executive Officers, and the Chief Executive Officer allocates equity grants to selected employees. To facilitate the grant of stock options to employees and other executive officers, the Board of Directors authorized the Chief Executive Officer to grant individual stock options and restricted stock units during fiscal 2018, subject to the guidelines and limitations imposed by the Compensation Committee.</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Committee also considers trends in equity-based compensation, the mix of the type of equity grants, and the number of our shares that are available for equity grants. The Compensation Committee and the Board of Directors also generally follow a practice of allocating similar equity grants to each of the Named Executive Officers, with some variation based on responsibilities and experience. The allocation among Named Executive Officers is based on historical grants, the value of past grants and the Company’s performance, all of which are subject to the objectives listed under the section of this Proxy Statement entitled "Compensation Discussion and Analysis - Role of Compensation Committee, Philosophy and Objectives."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fiscal 2018, the Compensation Committee determined that each Named Executive Officer would be allocated equity grants for approximately 10,500 shares of common stock, with a ratio of 2.5 to 1 of incentive stock options to restricted stock units. The Committee determined that Mr. Reece A. Kurtenbach should receive a grant of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Committee determined that the valuation of the equity grants, based on the grant date fair value as determined under ASC 718, would be limited to approximately $2.5 million for all employees, including the Named Executive Officers. The value of the restricted stock units was equal to 115.0 percent of the value of the stock options for executives, as determined under the fair value provisions of ASC 718. For fiscal 2018, all equity grants to employees were made under the Daktronics, Inc. 2015 Stock Incentive Plan (the "2015 Plan").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Daktronics, Inc. 2007 Stock Incentive Plan (the "2007 Plan") and the 2015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health coverage, or similar benefits for our executives or employees.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employees, including the Named Executive Officers, are entitled to participate in the 401(k) Plan, which is qualified under Section 401(k) of the Code. 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discretion of the Board of Directors, we may make matching contributions equal to a percentage of the salary deduction contributions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discretionary amounts. We paid $2.6 million in matching and discretionary contributions in fiscal 2018, $2.5 million in fiscal 2017 and $2.3 million in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Contributions to the 401(k) Plan on behalf of the Named Executive Officers are described in the table entitled "Summary Compensation Table – Fiscal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employees, including the Named Executive Officers, are entitled to participate in the ESPP, which is intended to qualify under Section 423 of the Code. The ESPP allows employees to purchase shares of our common stock, subject to annual limitations, at a price equal to 85 percent of the lower of the fair market value of the common stock at the beginning or the end of each six-month offering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Code generally disallows a tax deduction to a public company for compensation in excess of $1 million paid to the company's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has not been material to our compensation decisions.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fiscal years ended April 28, 2018, April 29, 2017 and April 30, 2016, the following table sets forth information about compensation awarded to, earned by or paid to our principal executive officer and principal financial officer and our next three most highly compensated executive officers whose total compensation was greater than $100,000 for the fiscal year ended April 28, 2018, all of whom constitute our Named Executive Officers.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20" w:type="dxa"/>
            <w:vAlign w:val="bottom"/>
            <w:gridSpan w:val="12"/>
          </w:tcPr>
          <w:p>
            <w:pPr>
              <w:ind w:left="40"/>
              <w:spacing w:after="0"/>
              <w:rPr>
                <w:sz w:val="20"/>
                <w:szCs w:val="20"/>
                <w:color w:val="auto"/>
              </w:rPr>
            </w:pPr>
            <w:r>
              <w:rPr>
                <w:rFonts w:ascii="Arial" w:cs="Arial" w:eastAsia="Arial" w:hAnsi="Arial"/>
                <w:sz w:val="18"/>
                <w:szCs w:val="18"/>
                <w:b w:val="1"/>
                <w:bCs w:val="1"/>
                <w:color w:val="auto"/>
              </w:rPr>
              <w:t>SUMMARY COMPENSATION TABLE – FISCAL 2018</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6"/>
              </w:rPr>
              <w:t>Non-Equity</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Option</w:t>
            </w:r>
          </w:p>
        </w:tc>
        <w:tc>
          <w:tcPr>
            <w:tcW w:w="14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Incentive Plan</w:t>
            </w:r>
          </w:p>
        </w:tc>
        <w:tc>
          <w:tcPr>
            <w:tcW w:w="240" w:type="dxa"/>
            <w:vAlign w:val="bottom"/>
          </w:tcPr>
          <w:p>
            <w:pPr>
              <w:spacing w:after="0"/>
              <w:rPr>
                <w:sz w:val="18"/>
                <w:szCs w:val="18"/>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8"/>
                <w:szCs w:val="18"/>
                <w:color w:val="auto"/>
              </w:rPr>
              <w:t>All Other</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8"/>
                <w:szCs w:val="18"/>
                <w:color w:val="auto"/>
              </w:rPr>
              <w:t>Awards($)</w:t>
            </w:r>
          </w:p>
        </w:tc>
        <w:tc>
          <w:tcPr>
            <w:tcW w:w="2520" w:type="dxa"/>
            <w:vAlign w:val="bottom"/>
            <w:gridSpan w:val="6"/>
            <w:vMerge w:val="restart"/>
          </w:tcPr>
          <w:p>
            <w:pPr>
              <w:ind w:left="80"/>
              <w:spacing w:after="0"/>
              <w:rPr>
                <w:sz w:val="20"/>
                <w:szCs w:val="20"/>
                <w:color w:val="auto"/>
              </w:rPr>
            </w:pPr>
            <w:r>
              <w:rPr>
                <w:rFonts w:ascii="Arial" w:cs="Arial" w:eastAsia="Arial" w:hAnsi="Arial"/>
                <w:sz w:val="18"/>
                <w:szCs w:val="18"/>
                <w:color w:val="auto"/>
              </w:rPr>
              <w:t>Awards($)   Compensation($)</w:t>
            </w:r>
          </w:p>
        </w:tc>
        <w:tc>
          <w:tcPr>
            <w:tcW w:w="2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660" w:type="dxa"/>
            <w:vAlign w:val="bottom"/>
            <w:vMerge w:val="restart"/>
          </w:tcPr>
          <w:p>
            <w:pPr>
              <w:ind w:left="300"/>
              <w:spacing w:after="0"/>
              <w:rPr>
                <w:sz w:val="20"/>
                <w:szCs w:val="20"/>
                <w:color w:val="auto"/>
              </w:rPr>
            </w:pPr>
            <w:r>
              <w:rPr>
                <w:rFonts w:ascii="Arial" w:cs="Arial" w:eastAsia="Arial" w:hAnsi="Arial"/>
                <w:sz w:val="18"/>
                <w:szCs w:val="18"/>
                <w:color w:val="auto"/>
              </w:rPr>
              <w:t>Name and Principal Position</w:t>
            </w: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8"/>
                <w:szCs w:val="18"/>
                <w:color w:val="auto"/>
              </w:rPr>
              <w:t>Year</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w w:val="90"/>
              </w:rPr>
              <w:t>Salary($)</w:t>
            </w:r>
          </w:p>
        </w:tc>
        <w:tc>
          <w:tcPr>
            <w:tcW w:w="100" w:type="dxa"/>
            <w:vAlign w:val="bottom"/>
            <w:vMerge w:val="restart"/>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2520" w:type="dxa"/>
            <w:vAlign w:val="bottom"/>
            <w:gridSpan w:val="6"/>
            <w:vMerge w:val="continue"/>
          </w:tcPr>
          <w:p>
            <w:pPr>
              <w:spacing w:after="0"/>
              <w:rPr>
                <w:sz w:val="5"/>
                <w:szCs w:val="5"/>
                <w:color w:val="auto"/>
              </w:rPr>
            </w:pPr>
          </w:p>
        </w:tc>
        <w:tc>
          <w:tcPr>
            <w:tcW w:w="1460" w:type="dxa"/>
            <w:vAlign w:val="bottom"/>
            <w:gridSpan w:val="2"/>
            <w:vMerge w:val="restart"/>
          </w:tcPr>
          <w:p>
            <w:pPr>
              <w:ind w:left="20"/>
              <w:spacing w:after="0" w:line="257" w:lineRule="exact"/>
              <w:rPr>
                <w:sz w:val="20"/>
                <w:szCs w:val="20"/>
                <w:color w:val="auto"/>
              </w:rPr>
            </w:pPr>
            <w:r>
              <w:rPr>
                <w:rFonts w:ascii="Arial" w:cs="Arial" w:eastAsia="Arial" w:hAnsi="Arial"/>
                <w:sz w:val="18"/>
                <w:szCs w:val="18"/>
                <w:color w:val="auto"/>
                <w:w w:val="89"/>
              </w:rPr>
              <w:t>Compensation($)</w:t>
            </w:r>
            <w:r>
              <w:rPr>
                <w:rFonts w:ascii="Arial" w:cs="Arial" w:eastAsia="Arial" w:hAnsi="Arial"/>
                <w:sz w:val="25"/>
                <w:szCs w:val="25"/>
                <w:color w:val="auto"/>
                <w:w w:val="89"/>
                <w:vertAlign w:val="superscript"/>
              </w:rPr>
              <w:t>(4)</w:t>
            </w:r>
          </w:p>
        </w:tc>
        <w:tc>
          <w:tcPr>
            <w:tcW w:w="10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vMerge w:val="restart"/>
          </w:tcPr>
          <w:p>
            <w:pPr>
              <w:jc w:val="right"/>
              <w:ind w:right="90"/>
              <w:spacing w:after="0"/>
              <w:rPr>
                <w:sz w:val="20"/>
                <w:szCs w:val="20"/>
                <w:color w:val="auto"/>
              </w:rPr>
            </w:pPr>
            <w:r>
              <w:rPr>
                <w:rFonts w:ascii="Arial" w:cs="Arial" w:eastAsia="Arial" w:hAnsi="Arial"/>
                <w:sz w:val="18"/>
                <w:szCs w:val="18"/>
                <w:color w:val="auto"/>
                <w:w w:val="93"/>
              </w:rPr>
              <w:t>Total($)</w:t>
            </w:r>
          </w:p>
        </w:tc>
        <w:tc>
          <w:tcPr>
            <w:tcW w:w="0" w:type="dxa"/>
            <w:vAlign w:val="bottom"/>
          </w:tcPr>
          <w:p>
            <w:pPr>
              <w:spacing w:after="0"/>
              <w:rPr>
                <w:sz w:val="1"/>
                <w:szCs w:val="1"/>
                <w:color w:val="auto"/>
              </w:rPr>
            </w:pPr>
          </w:p>
        </w:tc>
      </w:tr>
      <w:tr>
        <w:trPr>
          <w:trHeight w:val="190"/>
        </w:trPr>
        <w:tc>
          <w:tcPr>
            <w:tcW w:w="2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
              <w:spacing w:after="0"/>
              <w:rPr>
                <w:sz w:val="20"/>
                <w:szCs w:val="20"/>
                <w:color w:val="auto"/>
              </w:rPr>
            </w:pPr>
            <w:r>
              <w:rPr>
                <w:rFonts w:ascii="Arial" w:cs="Arial" w:eastAsia="Arial" w:hAnsi="Arial"/>
                <w:sz w:val="13"/>
                <w:szCs w:val="13"/>
                <w:color w:val="auto"/>
                <w:w w:val="87"/>
              </w:rPr>
              <w:t>(3)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427,692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48,660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42,300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526,752</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407,692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46,440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508,977</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367,308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40,620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44,850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7,891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460,669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Sheila M. Anderson</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267,077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24,330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319,698</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250,923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6,765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303,859</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228,308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277,909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Bradley T. Wiemann</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262,092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24,330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315,477</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251,015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304,887</w:t>
            </w:r>
          </w:p>
        </w:tc>
        <w:tc>
          <w:tcPr>
            <w:tcW w:w="0" w:type="dxa"/>
            <w:vAlign w:val="bottom"/>
          </w:tcPr>
          <w:p>
            <w:pPr>
              <w:spacing w:after="0"/>
              <w:rPr>
                <w:sz w:val="1"/>
                <w:szCs w:val="1"/>
                <w:color w:val="auto"/>
              </w:rPr>
            </w:pPr>
          </w:p>
        </w:tc>
      </w:tr>
      <w:tr>
        <w:trPr>
          <w:trHeight w:val="277"/>
        </w:trPr>
        <w:tc>
          <w:tcPr>
            <w:tcW w:w="2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236,985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287,670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b w:val="1"/>
                <w:bCs w:val="1"/>
                <w:color w:val="auto"/>
              </w:rPr>
              <w:t>Matthew J. Kurtenbach</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248,554</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24,330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21,150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7,496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301,530</w:t>
            </w:r>
          </w:p>
        </w:tc>
        <w:tc>
          <w:tcPr>
            <w:tcW w:w="0" w:type="dxa"/>
            <w:vAlign w:val="bottom"/>
          </w:tcPr>
          <w:p>
            <w:pPr>
              <w:spacing w:after="0"/>
              <w:rPr>
                <w:sz w:val="1"/>
                <w:szCs w:val="1"/>
                <w:color w:val="auto"/>
              </w:rPr>
            </w:pPr>
          </w:p>
        </w:tc>
      </w:tr>
      <w:tr>
        <w:trPr>
          <w:trHeight w:val="270"/>
        </w:trPr>
        <w:tc>
          <w:tcPr>
            <w:tcW w:w="2660" w:type="dxa"/>
            <w:vAlign w:val="bottom"/>
          </w:tcPr>
          <w:p>
            <w:pPr>
              <w:ind w:left="40"/>
              <w:spacing w:after="0"/>
              <w:rPr>
                <w:sz w:val="20"/>
                <w:szCs w:val="20"/>
                <w:color w:val="auto"/>
              </w:rPr>
            </w:pPr>
            <w:r>
              <w:rPr>
                <w:rFonts w:ascii="Arial" w:cs="Arial" w:eastAsia="Arial" w:hAnsi="Arial"/>
                <w:sz w:val="18"/>
                <w:szCs w:val="18"/>
                <w:color w:val="auto"/>
              </w:rPr>
              <w:t>Vice President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237,015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23,220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21,750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7,794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291,103</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3"/>
                <w:szCs w:val="23"/>
                <w:color w:val="auto"/>
              </w:rPr>
            </w:pP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222,985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w w:val="98"/>
              </w:rPr>
              <w:t>20,310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22,425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272,907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Carla S. Gatzke</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22,303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258,504</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204,462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21,285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253,319</w:t>
            </w:r>
          </w:p>
        </w:tc>
        <w:tc>
          <w:tcPr>
            <w:tcW w:w="0" w:type="dxa"/>
            <w:vAlign w:val="bottom"/>
          </w:tcPr>
          <w:p>
            <w:pPr>
              <w:spacing w:after="0"/>
              <w:rPr>
                <w:sz w:val="1"/>
                <w:szCs w:val="1"/>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193,154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8"/>
              </w:rPr>
              <w:t>18,618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20,541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238,949</w:t>
            </w:r>
          </w:p>
        </w:tc>
        <w:tc>
          <w:tcPr>
            <w:tcW w:w="0" w:type="dxa"/>
            <w:vAlign w:val="bottom"/>
          </w:tcPr>
          <w:p>
            <w:pPr>
              <w:spacing w:after="0"/>
              <w:rPr>
                <w:sz w:val="1"/>
                <w:szCs w:val="1"/>
                <w:color w:val="auto"/>
              </w:rPr>
            </w:pPr>
          </w:p>
        </w:tc>
      </w:tr>
      <w:tr>
        <w:trPr>
          <w:trHeight w:val="27"/>
        </w:trPr>
        <w:tc>
          <w:tcPr>
            <w:tcW w:w="2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restricted stock units granted under the 2015 Plan. In accordance with ASC 718, the amount is calculated based on the grant date fair value of the award. Refer to "Item 7. Management’s Discussion and Analysis of Financial Condition and Results of Operations — Critical Accounting Policies and Estimates" in our Annual Report on Form 10-K for the fiscal year ended April 28, 2018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stock options granted under the 2015 Plan. The value of the option awards is calculated based on the grant date fair value of the award in accordance with ASC 718. Refer to "Item 7. Management’s Discussion and Analysis of Financial Condition and Results of Operations — Critical Accounting Policies and Estimates" in our Annual Report on Form 10-K for the fiscal year ended April 28, 2018 for a discussion of the assumptions used in calculating the amount under ASC 718.</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 this column reflect the total variable cash compensation paid to the Named Executive Officers under the non-equity-based incentive compensation plan. As explained earlier in this Proxy Statement, variable incentive compensation payments are based upon the achievement of certain operating margin targets for fiscal 2016, fiscal 2017 and fiscal 2018.</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80" w:type="dxa"/>
            <w:vAlign w:val="bottom"/>
            <w:gridSpan w:val="10"/>
          </w:tcPr>
          <w:p>
            <w:pPr>
              <w:ind w:left="340"/>
              <w:spacing w:after="0"/>
              <w:rPr>
                <w:sz w:val="20"/>
                <w:szCs w:val="20"/>
                <w:color w:val="auto"/>
              </w:rPr>
            </w:pPr>
            <w:r>
              <w:rPr>
                <w:rFonts w:ascii="Arial" w:cs="Arial" w:eastAsia="Arial" w:hAnsi="Arial"/>
                <w:sz w:val="18"/>
                <w:szCs w:val="18"/>
                <w:b w:val="1"/>
                <w:bCs w:val="1"/>
                <w:color w:val="auto"/>
              </w:rPr>
              <w:t>GRANTS OF PLAN-BASED AWARDS — FISCAL 2018</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5"/>
            <w:vMerge w:val="restart"/>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All other</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stock</w:t>
            </w: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40" w:type="dxa"/>
            <w:vAlign w:val="bottom"/>
            <w:gridSpan w:val="5"/>
            <w:vMerge w:val="restart"/>
          </w:tcPr>
          <w:p>
            <w:pPr>
              <w:jc w:val="center"/>
              <w:spacing w:after="0" w:line="257"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tcBorders>
              <w:bottom w:val="single" w:sz="8" w:color="auto"/>
            </w:tcBorders>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awards: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47"/>
        </w:trPr>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Exercise or base</w:t>
            </w:r>
          </w:p>
        </w:tc>
        <w:tc>
          <w:tcPr>
            <w:tcW w:w="1020" w:type="dxa"/>
            <w:vAlign w:val="bottom"/>
          </w:tcPr>
          <w:p>
            <w:pPr>
              <w:jc w:val="center"/>
              <w:spacing w:after="0"/>
              <w:rPr>
                <w:sz w:val="20"/>
                <w:szCs w:val="20"/>
                <w:color w:val="auto"/>
              </w:rPr>
            </w:pPr>
            <w:r>
              <w:rPr>
                <w:rFonts w:ascii="Arial" w:cs="Arial" w:eastAsia="Arial" w:hAnsi="Arial"/>
                <w:sz w:val="18"/>
                <w:szCs w:val="18"/>
                <w:color w:val="auto"/>
                <w:w w:val="94"/>
              </w:rPr>
              <w:t>fair value of</w:t>
            </w: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8"/>
              </w:rPr>
              <w:t>stock and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price of option</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stock or</w:t>
            </w: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underlying</w:t>
            </w: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3"/>
              </w:rPr>
              <w:t>option</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7"/>
              </w:rPr>
              <w:t>awards($/share)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40" w:type="dxa"/>
            <w:vAlign w:val="bottom"/>
            <w:vMerge w:val="restart"/>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0"/>
              </w:rPr>
              <w:t>Grant Date</w:t>
            </w:r>
          </w:p>
        </w:tc>
        <w:tc>
          <w:tcPr>
            <w:tcW w:w="100" w:type="dxa"/>
            <w:vAlign w:val="bottom"/>
            <w:vMerge w:val="restart"/>
          </w:tcPr>
          <w:p>
            <w:pPr>
              <w:spacing w:after="0"/>
              <w:rPr>
                <w:sz w:val="5"/>
                <w:szCs w:val="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w w:val="94"/>
              </w:rPr>
              <w:t>Threshold($)</w:t>
            </w:r>
          </w:p>
        </w:tc>
        <w:tc>
          <w:tcPr>
            <w:tcW w:w="100" w:type="dxa"/>
            <w:vAlign w:val="bottom"/>
            <w:vMerge w:val="restart"/>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Target($)</w:t>
            </w:r>
          </w:p>
        </w:tc>
        <w:tc>
          <w:tcPr>
            <w:tcW w:w="120" w:type="dxa"/>
            <w:vAlign w:val="bottom"/>
            <w:vMerge w:val="restart"/>
          </w:tcPr>
          <w:p>
            <w:pPr>
              <w:spacing w:after="0"/>
              <w:rPr>
                <w:sz w:val="5"/>
                <w:szCs w:val="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w w:val="95"/>
              </w:rPr>
              <w:t>Maximum($)</w:t>
            </w:r>
          </w:p>
        </w:tc>
        <w:tc>
          <w:tcPr>
            <w:tcW w:w="120" w:type="dxa"/>
            <w:vAlign w:val="bottom"/>
          </w:tcPr>
          <w:p>
            <w:pPr>
              <w:spacing w:after="0"/>
              <w:rPr>
                <w:sz w:val="5"/>
                <w:szCs w:val="5"/>
                <w:color w:val="auto"/>
              </w:rPr>
            </w:pPr>
          </w:p>
        </w:tc>
        <w:tc>
          <w:tcPr>
            <w:tcW w:w="98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8"/>
              </w:rPr>
              <w:t>units (#)</w:t>
            </w:r>
            <w:r>
              <w:rPr>
                <w:rFonts w:ascii="Arial" w:cs="Arial" w:eastAsia="Arial" w:hAnsi="Arial"/>
                <w:sz w:val="25"/>
                <w:szCs w:val="25"/>
                <w:color w:val="auto"/>
                <w:w w:val="88"/>
                <w:vertAlign w:val="superscript"/>
              </w:rPr>
              <w:t>(2)</w:t>
            </w:r>
          </w:p>
        </w:tc>
        <w:tc>
          <w:tcPr>
            <w:tcW w:w="100" w:type="dxa"/>
            <w:vAlign w:val="bottom"/>
            <w:vMerge w:val="restart"/>
          </w:tcPr>
          <w:p>
            <w:pPr>
              <w:spacing w:after="0"/>
              <w:rPr>
                <w:sz w:val="5"/>
                <w:szCs w:val="5"/>
                <w:color w:val="auto"/>
              </w:rPr>
            </w:pPr>
          </w:p>
        </w:tc>
        <w:tc>
          <w:tcPr>
            <w:tcW w:w="124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6"/>
              </w:rPr>
              <w:t xml:space="preserve">options (#) </w:t>
            </w:r>
            <w:r>
              <w:rPr>
                <w:rFonts w:ascii="Arial" w:cs="Arial" w:eastAsia="Arial" w:hAnsi="Arial"/>
                <w:sz w:val="25"/>
                <w:szCs w:val="25"/>
                <w:color w:val="auto"/>
                <w:w w:val="86"/>
                <w:vertAlign w:val="superscript"/>
              </w:rPr>
              <w:t>(3)</w:t>
            </w:r>
          </w:p>
        </w:tc>
        <w:tc>
          <w:tcPr>
            <w:tcW w:w="100" w:type="dxa"/>
            <w:vAlign w:val="bottom"/>
            <w:vMerge w:val="restart"/>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20" w:type="dxa"/>
            <w:vAlign w:val="bottom"/>
            <w:vMerge w:val="restart"/>
          </w:tcPr>
          <w:p>
            <w:pPr>
              <w:jc w:val="center"/>
              <w:spacing w:after="0" w:line="257" w:lineRule="exact"/>
              <w:rPr>
                <w:sz w:val="20"/>
                <w:szCs w:val="20"/>
                <w:color w:val="auto"/>
              </w:rPr>
            </w:pPr>
            <w:r>
              <w:rPr>
                <w:rFonts w:ascii="Arial" w:cs="Arial" w:eastAsia="Arial" w:hAnsi="Arial"/>
                <w:sz w:val="18"/>
                <w:szCs w:val="18"/>
                <w:color w:val="auto"/>
                <w:w w:val="85"/>
              </w:rPr>
              <w:t xml:space="preserve">awards($) </w:t>
            </w:r>
            <w:r>
              <w:rPr>
                <w:rFonts w:ascii="Arial" w:cs="Arial" w:eastAsia="Arial" w:hAnsi="Arial"/>
                <w:sz w:val="25"/>
                <w:szCs w:val="25"/>
                <w:color w:val="auto"/>
                <w:w w:val="85"/>
                <w:vertAlign w:val="superscript"/>
              </w:rPr>
              <w:t>(5)</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73,333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293,333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352,000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90,960</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08/31/2017</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31,533</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126,133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151,360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36,292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145,167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08/31/2017</w:t>
            </w:r>
          </w:p>
        </w:tc>
        <w:tc>
          <w:tcPr>
            <w:tcW w:w="1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34,558</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138,233</w:t>
            </w:r>
          </w:p>
        </w:tc>
        <w:tc>
          <w:tcPr>
            <w:tcW w:w="1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165,880</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45,480</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08/31/2017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22,688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108,900</w:t>
            </w:r>
          </w:p>
        </w:tc>
        <w:tc>
          <w:tcPr>
            <w:tcW w:w="1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41,676</w:t>
            </w: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328"/>
        <w:spacing w:after="0" w:line="25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2018 under the 2015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2018 under the 2015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2015 Plan.</w:t>
      </w: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the options and restricted stock unit awards granted and the closing price of the common stock as quoted on The NASDAQ Global Select Market on the date of grant, which was $9.63 per share on August 31, 2017.</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28, 2018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8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Exercise Price</w:t>
            </w:r>
          </w:p>
        </w:tc>
        <w:tc>
          <w:tcPr>
            <w:tcW w:w="10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12/03/2018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10.93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09/03/2024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09/02/2025</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08/31/2026</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84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3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08/31/2027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8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157,675</w:t>
            </w:r>
          </w:p>
        </w:tc>
      </w:tr>
      <w:tr>
        <w:trPr>
          <w:trHeight w:val="507"/>
        </w:trPr>
        <w:tc>
          <w:tcPr>
            <w:tcW w:w="18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669"/>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Option Awards</w:t>
            </w:r>
            <w:r>
              <w:rPr>
                <w:rFonts w:ascii="Arial" w:cs="Arial" w:eastAsia="Arial" w:hAnsi="Arial"/>
                <w:sz w:val="25"/>
                <w:szCs w:val="25"/>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Number of</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Market Value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Shares or Units</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Shares or Units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Stock that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of Stock That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Have Not</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Have Not</w:t>
            </w:r>
          </w:p>
        </w:tc>
      </w:tr>
      <w:tr>
        <w:trPr>
          <w:trHeight w:val="257"/>
        </w:trPr>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2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Grant Date</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Exercisable</w:t>
            </w:r>
          </w:p>
        </w:tc>
        <w:tc>
          <w:tcPr>
            <w:tcW w:w="12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(2)</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5"/>
              </w:rPr>
              <w:t>Vested ($)</w:t>
            </w:r>
            <w:r>
              <w:rPr>
                <w:rFonts w:ascii="Arial" w:cs="Arial" w:eastAsia="Arial" w:hAnsi="Arial"/>
                <w:sz w:val="25"/>
                <w:szCs w:val="25"/>
                <w:color w:val="auto"/>
                <w:w w:val="85"/>
                <w:vertAlign w:val="superscript"/>
              </w:rPr>
              <w:t>(3)</w:t>
            </w:r>
          </w:p>
        </w:tc>
      </w:tr>
      <w:tr>
        <w:trPr>
          <w:trHeight w:val="237"/>
        </w:trPr>
        <w:tc>
          <w:tcPr>
            <w:tcW w:w="1840" w:type="dxa"/>
            <w:vAlign w:val="bottom"/>
            <w:gridSpan w:val="2"/>
          </w:tcPr>
          <w:p>
            <w:pPr>
              <w:ind w:left="40"/>
              <w:spacing w:after="0"/>
              <w:rPr>
                <w:sz w:val="20"/>
                <w:szCs w:val="20"/>
                <w:color w:val="auto"/>
              </w:rPr>
            </w:pPr>
            <w:r>
              <w:rPr>
                <w:rFonts w:ascii="Arial" w:cs="Arial" w:eastAsia="Arial" w:hAnsi="Arial"/>
                <w:sz w:val="18"/>
                <w:szCs w:val="18"/>
                <w:color w:val="auto"/>
              </w:rPr>
              <w:t>Sheila M. Anderson</w:t>
            </w:r>
          </w:p>
        </w:tc>
        <w:tc>
          <w:tcPr>
            <w:tcW w:w="1240" w:type="dxa"/>
            <w:vAlign w:val="bottom"/>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09/12/2012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5,400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5,496</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1,374</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8,950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80,640</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81,090</w:t>
            </w:r>
          </w:p>
        </w:tc>
      </w:tr>
      <w:tr>
        <w:trPr>
          <w:trHeight w:val="237"/>
        </w:trPr>
        <w:tc>
          <w:tcPr>
            <w:tcW w:w="18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w w:val="96"/>
              </w:rPr>
              <w:t>Matthew J. Kurtenbach</w:t>
            </w:r>
          </w:p>
        </w:tc>
        <w:tc>
          <w:tcPr>
            <w:tcW w:w="12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12/02/2010</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7,155</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20"/>
              <w:spacing w:after="0"/>
              <w:rPr>
                <w:sz w:val="20"/>
                <w:szCs w:val="20"/>
                <w:color w:val="auto"/>
              </w:rPr>
            </w:pPr>
            <w:r>
              <w:rPr>
                <w:rFonts w:ascii="Arial" w:cs="Arial" w:eastAsia="Arial" w:hAnsi="Arial"/>
                <w:sz w:val="18"/>
                <w:szCs w:val="18"/>
                <w:color w:val="auto"/>
              </w:rPr>
              <w:t>12/01/2011</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08/23/2012</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08/22/2013</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09/04/2014</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09/03/2015</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3,000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4,500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09/01/2016</w:t>
            </w: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1,500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6,000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7,500</w:t>
            </w:r>
          </w:p>
        </w:tc>
        <w:tc>
          <w:tcPr>
            <w:tcW w:w="1360" w:type="dxa"/>
            <w:vAlign w:val="bottom"/>
            <w:gridSpan w:val="2"/>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81,090</w:t>
            </w:r>
          </w:p>
        </w:tc>
      </w:tr>
      <w:tr>
        <w:trPr>
          <w:trHeight w:val="27"/>
        </w:trPr>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1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12/04/2008</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12/03/2018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12/03/2009</w:t>
            </w:r>
          </w:p>
        </w:tc>
        <w:tc>
          <w:tcPr>
            <w:tcW w:w="14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12/02/2019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12/02/2010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6,455</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14.37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12/01/2020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12/01/2011</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11/30/2021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08/23/2012</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08/22/2022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08/22/2013</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08/21/2023</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09/04/2014</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09/03/2024</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09/03/2015</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2,748</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4,122</w:t>
            </w:r>
          </w:p>
        </w:tc>
        <w:tc>
          <w:tcPr>
            <w:tcW w:w="1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8.51</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09/02/2025</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09/01/2016</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1,374</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0"/>
        </w:trPr>
        <w:tc>
          <w:tcPr>
            <w:tcW w:w="12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08/31/2017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6,870</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08/31/2027</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8,250</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74,333</w:t>
            </w: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603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36"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ectPr>
          <w:pgSz w:w="11900" w:h="16838" w:orient="portrait"/>
          <w:cols w:equalWidth="0" w:num="1">
            <w:col w:w="11420"/>
          </w:cols>
          <w:pgMar w:left="240" w:top="108" w:right="239" w:bottom="568"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08" w:right="239" w:bottom="568"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Determined by multiplying the Company's $9.01 per share closing stock price on April 28, 2018, which was the last business day of fiscal year 2018, by the number of shares subject to the award.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grant date of the restricted stock units and the number of shares subject to the restricted stock units are as follows:</w:t>
      </w:r>
    </w:p>
    <w:p>
      <w:pPr>
        <w:spacing w:after="0" w:line="355" w:lineRule="exact"/>
        <w:rPr>
          <w:sz w:val="20"/>
          <w:szCs w:val="20"/>
          <w:color w:val="auto"/>
        </w:rPr>
      </w:pPr>
    </w:p>
    <w:tbl>
      <w:tblPr>
        <w:tblLayout w:type="fixed"/>
        <w:tblInd w:w="670" w:type="dxa"/>
        <w:tblCellMar>
          <w:top w:w="0" w:type="dxa"/>
          <w:left w:w="0" w:type="dxa"/>
          <w:bottom w:w="0" w:type="dxa"/>
          <w:right w:w="0" w:type="dxa"/>
        </w:tblCellMar>
      </w:tblPr>
      <w:tr>
        <w:trPr>
          <w:trHeight w:val="242"/>
        </w:trPr>
        <w:tc>
          <w:tcPr>
            <w:tcW w:w="2000" w:type="dxa"/>
            <w:vAlign w:val="bottom"/>
            <w:tcBorders>
              <w:top w:val="single" w:sz="8" w:color="auto"/>
              <w:left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120" w:type="dxa"/>
            <w:vAlign w:val="bottom"/>
            <w:tcBorders>
              <w:top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9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Shares</w:t>
            </w:r>
          </w:p>
        </w:tc>
        <w:tc>
          <w:tcPr>
            <w:tcW w:w="20" w:type="dxa"/>
            <w:vAlign w:val="bottom"/>
            <w:tcBorders>
              <w:top w:val="single" w:sz="8" w:color="auto"/>
            </w:tcBorders>
            <w:shd w:val="clear" w:color="auto" w:fill="000000"/>
          </w:tcPr>
          <w:p>
            <w:pPr>
              <w:spacing w:after="0"/>
              <w:rPr>
                <w:sz w:val="21"/>
                <w:szCs w:val="21"/>
                <w:color w:val="auto"/>
              </w:rPr>
            </w:pPr>
          </w:p>
        </w:tc>
      </w:tr>
      <w:tr>
        <w:trPr>
          <w:trHeight w:val="230"/>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100" w:type="dxa"/>
            <w:vAlign w:val="bottom"/>
          </w:tcPr>
          <w:p>
            <w:pPr>
              <w:ind w:left="160"/>
              <w:spacing w:after="0"/>
              <w:rPr>
                <w:sz w:val="20"/>
                <w:szCs w:val="20"/>
                <w:color w:val="auto"/>
              </w:rPr>
            </w:pPr>
            <w:r>
              <w:rPr>
                <w:rFonts w:ascii="Arial" w:cs="Arial" w:eastAsia="Arial" w:hAnsi="Arial"/>
                <w:sz w:val="18"/>
                <w:szCs w:val="18"/>
                <w:color w:val="auto"/>
              </w:rPr>
              <w:t>Grant Date</w:t>
            </w:r>
          </w:p>
        </w:tc>
        <w:tc>
          <w:tcPr>
            <w:tcW w:w="11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rPr>
              <w:t>Granted</w:t>
            </w:r>
          </w:p>
        </w:tc>
        <w:tc>
          <w:tcPr>
            <w:tcW w:w="1980" w:type="dxa"/>
            <w:vAlign w:val="bottom"/>
          </w:tcPr>
          <w:p>
            <w:pPr>
              <w:ind w:left="20"/>
              <w:spacing w:after="0"/>
              <w:rPr>
                <w:sz w:val="20"/>
                <w:szCs w:val="20"/>
                <w:color w:val="auto"/>
              </w:rPr>
            </w:pPr>
            <w:r>
              <w:rPr>
                <w:rFonts w:ascii="Arial" w:cs="Arial" w:eastAsia="Arial" w:hAnsi="Arial"/>
                <w:sz w:val="18"/>
                <w:szCs w:val="18"/>
                <w:color w:val="auto"/>
              </w:rPr>
              <w:t>Officer</w:t>
            </w:r>
          </w:p>
        </w:tc>
        <w:tc>
          <w:tcPr>
            <w:tcW w:w="1080" w:type="dxa"/>
            <w:vAlign w:val="bottom"/>
          </w:tcPr>
          <w:p>
            <w:pPr>
              <w:ind w:left="140"/>
              <w:spacing w:after="0"/>
              <w:rPr>
                <w:sz w:val="20"/>
                <w:szCs w:val="20"/>
                <w:color w:val="auto"/>
              </w:rPr>
            </w:pPr>
            <w:r>
              <w:rPr>
                <w:rFonts w:ascii="Arial" w:cs="Arial" w:eastAsia="Arial" w:hAnsi="Arial"/>
                <w:sz w:val="18"/>
                <w:szCs w:val="18"/>
                <w:color w:val="auto"/>
              </w:rPr>
              <w:t>Grant Date</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Granted</w:t>
            </w:r>
          </w:p>
        </w:tc>
        <w:tc>
          <w:tcPr>
            <w:tcW w:w="20" w:type="dxa"/>
            <w:vAlign w:val="bottom"/>
            <w:shd w:val="clear" w:color="auto" w:fill="000000"/>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09/03/2015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09/01/2016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302"/>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08/31/2017</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08/31/2017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 w:type="dxa"/>
            <w:vAlign w:val="bottom"/>
            <w:tcBorders>
              <w:bottom w:val="single" w:sz="8" w:color="auto"/>
            </w:tcBorders>
            <w:shd w:val="clear" w:color="auto" w:fill="000000"/>
          </w:tcPr>
          <w:p>
            <w:pPr>
              <w:spacing w:after="0"/>
              <w:rPr>
                <w:sz w:val="24"/>
                <w:szCs w:val="24"/>
                <w:color w:val="auto"/>
              </w:rPr>
            </w:pPr>
          </w:p>
        </w:tc>
      </w:tr>
      <w:tr>
        <w:trPr>
          <w:trHeight w:val="237"/>
        </w:trPr>
        <w:tc>
          <w:tcPr>
            <w:tcW w:w="200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Sheila M. Anderson</w:t>
            </w:r>
          </w:p>
        </w:tc>
        <w:tc>
          <w:tcPr>
            <w:tcW w:w="11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9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J. Kurtenbach</w:t>
            </w:r>
          </w:p>
        </w:tc>
        <w:tc>
          <w:tcPr>
            <w:tcW w:w="1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12/03/2009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w:t>
            </w:r>
          </w:p>
        </w:tc>
        <w:tc>
          <w:tcPr>
            <w:tcW w:w="20" w:type="dxa"/>
            <w:vAlign w:val="bottom"/>
            <w:tcBorders>
              <w:top w:val="single" w:sz="8" w:color="auto"/>
            </w:tcBorders>
            <w:shd w:val="clear" w:color="auto" w:fill="000000"/>
          </w:tcPr>
          <w:p>
            <w:pPr>
              <w:spacing w:after="0"/>
              <w:rPr>
                <w:sz w:val="20"/>
                <w:szCs w:val="20"/>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12/02/2010</w:t>
            </w:r>
          </w:p>
        </w:tc>
        <w:tc>
          <w:tcPr>
            <w:tcW w:w="1080" w:type="dxa"/>
            <w:vAlign w:val="bottom"/>
          </w:tcPr>
          <w:p>
            <w:pPr>
              <w:jc w:val="right"/>
              <w:spacing w:after="0"/>
              <w:rPr>
                <w:sz w:val="20"/>
                <w:szCs w:val="20"/>
                <w:color w:val="auto"/>
              </w:rPr>
            </w:pPr>
            <w:r>
              <w:rPr>
                <w:rFonts w:ascii="Arial" w:cs="Arial" w:eastAsia="Arial" w:hAnsi="Arial"/>
                <w:sz w:val="18"/>
                <w:szCs w:val="18"/>
                <w:color w:val="auto"/>
              </w:rPr>
              <w:t>1,575</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12/01/2011</w:t>
            </w: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08/23/2012</w:t>
            </w:r>
          </w:p>
        </w:tc>
        <w:tc>
          <w:tcPr>
            <w:tcW w:w="1080" w:type="dxa"/>
            <w:vAlign w:val="bottom"/>
          </w:tcPr>
          <w:p>
            <w:pPr>
              <w:jc w:val="right"/>
              <w:spacing w:after="0"/>
              <w:rPr>
                <w:sz w:val="20"/>
                <w:szCs w:val="20"/>
                <w:color w:val="auto"/>
              </w:rPr>
            </w:pPr>
            <w:r>
              <w:rPr>
                <w:rFonts w:ascii="Arial" w:cs="Arial" w:eastAsia="Arial" w:hAnsi="Arial"/>
                <w:sz w:val="18"/>
                <w:szCs w:val="18"/>
                <w:color w:val="auto"/>
              </w:rPr>
              <w:t>2,100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09/12/2012</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08/22/2013</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09/04/2014</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09/03/2015</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09/01/2016</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ind w:left="120"/>
              <w:spacing w:after="0"/>
              <w:rPr>
                <w:sz w:val="20"/>
                <w:szCs w:val="20"/>
                <w:color w:val="auto"/>
              </w:rPr>
            </w:pPr>
            <w:r>
              <w:rPr>
                <w:rFonts w:ascii="Arial" w:cs="Arial" w:eastAsia="Arial" w:hAnsi="Arial"/>
                <w:sz w:val="18"/>
                <w:szCs w:val="18"/>
                <w:color w:val="auto"/>
              </w:rPr>
              <w:t>08/31/2017</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20" w:type="dxa"/>
            <w:vAlign w:val="bottom"/>
            <w:shd w:val="clear" w:color="auto" w:fill="000000"/>
          </w:tcPr>
          <w:p>
            <w:pPr>
              <w:spacing w:after="0"/>
              <w:rPr>
                <w:sz w:val="23"/>
                <w:szCs w:val="23"/>
                <w:color w:val="auto"/>
              </w:rPr>
            </w:pPr>
          </w:p>
        </w:tc>
      </w:tr>
      <w:tr>
        <w:trPr>
          <w:trHeight w:val="270"/>
        </w:trPr>
        <w:tc>
          <w:tcPr>
            <w:tcW w:w="2000" w:type="dxa"/>
            <w:vAlign w:val="bottom"/>
            <w:tcBorders>
              <w:left w:val="single" w:sz="8" w:color="auto"/>
            </w:tcBorders>
          </w:tcPr>
          <w:p>
            <w:pPr>
              <w:spacing w:after="0"/>
              <w:rPr>
                <w:sz w:val="23"/>
                <w:szCs w:val="23"/>
                <w:color w:val="auto"/>
              </w:rPr>
            </w:pPr>
          </w:p>
        </w:tc>
        <w:tc>
          <w:tcPr>
            <w:tcW w:w="1100" w:type="dxa"/>
            <w:vAlign w:val="bottom"/>
          </w:tcPr>
          <w:p>
            <w:pPr>
              <w:ind w:left="140"/>
              <w:spacing w:after="0"/>
              <w:rPr>
                <w:sz w:val="20"/>
                <w:szCs w:val="20"/>
                <w:color w:val="auto"/>
              </w:rPr>
            </w:pPr>
            <w:r>
              <w:rPr>
                <w:rFonts w:ascii="Arial" w:cs="Arial" w:eastAsia="Arial" w:hAnsi="Arial"/>
                <w:sz w:val="18"/>
                <w:szCs w:val="18"/>
                <w:color w:val="auto"/>
              </w:rPr>
              <w:t>08/31/2017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9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shd w:val="clear" w:color="auto" w:fill="000000"/>
          </w:tcPr>
          <w:p>
            <w:pPr>
              <w:spacing w:after="0"/>
              <w:rPr>
                <w:sz w:val="23"/>
                <w:szCs w:val="23"/>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37"/>
        </w:trPr>
        <w:tc>
          <w:tcPr>
            <w:tcW w:w="2000" w:type="dxa"/>
            <w:vAlign w:val="bottom"/>
            <w:tcBorders>
              <w:lef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12/03/2009</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9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12/02/2010</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12/01/2011</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08/23/2012</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08/22/2013</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09/04/2014</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09/03/2015</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2000" w:type="dxa"/>
            <w:vAlign w:val="bottom"/>
            <w:tcBorders>
              <w:left w:val="single" w:sz="8" w:color="auto"/>
            </w:tcBorders>
            <w:shd w:val="clear" w:color="auto" w:fill="CCEEFF"/>
          </w:tcPr>
          <w:p>
            <w:pPr>
              <w:spacing w:after="0"/>
              <w:rPr>
                <w:sz w:val="23"/>
                <w:szCs w:val="23"/>
                <w:color w:val="auto"/>
              </w:rPr>
            </w:pPr>
          </w:p>
        </w:tc>
        <w:tc>
          <w:tcPr>
            <w:tcW w:w="1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09/01/2016</w:t>
            </w:r>
          </w:p>
        </w:tc>
        <w:tc>
          <w:tcPr>
            <w:tcW w:w="11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r>
      <w:tr>
        <w:trPr>
          <w:trHeight w:val="277"/>
        </w:trPr>
        <w:tc>
          <w:tcPr>
            <w:tcW w:w="2000" w:type="dxa"/>
            <w:vAlign w:val="bottom"/>
            <w:tcBorders>
              <w:left w:val="single" w:sz="8" w:color="auto"/>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08/31/2017</w:t>
            </w: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9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0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regarding the exercise of stock options by and the vesting of restricted stock awards during fiscal 2018 for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7060" w:type="dxa"/>
            <w:vAlign w:val="bottom"/>
            <w:gridSpan w:val="8"/>
          </w:tcPr>
          <w:p>
            <w:pPr>
              <w:ind w:left="600"/>
              <w:spacing w:after="0"/>
              <w:rPr>
                <w:sz w:val="20"/>
                <w:szCs w:val="20"/>
                <w:color w:val="auto"/>
              </w:rPr>
            </w:pPr>
            <w:r>
              <w:rPr>
                <w:rFonts w:ascii="Arial" w:cs="Arial" w:eastAsia="Arial" w:hAnsi="Arial"/>
                <w:sz w:val="18"/>
                <w:szCs w:val="18"/>
                <w:b w:val="1"/>
                <w:bCs w:val="1"/>
                <w:color w:val="auto"/>
              </w:rPr>
              <w:t>OPTION EXERCISES AND STOCK VESTED – FISCAL 2018</w:t>
            </w: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00" w:type="dxa"/>
            <w:vAlign w:val="bottom"/>
            <w:gridSpan w:val="4"/>
          </w:tcPr>
          <w:p>
            <w:pPr>
              <w:ind w:left="1320"/>
              <w:spacing w:after="0"/>
              <w:rPr>
                <w:sz w:val="20"/>
                <w:szCs w:val="20"/>
                <w:color w:val="auto"/>
              </w:rPr>
            </w:pPr>
            <w:r>
              <w:rPr>
                <w:rFonts w:ascii="Arial" w:cs="Arial" w:eastAsia="Arial" w:hAnsi="Arial"/>
                <w:sz w:val="18"/>
                <w:szCs w:val="18"/>
                <w:color w:val="auto"/>
              </w:rPr>
              <w:t>Option Awards</w:t>
            </w:r>
          </w:p>
        </w:tc>
        <w:tc>
          <w:tcPr>
            <w:tcW w:w="3620" w:type="dxa"/>
            <w:vAlign w:val="bottom"/>
            <w:gridSpan w:val="3"/>
          </w:tcPr>
          <w:p>
            <w:pPr>
              <w:jc w:val="right"/>
              <w:ind w:right="121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Number of Shares</w:t>
            </w: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Number of Shares</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Acquired on Exercise</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Value Realized 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Acquired on</w:t>
            </w:r>
          </w:p>
        </w:tc>
        <w:tc>
          <w:tcPr>
            <w:tcW w:w="1700" w:type="dxa"/>
            <w:vAlign w:val="bottom"/>
          </w:tcPr>
          <w:p>
            <w:pPr>
              <w:jc w:val="right"/>
              <w:ind w:right="110"/>
              <w:spacing w:after="0"/>
              <w:rPr>
                <w:sz w:val="20"/>
                <w:szCs w:val="20"/>
                <w:color w:val="auto"/>
              </w:rPr>
            </w:pPr>
            <w:r>
              <w:rPr>
                <w:rFonts w:ascii="Arial" w:cs="Arial" w:eastAsia="Arial" w:hAnsi="Arial"/>
                <w:sz w:val="18"/>
                <w:szCs w:val="18"/>
                <w:color w:val="auto"/>
              </w:rPr>
              <w:t>Value Realized on</w:t>
            </w:r>
          </w:p>
        </w:tc>
        <w:tc>
          <w:tcPr>
            <w:tcW w:w="0" w:type="dxa"/>
            <w:vAlign w:val="bottom"/>
          </w:tcPr>
          <w:p>
            <w:pPr>
              <w:spacing w:after="0"/>
              <w:rPr>
                <w:sz w:val="1"/>
                <w:szCs w:val="1"/>
                <w:color w:val="auto"/>
              </w:rPr>
            </w:pPr>
          </w:p>
        </w:tc>
      </w:tr>
      <w:tr>
        <w:trPr>
          <w:trHeight w:val="257"/>
        </w:trPr>
        <w:tc>
          <w:tcPr>
            <w:tcW w:w="266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24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tcPr>
          <w:p>
            <w:pPr>
              <w:ind w:left="380"/>
              <w:spacing w:after="0" w:line="257" w:lineRule="exact"/>
              <w:rPr>
                <w:sz w:val="20"/>
                <w:szCs w:val="20"/>
                <w:color w:val="auto"/>
              </w:rPr>
            </w:pPr>
            <w:r>
              <w:rPr>
                <w:rFonts w:ascii="Arial" w:cs="Arial" w:eastAsia="Arial" w:hAnsi="Arial"/>
                <w:sz w:val="18"/>
                <w:szCs w:val="18"/>
                <w:color w:val="auto"/>
              </w:rPr>
              <w:t>Exercise($)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rPr>
              <w:t>Vesting($)</w:t>
            </w:r>
            <w:r>
              <w:rPr>
                <w:rFonts w:ascii="Arial" w:cs="Arial" w:eastAsia="Arial" w:hAnsi="Arial"/>
                <w:sz w:val="25"/>
                <w:szCs w:val="25"/>
                <w:color w:val="auto"/>
                <w:vertAlign w:val="superscript"/>
              </w:rPr>
              <w:t>(2)</w:t>
            </w:r>
          </w:p>
        </w:tc>
        <w:tc>
          <w:tcPr>
            <w:tcW w:w="0" w:type="dxa"/>
            <w:vAlign w:val="bottom"/>
          </w:tcPr>
          <w:p>
            <w:pPr>
              <w:spacing w:after="0"/>
              <w:rPr>
                <w:sz w:val="1"/>
                <w:szCs w:val="1"/>
                <w:color w:val="auto"/>
              </w:rPr>
            </w:pPr>
          </w:p>
        </w:tc>
      </w:tr>
      <w:tr>
        <w:trPr>
          <w:trHeight w:val="244"/>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4,732</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25,878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26,649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Matthew J. Kurtenbach</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2,820</w:t>
            </w:r>
          </w:p>
        </w:tc>
        <w:tc>
          <w:tcPr>
            <w:tcW w:w="2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26,536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24,654</w:t>
            </w:r>
          </w:p>
        </w:tc>
        <w:tc>
          <w:tcPr>
            <w:tcW w:w="0" w:type="dxa"/>
            <w:vAlign w:val="bottom"/>
          </w:tcPr>
          <w:p>
            <w:pPr>
              <w:spacing w:after="0"/>
              <w:rPr>
                <w:sz w:val="1"/>
                <w:szCs w:val="1"/>
                <w:color w:val="auto"/>
              </w:rPr>
            </w:pPr>
          </w:p>
        </w:tc>
      </w:tr>
      <w:tr>
        <w:trPr>
          <w:trHeight w:val="20"/>
        </w:trPr>
        <w:tc>
          <w:tcPr>
            <w:tcW w:w="2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per share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stock as of the vesting date.</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28, 2018 with respect to our equity compensation plans: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3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shd w:val="clear" w:color="auto" w:fill="CCEEFF"/>
          </w:tcPr>
          <w:p>
            <w:pPr>
              <w:spacing w:after="0"/>
              <w:rPr>
                <w:sz w:val="20"/>
                <w:szCs w:val="20"/>
                <w:color w:val="auto"/>
              </w:rPr>
            </w:pP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1,667,319</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2015 Stock Incentive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637,862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1,869,560</w:t>
            </w:r>
          </w:p>
        </w:tc>
      </w:tr>
      <w:tr>
        <w:trPr>
          <w:trHeight w:val="270"/>
        </w:trPr>
        <w:tc>
          <w:tcPr>
            <w:tcW w:w="416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tcPr>
          <w:p>
            <w:pPr>
              <w:spacing w:after="0"/>
              <w:rPr>
                <w:sz w:val="23"/>
                <w:szCs w:val="23"/>
                <w:color w:val="auto"/>
              </w:rPr>
            </w:pPr>
          </w:p>
        </w:tc>
        <w:tc>
          <w:tcPr>
            <w:tcW w:w="180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173,232</w:t>
            </w:r>
          </w:p>
        </w:tc>
      </w:tr>
      <w:tr>
        <w:trPr>
          <w:trHeight w:val="277"/>
        </w:trPr>
        <w:tc>
          <w:tcPr>
            <w:tcW w:w="4160" w:type="dxa"/>
            <w:vAlign w:val="bottom"/>
            <w:tcBorders>
              <w:top w:val="single" w:sz="8" w:color="CCEEFF"/>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2,305,181</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200" w:type="dxa"/>
            <w:vAlign w:val="bottom"/>
            <w:tcBorders>
              <w:top w:val="single" w:sz="8" w:color="CCEEFF"/>
              <w:bottom w:val="single" w:sz="8" w:color="CCEEFF"/>
            </w:tcBorders>
            <w:shd w:val="clear" w:color="auto" w:fill="CCEEFF"/>
          </w:tcPr>
          <w:p>
            <w:pPr>
              <w:spacing w:after="0"/>
              <w:rPr>
                <w:sz w:val="24"/>
                <w:szCs w:val="24"/>
                <w:color w:val="auto"/>
              </w:rPr>
            </w:pPr>
          </w:p>
        </w:tc>
        <w:tc>
          <w:tcPr>
            <w:tcW w:w="23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2,042,792</w:t>
            </w:r>
          </w:p>
        </w:tc>
      </w:tr>
      <w:tr>
        <w:trPr>
          <w:trHeight w:val="20"/>
        </w:trPr>
        <w:tc>
          <w:tcPr>
            <w:tcW w:w="3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table below reflects the compensation that would be paid to each of our Named Executive Officers in the event of termination of such executive’s employment. The amounts shown assume that such termination was effective as of April 28, 2018,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separation from the Company. In addition, there may be re-negotiation of the payments upon any termination of employment or change in control.</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2007 Plan and the 2015 Plan, all options and restricted stock units immediately vest upon a change in control, as that term is defined in the 2007 Plan and the 2015 Plan. Upon a termination of employment for any reason, and consistent with our employment policies which apply to all employees, we are obligated to pay for accrued and unused vacation time, which would then be payable in a lump sum.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080" w:type="dxa"/>
            <w:vAlign w:val="bottom"/>
          </w:tcPr>
          <w:p>
            <w:pPr>
              <w:ind w:left="1400"/>
              <w:spacing w:after="0"/>
              <w:rPr>
                <w:sz w:val="20"/>
                <w:szCs w:val="20"/>
                <w:color w:val="auto"/>
              </w:rPr>
            </w:pPr>
            <w:r>
              <w:rPr>
                <w:rFonts w:ascii="Arial" w:cs="Arial" w:eastAsia="Arial" w:hAnsi="Arial"/>
                <w:sz w:val="18"/>
                <w:szCs w:val="18"/>
                <w:color w:val="auto"/>
              </w:rPr>
              <w:t>Benefit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20" w:type="dxa"/>
            <w:vAlign w:val="bottom"/>
            <w:shd w:val="clear" w:color="auto" w:fill="CCEEFF"/>
          </w:tcPr>
          <w:p>
            <w:pPr>
              <w:spacing w:after="0"/>
              <w:rPr>
                <w:sz w:val="22"/>
                <w:szCs w:val="22"/>
                <w:color w:val="auto"/>
              </w:rPr>
            </w:pPr>
          </w:p>
        </w:tc>
        <w:tc>
          <w:tcPr>
            <w:tcW w:w="30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Restricted stock unit vesting acceleration</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157,675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54,788</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54,788</w:t>
            </w:r>
          </w:p>
        </w:tc>
      </w:tr>
      <w:tr>
        <w:trPr>
          <w:trHeight w:val="244"/>
        </w:trPr>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216,963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54,788</w:t>
            </w:r>
          </w:p>
        </w:tc>
      </w:tr>
      <w:tr>
        <w:trPr>
          <w:trHeight w:val="566"/>
        </w:trPr>
        <w:tc>
          <w:tcPr>
            <w:tcW w:w="2340" w:type="dxa"/>
            <w:vAlign w:val="bottom"/>
          </w:tcPr>
          <w:p>
            <w:pPr>
              <w:ind w:left="40"/>
              <w:spacing w:after="0"/>
              <w:rPr>
                <w:sz w:val="20"/>
                <w:szCs w:val="20"/>
                <w:color w:val="auto"/>
              </w:rPr>
            </w:pPr>
            <w:r>
              <w:rPr>
                <w:rFonts w:ascii="Arial" w:cs="Arial" w:eastAsia="Arial" w:hAnsi="Arial"/>
                <w:sz w:val="18"/>
                <w:szCs w:val="18"/>
                <w:color w:val="auto"/>
              </w:rPr>
              <w:t>Sheila M. Anderson</w:t>
            </w:r>
          </w:p>
        </w:tc>
        <w:tc>
          <w:tcPr>
            <w:tcW w:w="120" w:type="dxa"/>
            <w:vAlign w:val="bottom"/>
          </w:tcPr>
          <w:p>
            <w:pPr>
              <w:spacing w:after="0"/>
              <w:rPr>
                <w:sz w:val="24"/>
                <w:szCs w:val="24"/>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w w:val="93"/>
              </w:rPr>
              <w:t>Restricted stock unit vesting acceleration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80,640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8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20,274</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103,164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20,274</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627"/>
        </w:trPr>
        <w:tc>
          <w:tcPr>
            <w:tcW w:w="1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3320" w:type="dxa"/>
            <w:vAlign w:val="bottom"/>
          </w:tcPr>
          <w:p>
            <w:pPr>
              <w:ind w:left="140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Bradley T. Wiemann</w:t>
            </w:r>
          </w:p>
        </w:tc>
        <w:tc>
          <w:tcPr>
            <w:tcW w:w="120" w:type="dxa"/>
            <w:vAlign w:val="bottom"/>
            <w:shd w:val="clear" w:color="auto" w:fill="CCEEFF"/>
          </w:tcPr>
          <w:p>
            <w:pPr>
              <w:spacing w:after="0"/>
              <w:rPr>
                <w:sz w:val="22"/>
                <w:szCs w:val="22"/>
                <w:color w:val="auto"/>
              </w:rPr>
            </w:pPr>
          </w:p>
        </w:tc>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33,113</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33,113</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33,113</w:t>
            </w:r>
          </w:p>
        </w:tc>
      </w:tr>
      <w:tr>
        <w:trPr>
          <w:trHeight w:val="566"/>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Matthew J. Kurtenbach</w:t>
            </w:r>
          </w:p>
        </w:tc>
        <w:tc>
          <w:tcPr>
            <w:tcW w:w="120" w:type="dxa"/>
            <w:vAlign w:val="bottom"/>
          </w:tcPr>
          <w:p>
            <w:pPr>
              <w:spacing w:after="0"/>
              <w:rPr>
                <w:sz w:val="24"/>
                <w:szCs w:val="24"/>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81,090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31,532</w:t>
            </w:r>
          </w:p>
        </w:tc>
      </w:tr>
      <w:tr>
        <w:trPr>
          <w:trHeight w:val="27"/>
        </w:trPr>
        <w:tc>
          <w:tcPr>
            <w:tcW w:w="1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114,872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31,532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31,532</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31,532</w:t>
            </w:r>
          </w:p>
        </w:tc>
      </w:tr>
      <w:tr>
        <w:trPr>
          <w:trHeight w:val="311"/>
        </w:trPr>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Carla S. Gatzke</w:t>
            </w:r>
          </w:p>
        </w:tc>
        <w:tc>
          <w:tcPr>
            <w:tcW w:w="120" w:type="dxa"/>
            <w:vAlign w:val="bottom"/>
            <w:shd w:val="clear" w:color="auto" w:fill="CCEEFF"/>
          </w:tcPr>
          <w:p>
            <w:pPr>
              <w:spacing w:after="0"/>
              <w:rPr>
                <w:sz w:val="23"/>
                <w:szCs w:val="23"/>
                <w:color w:val="auto"/>
              </w:rPr>
            </w:pPr>
          </w:p>
        </w:tc>
        <w:tc>
          <w:tcPr>
            <w:tcW w:w="33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74,333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18,105</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3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18,105</w:t>
            </w:r>
          </w:p>
        </w:tc>
      </w:tr>
      <w:tr>
        <w:trPr>
          <w:trHeight w:val="20"/>
        </w:trPr>
        <w:tc>
          <w:tcPr>
            <w:tcW w:w="1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jc w:val="both"/>
        <w:ind w:left="660" w:hanging="328"/>
        <w:spacing w:after="0" w:line="25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$9.01 per share closing price of the common stock as reported on The NASDAQ Global Select Market as of April 28, 2018, which was the last business day of fiscal 2018, and the exercise price of the option multiplied by the number of shares subject to the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we are providing the following information with respect to fiscal 2018:</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of our Company (which excludes our CEO) was $48,585;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annual total compensation of our CEO was $526,752.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this information, a reasonable estimate of the ratio of the annual total compensations of our CEO and the median employee for fiscal 2018 was approximately 11 to 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identify the median employee’s total annual compensation, we first identified all employees worldwide as of March 9, 2018, including all full-time, part-time, temporary and student employees, and excluding our CEO. We then determined a consistently applied compensation measure by calculating each employee’s total compensation as the annualized value of their current base hourly or salary rate. Compensation paid in currencies other than U.S. dollars were converted to United States dollars based on average exchange rates for the period ended February 24, 2018. We used this calculated annual compensation to identify the median employee.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identified median employee received $47,320 of base pay. We then calculated the median employee's annual total compensation on the same basis that we used to calculate the total compensation of our Named Executive Officers set forth in the Summary Compensation Table, which added $1,265 consisting of matching contributions made by the Company under the 401(k) Plan for the 2018 fiscal year and overtime. Thus, our median employee's annual total compensation was $48,585.</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8"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apply various methodologies and assumptions. As a result, the compensation for our median employee and the pay ratio reported by us should not be used as a comparison to the information reported by other companies.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responsible for the oversight of our financial reporting process, our system of internal control over financial reporting, and the audit process. Management has the primary responsibility for the financial statements and the reporting process, including the systems of internal control over financial reporting, which it reviews with the Audit Committee. In this context, the Audit Committee has met and held discussions with management and our Independent Auditor with respect to the overall scope and plans for the reviews of our interim consolidated financial statements and the audits of our annual consolidated financial statements and internal control over financial reporting. The Audit Committee has the sole authority and responsibility to select, evaluate and, when it deems it to be appropriate, replace the Independent Auditor. The Audit Committee is also responsible for overseeing the Company’s Related Party Transaction Policy.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The charter was last amended effective February 19, 2016.</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composed of four Directors who are independent as provided in Rule 5605(a)(2) of the NASDAQ Listing Rules and Rule 10A-3 under the Securities Exchange Act of 1934. The members of the Audit Committee are appointed annually by the Board of Directors. The Audit Committee members are not professional accountants or auditors, and their role is not intended to duplicate or certify the activities of our management or the Independent Auditor, nor can the Audit Committee certify that the Independent Auditor is "independent" under applicable rules. The Audit Committee serves a Board-level oversight role in which it provides advice, counsel and direction to management and the Independent Auditor on the basis of the information it receives, discussions with management and the Independent Auditor, and the experience of the Audit Committee’s members in business, financial accounting and audit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membership of the Audit Committee for fiscal 2018, together with appointment dates and attendance at meetings, is set forth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ind w:left="40"/>
              <w:spacing w:after="0"/>
              <w:rPr>
                <w:sz w:val="20"/>
                <w:szCs w:val="20"/>
                <w:color w:val="auto"/>
              </w:rPr>
            </w:pPr>
            <w:r>
              <w:rPr>
                <w:rFonts w:ascii="Arial" w:cs="Arial" w:eastAsia="Arial" w:hAnsi="Arial"/>
                <w:sz w:val="18"/>
                <w:szCs w:val="18"/>
                <w:b w:val="1"/>
                <w:bCs w:val="1"/>
                <w:color w:val="auto"/>
              </w:rPr>
              <w:t>Members</w:t>
            </w:r>
          </w:p>
        </w:tc>
        <w:tc>
          <w:tcPr>
            <w:tcW w:w="3420" w:type="dxa"/>
            <w:vAlign w:val="bottom"/>
          </w:tcPr>
          <w:p>
            <w:pPr>
              <w:ind w:left="840"/>
              <w:spacing w:after="0"/>
              <w:rPr>
                <w:sz w:val="20"/>
                <w:szCs w:val="20"/>
                <w:color w:val="auto"/>
              </w:rPr>
            </w:pPr>
            <w:r>
              <w:rPr>
                <w:rFonts w:ascii="Arial" w:cs="Arial" w:eastAsia="Arial" w:hAnsi="Arial"/>
                <w:sz w:val="18"/>
                <w:szCs w:val="18"/>
                <w:b w:val="1"/>
                <w:bCs w:val="1"/>
                <w:color w:val="auto"/>
              </w:rPr>
              <w:t>Committee Member since</w:t>
            </w:r>
          </w:p>
        </w:tc>
        <w:tc>
          <w:tcPr>
            <w:tcW w:w="3780" w:type="dxa"/>
            <w:vAlign w:val="bottom"/>
          </w:tcPr>
          <w:p>
            <w:pPr>
              <w:ind w:left="600"/>
              <w:spacing w:after="0"/>
              <w:rPr>
                <w:sz w:val="20"/>
                <w:szCs w:val="20"/>
                <w:color w:val="auto"/>
              </w:rPr>
            </w:pPr>
            <w:r>
              <w:rPr>
                <w:rFonts w:ascii="Arial" w:cs="Arial" w:eastAsia="Arial" w:hAnsi="Arial"/>
                <w:sz w:val="18"/>
                <w:szCs w:val="18"/>
                <w:b w:val="1"/>
                <w:bCs w:val="1"/>
                <w:color w:val="auto"/>
                <w:w w:val="92"/>
              </w:rPr>
              <w:t>Attendance at full meetings during 2018</w:t>
            </w:r>
          </w:p>
        </w:tc>
      </w:tr>
      <w:tr>
        <w:trPr>
          <w:trHeight w:val="27"/>
        </w:trPr>
        <w:tc>
          <w:tcPr>
            <w:tcW w:w="23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3420" w:type="dxa"/>
            <w:vAlign w:val="bottom"/>
          </w:tcPr>
          <w:p>
            <w:pPr>
              <w:ind w:left="840"/>
              <w:spacing w:after="0"/>
              <w:rPr>
                <w:sz w:val="20"/>
                <w:szCs w:val="20"/>
                <w:color w:val="auto"/>
              </w:rPr>
            </w:pPr>
            <w:r>
              <w:rPr>
                <w:rFonts w:ascii="Arial" w:cs="Arial" w:eastAsia="Arial" w:hAnsi="Arial"/>
                <w:sz w:val="18"/>
                <w:szCs w:val="18"/>
                <w:color w:val="auto"/>
              </w:rPr>
              <w:t>1993</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Kevin P. McDermott</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John P. Friel</w:t>
            </w:r>
          </w:p>
        </w:tc>
        <w:tc>
          <w:tcPr>
            <w:tcW w:w="3420" w:type="dxa"/>
            <w:vAlign w:val="bottom"/>
          </w:tcPr>
          <w:p>
            <w:pPr>
              <w:ind w:left="840"/>
              <w:spacing w:after="0"/>
              <w:rPr>
                <w:sz w:val="20"/>
                <w:szCs w:val="20"/>
                <w:color w:val="auto"/>
              </w:rPr>
            </w:pPr>
            <w:r>
              <w:rPr>
                <w:rFonts w:ascii="Arial" w:cs="Arial" w:eastAsia="Arial" w:hAnsi="Arial"/>
                <w:sz w:val="18"/>
                <w:szCs w:val="18"/>
                <w:color w:val="auto"/>
              </w:rPr>
              <w:t>2016</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r>
        <w:trPr>
          <w:trHeight w:val="270"/>
        </w:trPr>
        <w:tc>
          <w:tcPr>
            <w:tcW w:w="2360" w:type="dxa"/>
            <w:vAlign w:val="bottom"/>
          </w:tcPr>
          <w:p>
            <w:pPr>
              <w:ind w:left="40"/>
              <w:spacing w:after="0"/>
              <w:rPr>
                <w:sz w:val="20"/>
                <w:szCs w:val="20"/>
                <w:color w:val="auto"/>
              </w:rPr>
            </w:pPr>
            <w:r>
              <w:rPr>
                <w:rFonts w:ascii="Arial" w:cs="Arial" w:eastAsia="Arial" w:hAnsi="Arial"/>
                <w:sz w:val="18"/>
                <w:szCs w:val="18"/>
                <w:color w:val="auto"/>
              </w:rPr>
              <w:t>James B. Morgan</w:t>
            </w:r>
          </w:p>
        </w:tc>
        <w:tc>
          <w:tcPr>
            <w:tcW w:w="3420" w:type="dxa"/>
            <w:vAlign w:val="bottom"/>
          </w:tcPr>
          <w:p>
            <w:pPr>
              <w:ind w:left="840"/>
              <w:spacing w:after="0"/>
              <w:rPr>
                <w:sz w:val="20"/>
                <w:szCs w:val="20"/>
                <w:color w:val="auto"/>
              </w:rPr>
            </w:pPr>
            <w:r>
              <w:rPr>
                <w:rFonts w:ascii="Arial" w:cs="Arial" w:eastAsia="Arial" w:hAnsi="Arial"/>
                <w:sz w:val="18"/>
                <w:szCs w:val="18"/>
                <w:color w:val="auto"/>
              </w:rPr>
              <w:t>2017</w:t>
            </w:r>
          </w:p>
        </w:tc>
        <w:tc>
          <w:tcPr>
            <w:tcW w:w="3780" w:type="dxa"/>
            <w:vAlign w:val="bottom"/>
          </w:tcPr>
          <w:p>
            <w:pPr>
              <w:ind w:left="600"/>
              <w:spacing w:after="0"/>
              <w:rPr>
                <w:sz w:val="20"/>
                <w:szCs w:val="20"/>
                <w:color w:val="auto"/>
              </w:rPr>
            </w:pPr>
            <w:r>
              <w:rPr>
                <w:rFonts w:ascii="Arial" w:cs="Arial" w:eastAsia="Arial" w:hAnsi="Arial"/>
                <w:sz w:val="18"/>
                <w:szCs w:val="18"/>
                <w:color w:val="auto"/>
              </w:rPr>
              <w:t>8/8</w:t>
            </w: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Audit Committee has reviewed and discussed with management and the Independent Auditor our audited consolidated financial statements as of and for the fiscal year ended April 28, 2018 and the results of management's assessment and the Independent Auditor's audit of the effectiveness of the Company's internal control over financial reporting; the significant accounting policies, including their quality and acceptability, applied by management in the preparation of our financial statements, as well as alternative treatments; and management's and the Independent Auditor's judgment with respect to risk assessment. We have discussed with our Independent Auditor the matters required by the standards of the Public Company Accounting Oversight Board ("PCAOB"), including PCAOB Auditing Standards No. 1301,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the rules of the Securities and Exchange Commission, and other applicable regulations. We have also received from the Independent Auditor the written disclosures and the letter required by applicable requirements of PCAOB Rule 3526, </w:t>
      </w:r>
      <w:r>
        <w:rPr>
          <w:rFonts w:ascii="Arial" w:cs="Arial" w:eastAsia="Arial" w:hAnsi="Arial"/>
          <w:sz w:val="17"/>
          <w:szCs w:val="17"/>
          <w:i w:val="1"/>
          <w:iCs w:val="1"/>
          <w:color w:val="auto"/>
        </w:rPr>
        <w:t>Communications with Audit Committees Concerning Independence</w:t>
      </w:r>
      <w:r>
        <w:rPr>
          <w:rFonts w:ascii="Arial" w:cs="Arial" w:eastAsia="Arial" w:hAnsi="Arial"/>
          <w:sz w:val="17"/>
          <w:szCs w:val="17"/>
          <w:color w:val="auto"/>
        </w:rPr>
        <w:t>, regarding the Independent Auditor's independence; and reviewed and pre-approved fees charged by the Independent Auditor and considered whether the Independent Auditor's provision of non-audit services to us is compatible with its independence. The Audit Committee also met in executive session following each of the formal Audit Committee meetings with representatives of our Independent Auditor.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Audit Committee recognizes the importance of maintaining the independence of the Company's Independent Auditor, both in fact and appearance. Each year, the Audit Committee evaluates the qualifications, performance and independence of the Company's Independent Auditor and determines whether to re-engage such firm. In doing so, the Audit Committee considers, among other things,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quality and efficiency of the services provided by the Independent Auditor, its capabilities and its technical expertise, its knowledge of the Company's operations and industry and relevant information concerning its independence. Based on this evaluation, the Audit Committee of the Board of Directors recommended the appointment of Deloitte &amp; Touche, LLP as our Independent Auditor to perform reviews of our interim consolidated financial statements and to perform audits of our annual consolidated financial statements and of our internal control over financial reporting for fiscal 2019.</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consolidated financial statements for the fiscal year ended April 28, 2018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Kevin P. McDermott,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Friel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 Morgan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 of our Annual Report, this Proxy Statement and our Notice of Internet Availability of Proxy Materials may request only one copy of these materials by contacting their bank, broker or other nominee record holder or by contacting the Company as described in the next paragraph.</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28, 2018, including financial statements, is being mailed with this Proxy Statement. The Annual Report to Shareholders is not incorporated in this Proxy Statement and is not deemed to be a part of this Proxy Statement.</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Annual Report to Shareholders for the fiscal year ended April 28, 2018 can also be accessed on our website at </w:t>
      </w:r>
      <w:r>
        <w:rPr>
          <w:rFonts w:ascii="Arial" w:cs="Arial" w:eastAsia="Arial" w:hAnsi="Arial"/>
          <w:sz w:val="18"/>
          <w:szCs w:val="18"/>
          <w:i w:val="1"/>
          <w:iCs w:val="1"/>
          <w:color w:val="auto"/>
        </w:rPr>
        <w:t>www.daktronics.com</w:t>
      </w:r>
      <w:r>
        <w:rPr>
          <w:rFonts w:ascii="Arial" w:cs="Arial" w:eastAsia="Arial" w:hAnsi="Arial"/>
          <w:sz w:val="18"/>
          <w:szCs w:val="18"/>
          <w:color w:val="auto"/>
        </w:rPr>
        <w:t xml:space="preserve"> by selecting "Menu", then "Investor" and then "Annual Reports and Proxy" under the heading "Financial Information." Any person whose proxy is solicited by this Proxy Statement will be provided, upon request and without charge, with a copy of our Annual Report on Form 10-K for the fiscal year ended April 28, 2018. Please submit such requests to Daktronics, Inc., 201 Daktronics Drive, Brookings, South Dakota 57006, Attention: Investor Relations, or by calling (605) 692-0200.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0219"/>
          </w:cols>
          <w:pgMar w:left="240" w:top="125" w:right="1440" w:bottom="1440" w:gutter="0" w:footer="0" w:header="0"/>
          <w:type w:val="continuous"/>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6174740" cy="7983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34</w:t>
      </w:r>
    </w:p>
    <w:sectPr>
      <w:pgSz w:w="11900" w:h="16838" w:orient="portrait"/>
      <w:cols w:equalWidth="0" w:num="1">
        <w:col w:w="10219"/>
      </w:cols>
      <w:pgMar w:left="240" w:top="1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upperLetter"/>
      <w:start w:val="24"/>
    </w:lvl>
  </w:abstractNum>
  <w:abstractNum w:abstractNumId="2">
    <w:nsid w:val="3F2DBA31"/>
    <w:multiLevelType w:val="hybridMultilevel"/>
    <w:lvl w:ilvl="0">
      <w:lvlJc w:val="left"/>
      <w:lvlText w:val="[%1]"/>
      <w:numFmt w:val="upperLetter"/>
      <w:start w:val="24"/>
    </w:lvl>
  </w:abstractNum>
  <w:abstractNum w:abstractNumId="3">
    <w:nsid w:val="7C83E458"/>
    <w:multiLevelType w:val="hybridMultilevel"/>
    <w:lvl w:ilvl="0">
      <w:lvlJc w:val="left"/>
      <w:lvlText w:val="1"/>
      <w:numFmt w:val="bullet"/>
      <w:start w:val="1"/>
    </w:lvl>
  </w:abstractNum>
  <w:abstractNum w:abstractNumId="4">
    <w:nsid w:val="257130A3"/>
    <w:multiLevelType w:val="hybridMultilevel"/>
    <w:lvl w:ilvl="0">
      <w:lvlJc w:val="left"/>
      <w:lvlText w:val="2"/>
      <w:numFmt w:val="bullet"/>
      <w:start w:val="1"/>
    </w:lvl>
  </w:abstractNum>
  <w:abstractNum w:abstractNumId="5">
    <w:nsid w:val="62BBD95A"/>
    <w:multiLevelType w:val="hybridMultilevel"/>
    <w:lvl w:ilvl="0">
      <w:lvlJc w:val="left"/>
      <w:lvlText w:val="3"/>
      <w:numFmt w:val="bullet"/>
      <w:start w:val="1"/>
    </w:lvl>
  </w:abstractNum>
  <w:abstractNum w:abstractNumId="6">
    <w:nsid w:val="436C6125"/>
    <w:multiLevelType w:val="hybridMultilevel"/>
    <w:lvl w:ilvl="0">
      <w:lvlJc w:val="left"/>
      <w:lvlText w:val="4"/>
      <w:numFmt w:val="bullet"/>
      <w:start w:val="1"/>
    </w:lvl>
  </w:abstractNum>
  <w:abstractNum w:abstractNumId="7">
    <w:nsid w:val="628C895D"/>
    <w:multiLevelType w:val="hybridMultilevel"/>
    <w:lvl w:ilvl="0">
      <w:lvlJc w:val="left"/>
      <w:lvlText w:val="5"/>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bullet"/>
      <w:start w:val="1"/>
    </w:lvl>
  </w:abstractNum>
  <w:abstractNum w:abstractNumId="10">
    <w:nsid w:val="2443A858"/>
    <w:multiLevelType w:val="hybridMultilevel"/>
    <w:lvl w:ilvl="0">
      <w:lvlJc w:val="left"/>
      <w:lvlText w:val="2"/>
      <w:numFmt w:val="bullet"/>
      <w:start w:val="1"/>
    </w:lvl>
  </w:abstractNum>
  <w:abstractNum w:abstractNumId="11">
    <w:nsid w:val="2D1D5AE9"/>
    <w:multiLevelType w:val="hybridMultilevel"/>
    <w:lvl w:ilvl="0">
      <w:lvlJc w:val="left"/>
      <w:lvlText w:val="3"/>
      <w:numFmt w:val="bullet"/>
      <w:start w:val="1"/>
    </w:lvl>
  </w:abstractNum>
  <w:abstractNum w:abstractNumId="12">
    <w:nsid w:val="6763845E"/>
    <w:multiLevelType w:val="hybridMultilevel"/>
    <w:lvl w:ilvl="0">
      <w:lvlJc w:val="left"/>
      <w:lvlText w:val="4"/>
      <w:numFmt w:val="bullet"/>
      <w:start w:val="1"/>
    </w:lvl>
  </w:abstractNum>
  <w:abstractNum w:abstractNumId="13">
    <w:nsid w:val="75A2A8D4"/>
    <w:multiLevelType w:val="hybridMultilevel"/>
    <w:lvl w:ilvl="0">
      <w:lvlJc w:val="left"/>
      <w:lvlText w:val="%1."/>
      <w:numFmt w:val="decimal"/>
      <w:start w:val="2"/>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lvl w:ilvl="1">
      <w:lvlJc w:val="left"/>
      <w:lvlText w:val="(%2)"/>
      <w:numFmt w:val="decimal"/>
      <w:start w:val="1"/>
    </w:lvl>
  </w:abstractNum>
  <w:abstractNum w:abstractNumId="17">
    <w:nsid w:val="B03E0C6"/>
    <w:multiLevelType w:val="hybridMultilevel"/>
    <w:lvl w:ilvl="0">
      <w:lvlJc w:val="left"/>
      <w:lvlText w:val="(%1)"/>
      <w:numFmt w:val="decimal"/>
      <w:start w:val="10"/>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2019-12-06T02:45:38Z</dcterms:created>
  <dcterms:modified xsi:type="dcterms:W3CDTF">2019-12-06T02:45:38Z</dcterms:modified>
</cp:coreProperties>
</file>