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July 27, 2013</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132080</wp:posOffset>
            </wp:positionV>
            <wp:extent cx="127762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762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August 26, 2013 was 42,527,256.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 xml:space="preserve">For the Quarter Ended </w:t>
      </w:r>
      <w:r>
        <w:rPr>
          <w:rFonts w:ascii="Arial" w:cs="Arial" w:eastAsia="Arial" w:hAnsi="Arial"/>
          <w:sz w:val="16"/>
          <w:szCs w:val="16"/>
          <w:color w:val="auto"/>
        </w:rPr>
        <w:t>July 27, 2013</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4"/>
          </w:tcPr>
          <w:p>
            <w:pPr>
              <w:ind w:left="88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7"/>
          </w:tcPr>
          <w:p>
            <w:pPr>
              <w:spacing w:after="0"/>
              <w:rPr>
                <w:rFonts w:ascii="Arial" w:cs="Arial" w:eastAsia="Arial" w:hAnsi="Arial"/>
                <w:sz w:val="18"/>
                <w:szCs w:val="18"/>
                <w:b w:val="1"/>
                <w:bCs w:val="1"/>
                <w:color w:val="0000FF"/>
                <w:w w:val="92"/>
              </w:rPr>
            </w:pPr>
            <w:hyperlink w:anchor="page2">
              <w:r>
                <w:rPr>
                  <w:rFonts w:ascii="Arial" w:cs="Arial" w:eastAsia="Arial" w:hAnsi="Arial"/>
                  <w:sz w:val="18"/>
                  <w:szCs w:val="18"/>
                  <w:b w:val="1"/>
                  <w:bCs w:val="1"/>
                  <w:color w:val="0000FF"/>
                  <w:w w:val="92"/>
                </w:rPr>
                <w:t>Financial Information</w:t>
              </w:r>
            </w:hyperlink>
          </w:p>
        </w:tc>
        <w:tc>
          <w:tcPr>
            <w:tcW w:w="6960" w:type="dxa"/>
            <w:vAlign w:val="bottom"/>
            <w:gridSpan w:val="11"/>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80" w:type="dxa"/>
            <w:vAlign w:val="bottom"/>
            <w:gridSpan w:val="3"/>
          </w:tcPr>
          <w:p>
            <w:pPr>
              <w:ind w:left="90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8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Balance Sheets as of July 27, 2013 and April 27, 2013</w:t>
              </w:r>
            </w:hyperlink>
          </w:p>
        </w:tc>
        <w:tc>
          <w:tcPr>
            <w:tcW w:w="3200" w:type="dxa"/>
            <w:vAlign w:val="bottom"/>
            <w:gridSpan w:val="5"/>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Operations for the Three Months Ended July 27, 2013 and July 28, 2012</w:t>
              </w:r>
            </w:hyperlink>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Comprehensive Income for the Three Months Ended July 27, 2013 and</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9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July 28, 2012</w:t>
              </w:r>
            </w:hyperlink>
          </w:p>
        </w:tc>
        <w:tc>
          <w:tcPr>
            <w:tcW w:w="5840" w:type="dxa"/>
            <w:vAlign w:val="bottom"/>
            <w:tcBorders>
              <w:top w:val="single" w:sz="8" w:color="0000FF"/>
            </w:tcBorders>
            <w:gridSpan w:val="7"/>
          </w:tcPr>
          <w:p>
            <w:pPr>
              <w:spacing w:after="0"/>
              <w:rPr>
                <w:sz w:val="17"/>
                <w:szCs w:val="17"/>
                <w:color w:val="auto"/>
              </w:rPr>
            </w:pPr>
          </w:p>
        </w:tc>
        <w:tc>
          <w:tcPr>
            <w:tcW w:w="9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for the Three Months Ended July 27, 2013 and July 28,</w:t>
              </w:r>
            </w:hyperlink>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660" w:type="dxa"/>
            <w:vAlign w:val="bottom"/>
            <w:tcBorders>
              <w:top w:val="single" w:sz="8" w:color="0000FF"/>
            </w:tcBorders>
            <w:gridSpan w:val="2"/>
          </w:tcPr>
          <w:p>
            <w:pPr>
              <w:ind w:left="300"/>
              <w:spacing w:after="0" w:line="196"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2012</w:t>
              </w:r>
            </w:hyperlink>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gridSpan w:val="3"/>
          </w:tcPr>
          <w:p>
            <w:pPr>
              <w:ind w:left="90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8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080" w:type="dxa"/>
            <w:vAlign w:val="bottom"/>
            <w:gridSpan w:val="3"/>
          </w:tcPr>
          <w:p>
            <w:pPr>
              <w:ind w:left="90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2.</w:t>
              </w:r>
            </w:hyperlink>
          </w:p>
        </w:tc>
        <w:tc>
          <w:tcPr>
            <w:tcW w:w="8660" w:type="dxa"/>
            <w:vAlign w:val="bottom"/>
            <w:gridSpan w:val="1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240" w:type="dxa"/>
            <w:vAlign w:val="bottom"/>
            <w:gridSpan w:val="4"/>
          </w:tcPr>
          <w:p>
            <w:pPr>
              <w:ind w:left="900"/>
              <w:spacing w:after="0"/>
              <w:rPr>
                <w:rFonts w:ascii="Arial" w:cs="Arial" w:eastAsia="Arial" w:hAnsi="Arial"/>
                <w:sz w:val="18"/>
                <w:szCs w:val="18"/>
                <w:color w:val="0000FF"/>
              </w:rPr>
            </w:pPr>
            <w:hyperlink w:anchor="page17">
              <w:r>
                <w:rPr>
                  <w:rFonts w:ascii="Arial" w:cs="Arial" w:eastAsia="Arial" w:hAnsi="Arial"/>
                  <w:sz w:val="18"/>
                  <w:szCs w:val="18"/>
                  <w:color w:val="0000FF"/>
                </w:rPr>
                <w:t>15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3.</w:t>
              </w:r>
            </w:hyperlink>
          </w:p>
        </w:tc>
        <w:tc>
          <w:tcPr>
            <w:tcW w:w="8660" w:type="dxa"/>
            <w:vAlign w:val="bottom"/>
            <w:gridSpan w:val="1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Quantitative and Qualitative Disclosures About Market Risk</w:t>
              </w:r>
            </w:hyperlink>
          </w:p>
        </w:tc>
        <w:tc>
          <w:tcPr>
            <w:tcW w:w="1240" w:type="dxa"/>
            <w:vAlign w:val="bottom"/>
            <w:gridSpan w:val="4"/>
          </w:tcPr>
          <w:p>
            <w:pPr>
              <w:ind w:left="900"/>
              <w:spacing w:after="0"/>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320" w:type="dxa"/>
            <w:vAlign w:val="bottom"/>
            <w:tcBorders>
              <w:left w:val="single" w:sz="8" w:color="0000FF"/>
            </w:tcBorders>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4.</w:t>
              </w:r>
            </w:hyperlink>
          </w:p>
        </w:tc>
        <w:tc>
          <w:tcPr>
            <w:tcW w:w="86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240" w:type="dxa"/>
            <w:vAlign w:val="bottom"/>
            <w:gridSpan w:val="4"/>
          </w:tcPr>
          <w:p>
            <w:pPr>
              <w:ind w:left="90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w:t>
              </w:r>
            </w:hyperlink>
          </w:p>
        </w:tc>
        <w:tc>
          <w:tcPr>
            <w:tcW w:w="8660" w:type="dxa"/>
            <w:vAlign w:val="bottom"/>
            <w:gridSpan w:val="18"/>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Other Information</w:t>
              </w:r>
            </w:hyperlink>
          </w:p>
        </w:tc>
        <w:tc>
          <w:tcPr>
            <w:tcW w:w="1240" w:type="dxa"/>
            <w:vAlign w:val="bottom"/>
            <w:gridSpan w:val="4"/>
          </w:tcPr>
          <w:p>
            <w:pPr>
              <w:ind w:left="90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6"/>
          </w:tcPr>
          <w:p>
            <w:pPr>
              <w:spacing w:after="0"/>
              <w:rPr>
                <w:rFonts w:ascii="Arial" w:cs="Arial" w:eastAsia="Arial" w:hAnsi="Arial"/>
                <w:sz w:val="18"/>
                <w:szCs w:val="18"/>
                <w:color w:val="0000FF"/>
                <w:w w:val="93"/>
              </w:rPr>
            </w:pPr>
            <w:hyperlink w:anchor="page27">
              <w:r>
                <w:rPr>
                  <w:rFonts w:ascii="Arial" w:cs="Arial" w:eastAsia="Arial" w:hAnsi="Arial"/>
                  <w:sz w:val="18"/>
                  <w:szCs w:val="18"/>
                  <w:color w:val="0000FF"/>
                  <w:w w:val="93"/>
                </w:rPr>
                <w:t>Legal Proceedings</w:t>
              </w:r>
            </w:hyperlink>
          </w:p>
        </w:tc>
        <w:tc>
          <w:tcPr>
            <w:tcW w:w="7220" w:type="dxa"/>
            <w:vAlign w:val="bottom"/>
            <w:gridSpan w:val="12"/>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5"/>
              </w:rPr>
            </w:pPr>
            <w:hyperlink w:anchor="page27">
              <w:r>
                <w:rPr>
                  <w:rFonts w:ascii="Arial" w:cs="Arial" w:eastAsia="Arial" w:hAnsi="Arial"/>
                  <w:sz w:val="18"/>
                  <w:szCs w:val="18"/>
                  <w:color w:val="0000FF"/>
                  <w:w w:val="85"/>
                </w:rPr>
                <w:t>Risk Factors</w:t>
              </w:r>
            </w:hyperlink>
          </w:p>
        </w:tc>
        <w:tc>
          <w:tcPr>
            <w:tcW w:w="7760" w:type="dxa"/>
            <w:vAlign w:val="bottom"/>
            <w:gridSpan w:val="15"/>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180" w:type="dxa"/>
            <w:vAlign w:val="bottom"/>
          </w:tcPr>
          <w:p>
            <w:pPr>
              <w:spacing w:after="0"/>
              <w:rPr>
                <w:sz w:val="21"/>
                <w:szCs w:val="21"/>
                <w:color w:val="auto"/>
              </w:rPr>
            </w:pPr>
          </w:p>
        </w:tc>
        <w:tc>
          <w:tcPr>
            <w:tcW w:w="86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Unregistered Sales of Equity Securities and Use of Proceeds</w:t>
              </w:r>
            </w:hyperlink>
          </w:p>
        </w:tc>
        <w:tc>
          <w:tcPr>
            <w:tcW w:w="1240" w:type="dxa"/>
            <w:vAlign w:val="bottom"/>
            <w:gridSpan w:val="4"/>
          </w:tcPr>
          <w:p>
            <w:pPr>
              <w:ind w:left="90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3.</w:t>
              </w:r>
            </w:hyperlink>
          </w:p>
        </w:tc>
        <w:tc>
          <w:tcPr>
            <w:tcW w:w="86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Defaults Upon Senior Securities</w:t>
              </w:r>
            </w:hyperlink>
          </w:p>
        </w:tc>
        <w:tc>
          <w:tcPr>
            <w:tcW w:w="1240" w:type="dxa"/>
            <w:vAlign w:val="bottom"/>
            <w:gridSpan w:val="4"/>
          </w:tcPr>
          <w:p>
            <w:pPr>
              <w:ind w:left="90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6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4.</w:t>
              </w:r>
            </w:hyperlink>
          </w:p>
        </w:tc>
        <w:tc>
          <w:tcPr>
            <w:tcW w:w="86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Mine Safety Disclosures</w:t>
              </w:r>
            </w:hyperlink>
          </w:p>
        </w:tc>
        <w:tc>
          <w:tcPr>
            <w:tcW w:w="1240" w:type="dxa"/>
            <w:vAlign w:val="bottom"/>
            <w:gridSpan w:val="4"/>
          </w:tcPr>
          <w:p>
            <w:pPr>
              <w:ind w:left="90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5.</w:t>
              </w:r>
            </w:hyperlink>
          </w:p>
        </w:tc>
        <w:tc>
          <w:tcPr>
            <w:tcW w:w="86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Other Information</w:t>
              </w:r>
            </w:hyperlink>
          </w:p>
        </w:tc>
        <w:tc>
          <w:tcPr>
            <w:tcW w:w="1240" w:type="dxa"/>
            <w:vAlign w:val="bottom"/>
            <w:gridSpan w:val="4"/>
          </w:tcPr>
          <w:p>
            <w:pPr>
              <w:ind w:left="90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36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6.</w:t>
              </w:r>
            </w:hyperlink>
          </w:p>
        </w:tc>
        <w:tc>
          <w:tcPr>
            <w:tcW w:w="86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1240" w:type="dxa"/>
            <w:vAlign w:val="bottom"/>
            <w:gridSpan w:val="4"/>
          </w:tcPr>
          <w:p>
            <w:pPr>
              <w:ind w:left="900"/>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28">
              <w:r>
                <w:rPr>
                  <w:rFonts w:ascii="Arial" w:cs="Arial" w:eastAsia="Arial" w:hAnsi="Arial"/>
                  <w:sz w:val="18"/>
                  <w:szCs w:val="18"/>
                  <w:b w:val="1"/>
                  <w:bCs w:val="1"/>
                  <w:color w:val="0000FF"/>
                  <w:w w:val="83"/>
                </w:rPr>
                <w:t>Signatures</w:t>
              </w:r>
            </w:hyperlink>
          </w:p>
        </w:tc>
        <w:tc>
          <w:tcPr>
            <w:tcW w:w="8660" w:type="dxa"/>
            <w:vAlign w:val="bottom"/>
            <w:gridSpan w:val="18"/>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29">
              <w:r>
                <w:rPr>
                  <w:rFonts w:ascii="Arial" w:cs="Arial" w:eastAsia="Arial" w:hAnsi="Arial"/>
                  <w:sz w:val="18"/>
                  <w:szCs w:val="18"/>
                  <w:b w:val="1"/>
                  <w:bCs w:val="1"/>
                  <w:color w:val="0000FF"/>
                  <w:w w:val="90"/>
                </w:rPr>
                <w:t>Index to Exhibits</w:t>
              </w:r>
            </w:hyperlink>
          </w:p>
        </w:tc>
        <w:tc>
          <w:tcPr>
            <w:tcW w:w="8160" w:type="dxa"/>
            <w:vAlign w:val="bottom"/>
            <w:gridSpan w:val="17"/>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July 27,</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8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40,628</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63,227</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49,045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35,332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39,355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6,185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240,148</w:t>
            </w:r>
          </w:p>
        </w:tc>
      </w:tr>
      <w:tr>
        <w:trPr>
          <w:trHeight w:val="277"/>
        </w:trPr>
        <w:tc>
          <w:tcPr>
            <w:tcW w:w="8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3,306</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Advertising rights, net and other assets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r>
      <w:tr>
        <w:trPr>
          <w:trHeight w:val="237"/>
        </w:trPr>
        <w:tc>
          <w:tcPr>
            <w:tcW w:w="8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17,645</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1,497</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Buildings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57,012</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65,600</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Office furniture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16,118</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Computer software and hardware</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41,745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 held for rental</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8,400</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w:t>
            </w:r>
          </w:p>
        </w:tc>
      </w:tr>
      <w:tr>
        <w:trPr>
          <w:trHeight w:val="237"/>
        </w:trPr>
        <w:tc>
          <w:tcPr>
            <w:tcW w:w="8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201,441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195,266</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133,641</w:t>
            </w:r>
          </w:p>
        </w:tc>
      </w:tr>
      <w:tr>
        <w:trPr>
          <w:trHeight w:val="237"/>
        </w:trPr>
        <w:tc>
          <w:tcPr>
            <w:tcW w:w="8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61,625</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336,890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319,418</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0237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240" w:top="121" w:right="59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July 27,</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8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payable, bank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48,916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38,651</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24,331</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13,933</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18,870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12,375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(billed or collected)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9,112</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r>
      <w:tr>
        <w:trPr>
          <w:trHeight w:val="237"/>
        </w:trPr>
        <w:tc>
          <w:tcPr>
            <w:tcW w:w="85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126,734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114,692</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11,213</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843</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16,480</w:t>
            </w:r>
          </w:p>
        </w:tc>
      </w:tr>
      <w:tr>
        <w:trPr>
          <w:trHeight w:val="237"/>
        </w:trPr>
        <w:tc>
          <w:tcPr>
            <w:tcW w:w="8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146,234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131,172</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120,000,000 shares; 42,529,902 and 42,393,456</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issued at July 27, 2013 and April 27, 2013,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37,429</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27,919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27,194</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123,750</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852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190,656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188,246</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336,890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319,418</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0237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60"/>
          </w:cols>
          <w:pgMar w:left="240" w:top="12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60"/>
          </w:cols>
          <w:pgMar w:left="240" w:top="122" w:right="59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4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5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27,</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28,</w:t>
            </w:r>
          </w:p>
        </w:tc>
      </w:tr>
      <w:tr>
        <w:trPr>
          <w:trHeight w:val="234"/>
        </w:trPr>
        <w:tc>
          <w:tcPr>
            <w:tcW w:w="45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5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132,919</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103,221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96,529</w:t>
            </w:r>
          </w:p>
        </w:tc>
      </w:tr>
      <w:tr>
        <w:trPr>
          <w:trHeight w:val="27"/>
        </w:trPr>
        <w:tc>
          <w:tcPr>
            <w:tcW w:w="45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4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36,390</w:t>
            </w:r>
          </w:p>
        </w:tc>
      </w:tr>
      <w:tr>
        <w:trPr>
          <w:trHeight w:val="284"/>
        </w:trPr>
        <w:tc>
          <w:tcPr>
            <w:tcW w:w="4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4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13,080</w:t>
            </w:r>
          </w:p>
        </w:tc>
      </w:tr>
      <w:tr>
        <w:trPr>
          <w:trHeight w:val="27"/>
        </w:trPr>
        <w:tc>
          <w:tcPr>
            <w:tcW w:w="4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4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6,581</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4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6,021</w:t>
            </w:r>
          </w:p>
        </w:tc>
      </w:tr>
      <w:tr>
        <w:trPr>
          <w:trHeight w:val="27"/>
        </w:trPr>
        <w:tc>
          <w:tcPr>
            <w:tcW w:w="45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25,682</w:t>
            </w:r>
          </w:p>
        </w:tc>
      </w:tr>
      <w:tr>
        <w:trPr>
          <w:trHeight w:val="237"/>
        </w:trPr>
        <w:tc>
          <w:tcPr>
            <w:tcW w:w="452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4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10,708</w:t>
            </w:r>
          </w:p>
        </w:tc>
      </w:tr>
      <w:tr>
        <w:trPr>
          <w:trHeight w:val="27"/>
        </w:trPr>
        <w:tc>
          <w:tcPr>
            <w:tcW w:w="45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4520" w:type="dxa"/>
            <w:vAlign w:val="bottom"/>
            <w:shd w:val="clear" w:color="auto" w:fill="CCEEFF"/>
          </w:tcPr>
          <w:p>
            <w:pPr>
              <w:spacing w:after="0"/>
              <w:rPr>
                <w:sz w:val="24"/>
                <w:szCs w:val="24"/>
                <w:color w:val="auto"/>
              </w:rPr>
            </w:pPr>
          </w:p>
        </w:tc>
        <w:tc>
          <w:tcPr>
            <w:tcW w:w="4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4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4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4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4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77"/>
        </w:trPr>
        <w:tc>
          <w:tcPr>
            <w:tcW w:w="4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4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10,872</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4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4,194</w:t>
            </w:r>
          </w:p>
        </w:tc>
      </w:tr>
      <w:tr>
        <w:trPr>
          <w:trHeight w:val="27"/>
        </w:trPr>
        <w:tc>
          <w:tcPr>
            <w:tcW w:w="45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4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2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4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4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42,528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42,068</w:t>
            </w:r>
          </w:p>
        </w:tc>
      </w:tr>
      <w:tr>
        <w:trPr>
          <w:trHeight w:val="27"/>
        </w:trPr>
        <w:tc>
          <w:tcPr>
            <w:tcW w:w="4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42,141</w:t>
            </w:r>
          </w:p>
        </w:tc>
      </w:tr>
      <w:tr>
        <w:trPr>
          <w:trHeight w:val="284"/>
        </w:trPr>
        <w:tc>
          <w:tcPr>
            <w:tcW w:w="4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4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4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0.16</w:t>
            </w:r>
          </w:p>
        </w:tc>
      </w:tr>
      <w:tr>
        <w:trPr>
          <w:trHeight w:val="27"/>
        </w:trPr>
        <w:tc>
          <w:tcPr>
            <w:tcW w:w="452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77"/>
        </w:trPr>
        <w:tc>
          <w:tcPr>
            <w:tcW w:w="4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4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0.115</w:t>
            </w:r>
          </w:p>
        </w:tc>
      </w:tr>
      <w:tr>
        <w:trPr>
          <w:trHeight w:val="284"/>
        </w:trPr>
        <w:tc>
          <w:tcPr>
            <w:tcW w:w="45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4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675"/>
        </w:trPr>
        <w:tc>
          <w:tcPr>
            <w:tcW w:w="4520" w:type="dxa"/>
            <w:vAlign w:val="bottom"/>
          </w:tcPr>
          <w:p>
            <w:pPr>
              <w:spacing w:after="0"/>
              <w:rPr>
                <w:sz w:val="24"/>
                <w:szCs w:val="24"/>
                <w:color w:val="auto"/>
              </w:rPr>
            </w:pPr>
          </w:p>
        </w:tc>
        <w:tc>
          <w:tcPr>
            <w:tcW w:w="4180" w:type="dxa"/>
            <w:vAlign w:val="bottom"/>
          </w:tcPr>
          <w:p>
            <w:pPr>
              <w:jc w:val="right"/>
              <w:ind w:right="28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27,</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28,</w:t>
            </w:r>
          </w:p>
        </w:tc>
      </w:tr>
      <w:tr>
        <w:trPr>
          <w:trHeight w:val="234"/>
        </w:trPr>
        <w:tc>
          <w:tcPr>
            <w:tcW w:w="8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r>
      <w:tr>
        <w:trPr>
          <w:trHeight w:val="284"/>
        </w:trPr>
        <w:tc>
          <w:tcPr>
            <w:tcW w:w="8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available-for-sale securities,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6,425</w:t>
            </w: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27,</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28,</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70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(Gain) loss on sale of property and equipment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37"/>
        </w:trPr>
        <w:tc>
          <w:tcPr>
            <w:tcW w:w="8700" w:type="dxa"/>
            <w:vAlign w:val="bottom"/>
          </w:tcPr>
          <w:p>
            <w:pPr>
              <w:ind w:left="9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16,508</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Proceeds from sale of property and equipment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 net of cash acquired</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70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37"/>
        </w:trPr>
        <w:tc>
          <w:tcPr>
            <w:tcW w:w="870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9,417</w:t>
            </w:r>
          </w:p>
        </w:tc>
        <w:tc>
          <w:tcPr>
            <w:tcW w:w="0" w:type="dxa"/>
            <w:vAlign w:val="bottom"/>
          </w:tcPr>
          <w:p>
            <w:pPr>
              <w:spacing w:after="0"/>
              <w:rPr>
                <w:sz w:val="1"/>
                <w:szCs w:val="1"/>
                <w:color w:val="auto"/>
              </w:rPr>
            </w:pPr>
          </w:p>
        </w:tc>
      </w:tr>
      <w:tr>
        <w:trPr>
          <w:trHeight w:val="183"/>
        </w:trPr>
        <w:tc>
          <w:tcPr>
            <w:tcW w:w="87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29,423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22,122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38,840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Income taxes, net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employee stock purchase plan</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381"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381"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27, 2013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April 27, 2013,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2013-02: </w:t>
      </w:r>
      <w:r>
        <w:rPr>
          <w:rFonts w:ascii="Arial" w:cs="Arial" w:eastAsia="Arial" w:hAnsi="Arial"/>
          <w:sz w:val="17"/>
          <w:szCs w:val="17"/>
          <w:i w:val="1"/>
          <w:iCs w:val="1"/>
          <w:color w:val="auto"/>
        </w:rPr>
        <w:t>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Reclassified Out of Accumulated Other Comprehensive Income </w:t>
      </w:r>
      <w:r>
        <w:rPr>
          <w:rFonts w:ascii="Arial" w:cs="Arial" w:eastAsia="Arial" w:hAnsi="Arial"/>
          <w:sz w:val="17"/>
          <w:szCs w:val="17"/>
          <w:color w:val="auto"/>
        </w:rPr>
        <w:t>("ASU 2013-02")</w:t>
      </w:r>
      <w:r>
        <w:rPr>
          <w:rFonts w:ascii="Arial" w:cs="Arial" w:eastAsia="Arial" w:hAnsi="Arial"/>
          <w:sz w:val="17"/>
          <w:szCs w:val="17"/>
          <w:i w:val="1"/>
          <w:iCs w:val="1"/>
          <w:color w:val="auto"/>
        </w:rPr>
        <w:t xml:space="preserve">, </w:t>
      </w:r>
      <w:r>
        <w:rPr>
          <w:rFonts w:ascii="Arial" w:cs="Arial" w:eastAsia="Arial" w:hAnsi="Arial"/>
          <w:sz w:val="17"/>
          <w:szCs w:val="17"/>
          <w:color w:val="auto"/>
        </w:rPr>
        <w:t>an update to</w:t>
      </w:r>
      <w:r>
        <w:rPr>
          <w:rFonts w:ascii="Arial" w:cs="Arial" w:eastAsia="Arial" w:hAnsi="Arial"/>
          <w:sz w:val="17"/>
          <w:szCs w:val="17"/>
          <w:i w:val="1"/>
          <w:iCs w:val="1"/>
          <w:color w:val="auto"/>
        </w:rPr>
        <w:t xml:space="preserve"> Comprehensive Income </w:t>
      </w:r>
      <w:r>
        <w:rPr>
          <w:rFonts w:ascii="Arial" w:cs="Arial" w:eastAsia="Arial" w:hAnsi="Arial"/>
          <w:sz w:val="17"/>
          <w:szCs w:val="17"/>
          <w:color w:val="auto"/>
        </w:rPr>
        <w:t>(Topic 220). ASU 2013-02 requires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to present either on the face of the statement where net income is presented or in the notes to the financial statements significant amounts reclassified out of accumulated other comprehensive income by the respective line items in the statement presenting net income. Additionally, disclosures about the changes in each component of accumulated other comprehensive income are also required. ASU 2013-02 requires prospective application and is effective for fiscal years, and interim periods within those years, beginning after December 15, 2012. The Company adopted ASU 2013-02 in the first quarter of fiscal 2014, and there was no impact to the Company's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sharing in our earnings.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income and common share amounts used in the calculation of basic and diluted EPS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July 27, 2013 and July 28, 2012: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27, 2013:</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42,528</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42,766</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28, 2012:</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42,068</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6,678</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42,141</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2,267 shares of common stock with a weighted average exercise price of $16.04 for the three months ended July 27, 2013 and 3,133 shares of common stock with a weighted average exercise price of $14.11 for the three months ended July 28, 2012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Accounting Standards Codification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Schools and Theatres, Transportation, and the International business unit. These segments are based on the type of customer and geography.</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Our Commercial business unit primarily consists of sales of our video display systems, digital billboards,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Schools and Theatres business unit primarily consists of sales of scoring systems,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and video display systems to primary and secondary education facilities and sales of our Vortek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rigging systems for theatre applications. Our Transportation business unit primarily consists of sales of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the portion related to non-allocated costs, are allocated to each segment based on various financial measures. In general, segments follow the same accounting policies as those described in Note 1 of our Annual Report on Form 10-K. Unabsorbed costs of domestic field sales and services infrastructure, including most field administrative staff, are allocated to the Commercial, Live Events, Transportation, and Schools and Theatres business units based on cost of sales. Shared manufacturing, building and utilities, and procurement costs are allocated based on payroll dollars, square footage and various other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27,</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28,</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4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4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38,356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55,077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44,509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18,174</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16,596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4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15,284</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138,722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132,919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shd w:val="clear" w:color="auto" w:fill="CCEEFF"/>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5,979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4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21,884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240" w:type="dxa"/>
            <w:vAlign w:val="bottom"/>
            <w:shd w:val="clear" w:color="auto" w:fill="CCEEFF"/>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5,989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6,021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10,708</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240" w:type="dxa"/>
            <w:vAlign w:val="bottom"/>
            <w:shd w:val="clear" w:color="auto" w:fill="CCEEFF"/>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8,432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10,872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4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4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5,720</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4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61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27,</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28,</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115,759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132,919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68"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July 27,</w:t>
      </w:r>
    </w:p>
    <w:p>
      <w:pPr>
        <w:spacing w:after="0" w:line="50"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875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27,</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22860</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9660" w:space="720"/>
            <w:col w:w="104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Long-lived assets: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60,291</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60,060</w:t>
            </w: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Outside U.S.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r>
      <w:tr>
        <w:trPr>
          <w:trHeight w:val="237"/>
        </w:trPr>
        <w:tc>
          <w:tcPr>
            <w:tcW w:w="858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64,526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61,625</w:t>
            </w:r>
          </w:p>
        </w:tc>
      </w:tr>
      <w:tr>
        <w:trPr>
          <w:trHeight w:val="27"/>
        </w:trPr>
        <w:tc>
          <w:tcPr>
            <w:tcW w:w="8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income. As it relates to fixed income marketable securities, we do not intend to sell any of these investments, and it is not more-likely-than-not we will be required to sell any of these investments before recovery of the entire amortized cost basis. In addition, as of July 27, 2013,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July 27, 2013 and April 27, 2013,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July 27, 2013:</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10,706</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24,634</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4,999</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9,596</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24,024</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income” and into earnings based on the specific identification method. In the three months ended July 27, 2013 and July 28, 2012, the reclassifications from accumulated other comprehensive (loss) income to net assets were immaterial. Realized gains and losses on sales or maturities of investments were immaterial in the three months ended July 27, 2013 and July 28, 2012.</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July 27, 2013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Greater than 12</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1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months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5,010</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6,559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OPEN Out-of Home Solutions ("OPEN"), a Belgian company, on May 8, 2013 for an undisclosed amount. Results of the operations have been included in the consolidated financial statements since the date of acquisition. We have not made pro forma disclosures, as the results of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OPEN is a European manufacturer of cabinets and street furniture for the Third Party Advertising ("TPA") market. This acquisition expanded our product offerings to TPA's as they adopt digital technology and another plant to manufacture digital advertising displays. This acquisition was funded with cash on hand and a note payable over five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fiscal 2014, the preliminary fair value measurements of assets acquired and liabilities assumed, as of the acquisition date, were completed. The excess of the purchase price over the net tangible and intangible assets was recorded as goodwill of $1,300. Included in the purchase price allocation was acquired identifiable intangibles valued at $1,151 representing trade names with a useful life of 20 years and a customer list valued at $615 with a useful life of nine years. The purchase price allocation will be completed during fiscal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three months ended July 27,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3,306</w:t>
            </w: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Acquisition, net of cash acquired</w:t>
            </w:r>
          </w:p>
        </w:tc>
        <w:tc>
          <w:tcPr>
            <w:tcW w:w="22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1,300</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Balance as of July 27, 2013: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2,414</w:t>
            </w:r>
          </w:p>
        </w:tc>
        <w:tc>
          <w:tcPr>
            <w:tcW w:w="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4,613</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perform an analysis of goodwill on an annual basis. We last performed our annual analysis based on the goodwill amount as of the first business day of our third quarter in fiscal 2013, which was October 28, 2012. The result of the analysis indicated no goodwill impairment existed as of that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Note 7. Inventories</w:t>
            </w: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27,</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26,589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20,979</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9,088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19,543</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58,912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49,045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vMerge w:val="restart"/>
          </w:tcPr>
          <w:p>
            <w:pPr>
              <w:jc w:val="right"/>
              <w:ind w:right="189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$3,231 and $2,729 at July 27, 2013 and April 27, 2013, respectively.</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generally accepted accounting principles,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$15,430 and $16,132 as of July 27, 2013 and April 27, 2013, respectively. Contract and lease receivables bearing annual interest rates of 5.8 to 10.0 percent are due in varying annual installments through July 2022. The face amount of long-term receivables was $17,715 as of July 27, 2013 and $18,731 as of April 27, 2013. Included in accounts receivable as of July 27, 2013 and April 27, 2013 was $258 and $803, respectively, of retainage on construction-type contracts, all of which is expected to be collected in one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that has been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27, 2013, we did not believe there was a reasonable possibility any material loss for these various claims or legal actions, including reviews, inspections or other legal proceedings, if any, had been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$1,285 as of July 27, 2013 and April 27, 2013. We have recognized a guarantee liability in accrued expenses for the amount of $185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connection with these arrangements.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periodically assess the adequacy of our recorded warranty reserves and, to the extent we experience any changes in warranty claim activity or costs associated with servicing those claims, our warranty obligation is adjusted accordingly.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three months ended July 27, 2013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25,146</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2,792</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r>
      <w:tr>
        <w:trPr>
          <w:trHeight w:val="229"/>
        </w:trPr>
        <w:tc>
          <w:tcPr>
            <w:tcW w:w="7020" w:type="dxa"/>
            <w:vAlign w:val="bottom"/>
          </w:tcPr>
          <w:p>
            <w:pPr>
              <w:ind w:left="420"/>
              <w:spacing w:after="0"/>
              <w:rPr>
                <w:sz w:val="20"/>
                <w:szCs w:val="20"/>
                <w:color w:val="auto"/>
              </w:rPr>
            </w:pPr>
            <w:r>
              <w:rPr>
                <w:rFonts w:ascii="Arial" w:cs="Arial" w:eastAsia="Arial" w:hAnsi="Arial"/>
                <w:sz w:val="18"/>
                <w:szCs w:val="18"/>
                <w:color w:val="auto"/>
              </w:rPr>
              <w:t>Changes in accrued warranty costs for pre-existing warranties during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1,309</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24,987</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Performance guarantees: </w:t>
      </w:r>
      <w:r>
        <w:rPr>
          <w:rFonts w:ascii="Arial" w:cs="Arial" w:eastAsia="Arial" w:hAnsi="Arial"/>
          <w:sz w:val="18"/>
          <w:szCs w:val="18"/>
          <w:color w:val="auto"/>
        </w:rPr>
        <w:t>We have entered into standby letters of credit and surety bonds with financial institutions relating to the guarantee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on contracts, primarily construction type contracts. As of July 27, 2013, we had outstanding letters of credit and surety bonds in the amount of $5,023 and $17,983, respectively. Performance guarantees are issued to certain customers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guarantee the operation and installation of the equipment and our ability to complete a contract. These performance guarantees have various terms, which are generally less than one year.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vehicles, office space and various equipment for various sales and service locations throughout the world, including manufacturing 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China.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$724 and $718 for the three months ended July 27, 2013 and July 28, 2012,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July 27,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and various other products and services over periods extending</w:t>
      </w:r>
      <w:r>
        <w:rPr>
          <w:rFonts w:ascii="Arial" w:cs="Arial" w:eastAsia="Arial" w:hAnsi="Arial"/>
          <w:sz w:val="18"/>
          <w:szCs w:val="18"/>
          <w:i w:val="1"/>
          <w:iCs w:val="1"/>
          <w:color w:val="auto"/>
        </w:rPr>
        <w:t xml:space="preserve"> </w:t>
      </w:r>
      <w:r>
        <w:rPr>
          <w:rFonts w:ascii="Arial" w:cs="Arial" w:eastAsia="Arial" w:hAnsi="Arial"/>
          <w:sz w:val="18"/>
          <w:szCs w:val="18"/>
          <w:color w:val="auto"/>
        </w:rPr>
        <w:t>beyond one year. As of July 27, 2013, we were obligated under the following conditional and unconditional purchase commitments, which included $1,000 in 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the income taxes of multiple state jurisdictions. As a result of the completion of examinations by the Internal Revenue Service on prior years and the expiration of statutes of limitations, fiscal years 2010, 2011, 2012 and 2013 are the remaining years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July 27, 2013, we had $493 of unrecognized tax benefits which would affect our effective tax rate if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the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that may be utilized when measuring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July 27, 2013 and April 27, 2013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July 27, 2013:</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22,122</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22,122</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4,677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4,249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27,175</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19,685</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46,860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40,628</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4,677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4,752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45,694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64,735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that are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U.S. Government sponsored entities</w:t>
      </w:r>
      <w:r>
        <w:rPr>
          <w:rFonts w:ascii="Arial" w:cs="Arial" w:eastAsia="Arial" w:hAnsi="Arial"/>
          <w:sz w:val="18"/>
          <w:szCs w:val="18"/>
          <w:color w:val="auto"/>
        </w:rPr>
        <w:t>: Consist of Fannie Mae and Federal Home Loan Bank investment grade debt securities trading with sufficient frequency</w:t>
      </w:r>
      <w:r>
        <w:rPr>
          <w:rFonts w:ascii="Arial" w:cs="Arial" w:eastAsia="Arial" w:hAnsi="Arial"/>
          <w:sz w:val="18"/>
          <w:szCs w:val="18"/>
          <w:i w:val="1"/>
          <w:iCs w:val="1"/>
          <w:color w:val="auto"/>
        </w:rPr>
        <w:t xml:space="preserve"> </w:t>
      </w:r>
      <w:r>
        <w:rPr>
          <w:rFonts w:ascii="Arial" w:cs="Arial" w:eastAsia="Arial" w:hAnsi="Arial"/>
          <w:sz w:val="18"/>
          <w:szCs w:val="18"/>
          <w:color w:val="auto"/>
        </w:rPr>
        <w:t>and volume to enable us to obtain pricing information on an ongoing basis. The fair value of these securities was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measured based on valuations observed in less active markets than Level 1 investments. The contractual maturities of these investments vary from one month to three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one month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valuation from a third-party bank. See Note 12 for more information regarding our derivatives.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measurement standard also applies to certain non-financial assets and liabilities that are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utilized the fair value measurement standard to value the assets and liabilities for the business combination involving OPEN which occurred during the first three months of fiscal 2014. We did not recognize any impairment losses during the first three months of fiscal 2014. See Note 5 for more information on the business combination. We did not make any material business combinations or recognize any significant impairment losses during fiscal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other assets or accounts payable measured at fair value, and changes in fair values are recognized in earnings unless specific hedge accounting criteria are met for cash flow or net investment hedges. As of July 27, 2013 and April 27, 2013, we had not designated any of our derivative instruments as accounting hedges, and thus we recorded the changes in fair value in other (expense) income, net.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July 27, 2013 and April 27, 2013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900"/>
              <w:spacing w:after="0"/>
              <w:rPr>
                <w:sz w:val="20"/>
                <w:szCs w:val="20"/>
                <w:color w:val="auto"/>
              </w:rPr>
            </w:pPr>
            <w:r>
              <w:rPr>
                <w:rFonts w:ascii="Arial" w:cs="Arial" w:eastAsia="Arial" w:hAnsi="Arial"/>
                <w:sz w:val="18"/>
                <w:szCs w:val="18"/>
                <w:b w:val="1"/>
                <w:bCs w:val="1"/>
                <w:color w:val="auto"/>
              </w:rPr>
              <w:t>July 27, 2013</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27, 2013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July 27, 2013 and April 27, 2013, there was a net asset of $59 and $7, respectively, representing the fair value of foreign currency exchange forward contracts, which was determined using Level 2 inputs from a third-party bank.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August 22, 2013, our Board of Directors declared a dividend of $0.09 per share payable on September 20, 2013 to shareholders of record of our common stock on September 6,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(iv) the declaration and payment of dividends; (v) the timing and magnitude of future contracts; (vi) parts shortages and longer lead times; (vii) fluctuations in margins; and (viii)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27, 2013 in the section entitled “Item 1A. Risk Factors.”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from these estimates under different assumptions or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an International business unit. The four domestic business units consist of Commercial, Live Events, Schools and Theatres, and Transportation, which include the geographic territories of the United States and Canada.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sales and profitability historically have fluctuated due to the impact of large project orders, such as display systems for professional sports facilities and colleges and universities or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 Our gross margins on large custom and standard orders tend to fluctuate more than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the Consolidated Financial Statements, which is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video display contracts are similar across the business units over the long-term. There are, however, differences in the short term among the business units, which are discussed more fully in the following analysis.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our business growth is driven by the market demand for large format electronic displays with the depth and quality of our products, including related control systems, and the depth of our service offerings and our technology serving these market demands. This growth, however, is partially offset by declines in product prices caused by increasing competition. Each business unit also has unique key growth drivers.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6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growing interest in our standard display products used in many different retail-type establishments, among other types of applications. The demand in this area is driven by retailers' and other types of commercial establishments' desire to attract the attention of motorists and others into their storefronts. It is also driven by the need to communicate messages to the public. National accounts may replace their displays reaching end of life, which could lead to increased sales. Furthermore, we believe in the future there will be increased demand from national accounts, including retailers, quick serve restaurants and other types of nationwide organizations, which could lead to increasing sales.</w:t>
      </w:r>
    </w:p>
    <w:p>
      <w:pPr>
        <w:spacing w:after="0" w:line="3"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deployment of digital billboards as billboard companies continue developing new sites for these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billboard companies.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which are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Schools and Theatres Business Unit: </w:t>
      </w:r>
      <w:r>
        <w:rPr>
          <w:rFonts w:ascii="Arial" w:cs="Arial" w:eastAsia="Arial" w:hAnsi="Arial"/>
          <w:sz w:val="18"/>
          <w:szCs w:val="18"/>
          <w:color w:val="auto"/>
        </w:rPr>
        <w:t>Over the long-term, we believe growth in the Schools and Theatres business unit will result from a number of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more athletic venues, such as aquatics in schools.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Over the long-term, we believe growth in the Transportation business unit will result from increasing applications of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displays to manage transportation systems, including roadway, airport, parking, transit and other applications. This growth is highly dependent on government spending, primarily by the federal government.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building products more suited to individual markets, third-party advertising market opportunities, and the reasons listed in each of the other business units to the extent they apply outside the United States and Canada.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severely impacted. Our Commercial and International business units are highly dependent on economic conditions in general.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JULY 27, 2013 AND JULY 28,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3"/>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July 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33,701</w:t>
            </w: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38,356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55,077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44,509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18,174</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13,042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16,596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15,284</w:t>
            </w:r>
          </w:p>
        </w:tc>
        <w:tc>
          <w:tcPr>
            <w:tcW w:w="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138,722</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132,919</w:t>
            </w: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36,975</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44,599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Live Events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50,699</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Schools &amp; Theatres</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19,551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23,458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22,750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159,283</w:t>
            </w:r>
          </w:p>
        </w:tc>
        <w:tc>
          <w:tcPr>
            <w:tcW w:w="4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173,542</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decrease in net sales for the three months ended July 27, 2013 compared to the same period one year ago was the net result of:</w:t>
      </w:r>
    </w:p>
    <w:p>
      <w:pPr>
        <w:spacing w:after="0" w:line="237" w:lineRule="exact"/>
        <w:rPr>
          <w:sz w:val="20"/>
          <w:szCs w:val="20"/>
          <w:color w:val="auto"/>
        </w:rPr>
      </w:pPr>
    </w:p>
    <w:p>
      <w:pPr>
        <w:ind w:left="66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increase of $0.6 million in sales of large custom video contracts due to a previous multi-million dollar custom video project order converting to sales in the first quarter of fiscal 2014. The level of large custom contract orders and sales in this niche is subject to volatility.</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$3.2 million in our billboard niche due to the $9.5 million decline in order volume. Lower order levels were primarily the result of the volatility in the timing of orders.</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$2.4 million in sales of on-premise advertising displays, which was primarily due to a decrease in replacement program orders for a national account customer as compared to the first quarter of fiscal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orders for the three months ended July 27, 2013 compared to the same period one year ago was the net result of:</w:t>
      </w:r>
    </w:p>
    <w:p>
      <w:pPr>
        <w:spacing w:after="0" w:line="225" w:lineRule="exact"/>
        <w:rPr>
          <w:sz w:val="20"/>
          <w:szCs w:val="20"/>
          <w:color w:val="auto"/>
        </w:rPr>
      </w:pPr>
    </w:p>
    <w:p>
      <w:pPr>
        <w:ind w:left="660" w:hanging="328"/>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of $2.6 million in orders for large custom video projects during the three months ended July 27, 2013 compared to the same period in fiscal 2013. During the first quarter of fiscal 2014, we booked two video system orders for a combined total of $5.6 million.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$9.5 million in orders for billboard customers due to the volatility in the timing of orders.</w:t>
      </w:r>
    </w:p>
    <w:p>
      <w:pPr>
        <w:spacing w:after="0" w:line="211"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Over the near-term in fiscal 2014, we believe the commercial market sales will be generally flat due to indications given to us by our billboard customers and expected lower national account replacements compared to fiscal 2013. A number of custom video projects opportunities are available in the marketplace; however, due to a number of factors, such as the discretionary nature of customers committing to a system, it is difficult to precisely predict orders and sales for fiscal 2014 in the Commercial business unit.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Live Events: </w:t>
      </w:r>
      <w:r>
        <w:rPr>
          <w:rFonts w:ascii="Arial" w:cs="Arial" w:eastAsia="Arial" w:hAnsi="Arial"/>
          <w:sz w:val="16"/>
          <w:szCs w:val="16"/>
          <w:color w:val="auto"/>
        </w:rPr>
        <w:t>The increase in net sales for the three months ended July 27, 2013 compared to the same period one year ago was primarily the net result of:</w:t>
      </w:r>
    </w:p>
    <w:p>
      <w:pPr>
        <w:spacing w:after="0" w:line="2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$4.7 million in sales related to university arena and stadium displays for orders booked in previous quarters.</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$3.7 million in sales related to professional sports stadiums for significant orders that were booked during the fourth quarter of fiscal 2013.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July 27, 2013 compared to the same period one year ago as the current period included contracts for two large video display systems totaling approximately $20 million.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to see ongoing interest from venues at all levels to increase the size and capability of their display systems which should offer continued growth opportunity for this market in fiscal 2014. A number of factors, such as the discretionary nature of customers committing to upgrade systems, versus the non-discretionary purchases associated with new construction, the current aggressive competitive environment and various other factors, make forecasting fiscal 2014 orders and net sales difficult. However, for the reasons cited previously, we expect growth in this business unit over the long-term, assuming the economy continues to improve and we are successful at counteracting competitive pressures.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decrease in net sales for the three months ended July 27, 2013 compared to the same period one year ago was primarily the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sales from video projects and lower order values during the current year. This was primarily the result of the level of orders remaining the same, but the size of displays or the average selling price of the displays being lower than in the previous year.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for the three months ended July 27, 2013 compared to the same period one year ago decreased primarily as the result of the level of orders remaining the same, but the size of displays or average selling price of the displays being lower than in the previous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 opportunities to sell larger video systems for the remainder of fiscal 2014, primarily in high school facilities which benefit from our sports marketing services that generate advertising revenue to fund the display systems; however, orders may not increase over fiscal 2013. A number of factors, such as the discretionary nature of customers committing to upgrade products and economic factors which impact non-discretionary purchases associated with new construction, impact order volumes. For the long term, we believe this business unit presents growth opportunities as the economy continues to improve and larger video systems are adopted.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decrease in net sales for the three months ended July 27, 2013 compared to the same period one year ago was primarily the result of $6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sales recognized during the first quarter of fiscal 2013 for a significant transit project with no recurring projects in similar size during the first quarter of fiscal 2014 to replace the revenues that were recognized in the first three months of fiscal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for the three months ended July 27, 2013 compared to the same period one year ago decreased primarily due to an order for $20 million booked during the first quarter of fiscal 2013 for a major airport with no recurring order in similar size during the first quarter of fiscal 2014. Excluding this project, orders were up $1.9 million year over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Currently, we do not have another large project similar to the major airport project expected for fiscal 2014 to replace these sales, but with the introduction of our 20mm high resolution full-color products in fiscal 2013, we are anticipating sales to adjust back to a more normal growth curve with an increase over fiscal 2012 sales levels.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The increase in net sales in our International business unit for the three months ended July 27, 2013 compared to the same period one year ago</w:t>
      </w:r>
      <w:r>
        <w:rPr>
          <w:rFonts w:ascii="Arial" w:cs="Arial" w:eastAsia="Arial" w:hAnsi="Arial"/>
          <w:sz w:val="16"/>
          <w:szCs w:val="16"/>
          <w:i w:val="1"/>
          <w:iCs w:val="1"/>
          <w:color w:val="auto"/>
        </w:rPr>
        <w:t xml:space="preserve"> </w:t>
      </w:r>
      <w:r>
        <w:rPr>
          <w:rFonts w:ascii="Arial" w:cs="Arial" w:eastAsia="Arial" w:hAnsi="Arial"/>
          <w:sz w:val="16"/>
          <w:szCs w:val="16"/>
          <w:color w:val="auto"/>
        </w:rPr>
        <w:t>is the net result of a higher beginning backlog for the first quarter of fiscal 2014 compared to the same period of fiscal 2013, the timing of orders, and progress on large projects. We believe sales during the second quarter of fiscal 2014 will be higher compared to the same period of the previous year.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the acquisition of OPEN during the first quarter of fiscal 2014. OPEN's sales were included in the international results and contributed $1.1 million of net sales for the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orders for the three months ended July 27, 2013 compared to the same period one year ago was mainly due to the timing of orders as we continue to see a strong pipeline of projects that are expected to book during the second and third quarters of fiscal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2014, we believe the International business unit has potential for sales growth as we penetrate markets with our established sales networks and the pipeline of projects has increased. In addition, the third-party advertising business continues to be strong worldwide, and we see a definite shift to digital as prices for displays have come down. Both of these factors could increase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July 27, 2013 was $167 million as compared to $164 million as of July 28, 2012 and $141 million at the end of fourth quarter of fiscal 2013. Historically, our backlog varies due to the seasonality of our business, the timing of large orders, and customer delivery schedules for these orders. The backlog increased from one year ago in our Commercial, Live Events and International business units and decreased in our Schools and Theatres and Transportation business units.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Backlog is not a measure defined by U.S. generally accepted accounting principles, and our methodology for determining backlog may vary from the methodology used by other companies in determining their backlog amounts. Our backlog is equal to the amount of net sales expected to be recognized in future periods on standard product and contract sales that are evidenced by an arrangement, with prices that are fixed and determinable and with collectability reasonably assured. Backlog may not be indicative of future operating results, and arrangements in our backlog may be canceled, modified or otherwise altered; therefore, it is not necessarily indicative of future sales or net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660"/>
              <w:spacing w:after="0"/>
              <w:rPr>
                <w:sz w:val="20"/>
                <w:szCs w:val="20"/>
                <w:color w:val="auto"/>
              </w:rPr>
            </w:pPr>
            <w:r>
              <w:rPr>
                <w:rFonts w:ascii="Arial" w:cs="Arial" w:eastAsia="Arial" w:hAnsi="Arial"/>
                <w:sz w:val="18"/>
                <w:szCs w:val="18"/>
                <w:b w:val="1"/>
                <w:bCs w:val="1"/>
                <w:color w:val="auto"/>
              </w:rPr>
              <w:t>July 27, 2013</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720"/>
              <w:spacing w:after="0"/>
              <w:rPr>
                <w:sz w:val="20"/>
                <w:szCs w:val="20"/>
                <w:color w:val="auto"/>
              </w:rPr>
            </w:pPr>
            <w:r>
              <w:rPr>
                <w:rFonts w:ascii="Arial" w:cs="Arial" w:eastAsia="Arial" w:hAnsi="Arial"/>
                <w:sz w:val="18"/>
                <w:szCs w:val="18"/>
                <w:b w:val="1"/>
                <w:bCs w:val="1"/>
                <w:color w:val="auto"/>
              </w:rPr>
              <w:t>July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28.0%</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25.7%</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11,347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20.6</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10,237</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23.0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32.7</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28.5</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2,972</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22.8</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6,732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40.6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31.0</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4,384</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28.7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35,501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25.6%</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36,390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27.4%</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our gross profit percentage for the three months ended July 27, 2013 compared to the same period one year ago was the net result of the following: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for the three months ended July 27, 2013 compared to the same period one year ago was the result of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sales mix, with a higher percentage of standard display sales versus larger video display contracts during the current year, which was partially offset by higher warranty costs as a percentage of net sales.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for the three months ended July 27, 2013 compared to the same period one year ago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sales mix caused by a significant increase in large custom display projects over $5 million, as these projects have a competitive bidding process that tends to reduce overall margins realized. In addition, we had higher warranty costs as a percentage of net sales. The impact of large custom orders and additional warranty expenses was offset by an improvement in margins on standard display sales and from increased infrastructure utilization and cost management.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increase for the three months ended July 27, 2013 compared to the same period one year ago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a more favorable product sales mix with a higher level of standard display sales. We saw a four percentage point improvement due to process and cost management initiatives and a decrease in warranty costs as a percentage of net sales.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decrease for the three months ended July 27, 2013 compared to the same period one year ago was the net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sales mix. During the first quarter of fiscal 2013, our sales had a large percentage of over the road displays on a couple of procurement contracts contrasted with the first quarter of fiscal 2014 where a significant portion of the sales revenue was for finishing a large video project. The margins within the period for this project were lower due to additional unanticipated costs to finish the project.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increase for the three months ended July 27, 2013 compared to the same period one year ago was primarily the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improved margins due to lower warranty costs as a percentage of net sales that were partially offset by a higher level of manufacturing costs with the increase in net sales and our new manufacturing plant in Belgium for third-party advertising displays.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difficult to project gross profit levels for fiscal 2014 because of the uncertainty regarding the level of sales and the competitive factors in our business. We are focused on improving our gross profit margins as we execute on our strategies for improved profitability. We are focusing efforts on the quality of suppliers, adding additional quality testing in our manufacturing areas, continuing our sourcing strategies, continuing focus on product reliability in designs to improve warranty costs as a percent of net sales, and improved process flow in our manufacturing and services organization to improve gross profit margin. An increase in gross profit assumes competitive pressures remain consistent with the levels of fiscal 2013.</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July 27, 2013</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July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3,005</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3,162</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7.1</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15.1</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4.5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3,586</w:t>
            </w:r>
          </w:p>
        </w:tc>
        <w:tc>
          <w:tcPr>
            <w:tcW w:w="1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18.9</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19.0</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13,080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expenses in our Commercial, Live Events, Schools and Theatres, and Transportation business units remained relatively flat in the three months ended July 27, 2013 compared to the same period one year ago due to overall cost management initiatives to increase profitability. Our International business unit saw a $0.7 million increase in costs due to the effect of the addition of our Belgium subsidiary staff, third-party commissions and bad debt expense. We use third parties in various locations around the world to expand market opportunities, and third-party commission expenses will occur only if the third party is successful in procuring sales.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expect selling expenses will increase slightly in dollars in fiscal 2014 as compared to fiscal 2013, but remain flat as a percentage of net sales.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July 27, 2013</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July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5,989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6,021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amortization of intangibles and the costs of supplies.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 the first quarter of fiscal 2014 as compared to the same period one year ago increased primarily due to a $0.6 million net rise in payroll and benefit costs, professional services costs and other expenses. These expenses included one-time costs incurred in the first quarter of fiscal 2014 for professional services to support the expansion of our international business and strategic information technology projects and other on-going costs to support our anticipated business growth.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expenses to increase slightly in dollars in fiscal 2014 as compared to fiscal 2013, but remain flat as a percentage of net sales.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facilities cost and equipment-related costs and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investments in the near term are focused on video technology with a range of pixel pitches for outdoor applications using LED surface mount technology, which offers improved performance at a lower cost point over our current offerings. In addition, we continue to focus on various other products to standardize display components and control systems for both single site displays and networked displays.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costs for product development represent an allocated amount of costs based on time charges, materials costs and overhead of our engineering departments. Generally, a significant portion of our engineering time is spent on product development, while the rest is allocated to large contract work and included in cost of goods sold. Product development expenses remained flat in the first quarter of fiscal 2014 as compared to the same period one year ago.</w:t>
      </w:r>
    </w:p>
    <w:p>
      <w:pPr>
        <w:sectPr>
          <w:pgSz w:w="11900" w:h="16838" w:orient="portrait"/>
          <w:cols w:equalWidth="0" w:num="1">
            <w:col w:w="11420"/>
          </w:cols>
          <w:pgMar w:left="240" w:top="12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product design and development expenses will increase slightly in dollars in fiscal 2014 as compared to fiscal 2013, but remain flat as a percentage of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660"/>
              <w:spacing w:after="0"/>
              <w:rPr>
                <w:sz w:val="20"/>
                <w:szCs w:val="20"/>
                <w:color w:val="auto"/>
              </w:rPr>
            </w:pPr>
            <w:r>
              <w:rPr>
                <w:rFonts w:ascii="Arial" w:cs="Arial" w:eastAsia="Arial" w:hAnsi="Arial"/>
                <w:sz w:val="18"/>
                <w:szCs w:val="18"/>
                <w:b w:val="1"/>
                <w:bCs w:val="1"/>
                <w:color w:val="auto"/>
              </w:rPr>
              <w:t>July 27, 2013</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July 28,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117.8 %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Interest income, net decreased in the first quarter of fiscal 2014 compared to the same period one year ago primarily due to a lower level of income on investments due to lower yields available in the market when reinvesting available cash. As a result of the volatility of working capital needs and changes in investing and financing activities, along with changes in the interest rate environment, it is difficult to project changes in interest income. We expect our cash balances will be increasing for the remaining quarters during fiscal 2014; however, we are unable to project how that will compare to fiscal 2013.</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We realized an increase of $0.2 million in expenses from the net result of other income and expenses for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2014 as compared to the same period one year ago. This change was the net effect of an increase in foreign currency losses for changes in foreign currency rates as it relates to remeasurement of inter-company loans into U.S. dollars and a reduction in losses on changes in the fair value of currency hedges and various other non-operating gains.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was 32.2 percent for the first quarter of fiscal 2014 as compared to an effective tax rate of 38.6 percent for the first quarter of fiscal 2013. In comparing the first quarter of fiscal year 2014 to the first quarter of fiscal year 2013, changes in our effective tax rate was the net effect of the following:</w:t>
      </w:r>
    </w:p>
    <w:p>
      <w:pPr>
        <w:spacing w:after="0" w:line="181"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approximately 3.2 percentage points due to a true-up in both federal and state accrued taxes from items received in the first quarter of fiscal 2014 outstanding from fiscal 2012.</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approximately 2.3 percentage points caused by a change in our forecasted pre-tax income on the research and development tax credit which is currently set to expire on December 31, 2013.</w:t>
      </w: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Various other items which have a greater impact on the effective rate due to lower income before taxes but are not material to the results.</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effective tax rate can vary significantly due to the mix of pre-tax income and permanent adjustments to taxable income in different countries and the estimate of the annual effective rate in each country.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3"/>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27,</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July 28,</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16,508</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9,417</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The decrease in cash from operating activities for the first three months of fiscal 2014 as compared to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2013 was the net result of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net income of $1.0 million plus a decrease of $20.2 million from a net reduction for changes in net operating assets and liabilities, adjusted by $0.7 million for the increase in our provision for doubtful accounts.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most significant drivers of the change in net operating assets and liabilities from our previous fiscal year end at April 27, 2013 were the net result of the following:</w:t>
      </w:r>
    </w:p>
    <w:p>
      <w:pPr>
        <w:spacing w:after="0" w:line="183" w:lineRule="exact"/>
        <w:rPr>
          <w:rFonts w:ascii="Arial" w:cs="Arial" w:eastAsia="Arial" w:hAnsi="Arial"/>
          <w:sz w:val="18"/>
          <w:szCs w:val="18"/>
          <w:color w:val="auto"/>
        </w:rPr>
      </w:pPr>
    </w:p>
    <w:p>
      <w:pPr>
        <w:jc w:val="both"/>
        <w:ind w:left="1300" w:hanging="320"/>
        <w:spacing w:after="0" w:line="25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decrease in cash from operations of $23.3 million caused by an increase in accounts receivable primarily due to the general increase in sales due to the seasonality of the sports business and general inherent variability of large contract timing and related billing schedule. Our accounts receivable balance was also $11.4 million higher than the first quarter of fiscal 2013 due to the general inherent variability of large contract timing and related billing schedule.</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increase in inventories, which decreased cash from operations by $7.7 million. Days inventory outstanding (DIO)increased from 46 days as of April 27, 2013 to 54 days as of July 27, 2013, but it has remained consistent with 53 days as of July 28, 2012. Changes in inventory are primarily the result of increased backlog and planning for pending orders because of long part lead times. Our inventory balance was $3.0 million higher at July 27, 2013 than the balance at July 28, 2012 primarily due to the manufacturing and shipping schedules of larger video project orders during the first quarter.</w:t>
      </w:r>
    </w:p>
    <w:p>
      <w:pPr>
        <w:spacing w:after="0" w:line="2" w:lineRule="exact"/>
        <w:rPr>
          <w:rFonts w:ascii="Arial" w:cs="Arial" w:eastAsia="Arial" w:hAnsi="Arial"/>
          <w:sz w:val="18"/>
          <w:szCs w:val="18"/>
          <w:color w:val="auto"/>
        </w:rPr>
      </w:pPr>
    </w:p>
    <w:p>
      <w:pPr>
        <w:jc w:val="both"/>
        <w:ind w:left="1300" w:hanging="320"/>
        <w:spacing w:after="0" w:line="265"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 net increase in cash of $3.6 million resulting from a decrease in costs and estimated earnings in excess of billings and billings in excess of costs and estimated earnings.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business.</w:t>
      </w:r>
    </w:p>
    <w:p>
      <w:pPr>
        <w:jc w:val="both"/>
        <w:ind w:left="130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net increase in accounts payable and accrued liabilities of $7.5 million was primarily the result of a $1.8 million increase in payables related to a change in extended payment terms with one large supplier, a $5.4 million increase in payables and accruals related to outsourced installation costs for multiple large projects in process during the first quarter of fiscal 2014, and a $1.3 million increase in payables related to increases in inventory purchases.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net change in various other operating assets and liabilities, which increased cash from operations by $5.0 million.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 billings and various other operating assets and liabilities.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The increase in cash used in investing activities for the first three months of fiscal 2014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2013 was the result of the following:</w:t>
      </w:r>
    </w:p>
    <w:p>
      <w:pPr>
        <w:spacing w:after="0" w:line="170"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net cash invested in marketable securities, net of maturities. Our investment approach has remained consistent year over year as we try to maintain a consistent level of marketable securities and, therefore, the change was the result of the timing of investment decisions and investments of excess cash in marketable securities.</w:t>
      </w: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purchases of property and equipment of $2.6 million. During the first three months of fiscal 2014, we invested $2.8 million in manufacturing equipment, $0.4 million in product demonstration equipment, $0.6 million in information systems infrastructure, including software, and $0.2 million in other assets. Capital expenditures are expected to be less than $16 million for fiscal 2014.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 million used for an acquisition during the first quarter of fiscal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The increase in cash used in financing activities for the first three months of fiscal 2014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2013 was the result of $3.4 million in payments related to debt acquired in our recent acquisition, which was partially offset by other net changes of $1.0 million.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 Discussion: </w:t>
      </w:r>
      <w:r>
        <w:rPr>
          <w:rFonts w:ascii="Arial" w:cs="Arial" w:eastAsia="Arial" w:hAnsi="Arial"/>
          <w:sz w:val="18"/>
          <w:szCs w:val="18"/>
          <w:color w:val="auto"/>
        </w:rPr>
        <w:t>Included in receivables and costs in excess of billings as of July 27, 2013 was approximately $8.5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retainage on long-term contracts, all of which is expected to be collected within one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Working capital was $125.8 million at July 27, 2013 and $125.5 million at April 27, 2013. The increase in working capital was primarily the result of higher sales and the net changes among cash, accounts receivable, inventories and cost and estimated earnings in excess of billings, which were offset by net changes among accounts payable, accrued expenses, customer deposits and deferred revenue. We have historically financed working capital needs through a combination of cash flow from operations and borrowings under bank credit agreements.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credit agreement with a U.S. bank that provides for a $35.0 million line of credit and includes up to $15.0 million for standby letters of credit. The line of credit is due on November 15, 2013. The interest rate ranges from LIBOR plus 125 basis points to LIBOR plus 175 basis points depending on the ratio of our interest-bearing debt to EBITDA. EBITDA is defined as net income before income taxes, interest expense, depreciation and amortization. The effective interest rate was 1.4 percent at July 27, 2013. We are assessed a loan fee equal to 0.125 percent per annum of any non-used portion of the loan. As of July 27, 2013, there were no advances under the line of credit.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a capital expenditure reserve of $6 million, and income tax expense, over (b) all principal and interest payments with respect to debt, excluding debt outstanding on the line of credit;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an additional credit agreement with another U.S. bank which expires on November 15, 2013 that is intended to support our credit needs outside of the United States. The facility provides for a $35.0 million line of credit and includes facilities for letters of credit and bank guarantees and to secure foreign loans for our international subsidiaries. The U.S. credit agreement is unsecured and is cross collateralized with the $35.0 million line of credit described above. It contains the same covenants as the credit agreement for that line of credit. As of July 27, 2013, there were no advances under this line of credit.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July 27, 2013 and April 27, 2013. The minimum fixed charge coverage ratio as of April 27, 2013 was 64-to-1, and the ratio of interest-bearing debt to EBITDA as of July 27, 2013 was 0.02-to-1.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23, 2013, our Board of Directors declared a semi-annual dividend of $0.12 per share on our common stock for the fiscal year ended April 27, 2013, which was paid on June 14,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22, 2013, the Board declared a quarterly dividend payment of $0.09 per share on our common stock for the first quarter ended July 27, 2013. The dividend will be paid on September 20, 2013. Although we expect to continue to pay dividends for the foreseeable future, any and all subsequent dividends will be reviewed regularly and declared by the Board at its discretion.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that provides for an aggregate of $150.0 million in bonded work outstanding. At July 27, 2013, we had $18.0 million of bonded work outstanding against this line.</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 We believe our working capital available from all sources will be adequate to meet the cash requirements of our operations in the foreseeable future.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July 27, 2013, most of our net sales were denominated in United States dollars, and our exposure to foreign currency exchange rate changes on net sales has not been significant. For the first quarter of fiscal 2014, net sales originating outside the United States were 16.8 percent of total net sales, of which a portion was denominated in Canadian dollars, Euros, Chinese renminbi, British pounds, Australian dollars, Brazilian reais or other currencies. We manufacture our products in the United States, China and Belgium.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United States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$5.8 million, and all contracts mature within 24 months. These contracts are marked to market each balance sheet date and are not designated as accounting hedges. See Note 12 of the Notes to our Consolidated Financial Statements included in this report for further details on our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July 27, 2013, our outstanding marketing obligations were $0.8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July 27, 2013, our outstanding long-term receivables were $15.4 million. Each 25 basis point increase in interest rates would have an associated annual opportunity cost of $0.1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8"/>
          </w:tcPr>
          <w:p>
            <w:pPr>
              <w:ind w:left="50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(in thousands)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675"/>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cash balances at July 27, 2013, $11.7 million were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July 27, 2013, which is the end of the period covered by this Report. Based upon that evaluation, the Chief Executive Officer and Chief Financial Officer concluded that as of July 27, 2013,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July 27, 2013, there was no change in our internal control over financial reporting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27, 2013.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48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(1)</w:t>
      </w:r>
    </w:p>
    <w:p>
      <w:pPr>
        <w:spacing w:after="0" w:line="6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2013 as Commission File No. 0-23246).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486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29" w:lineRule="exact"/>
        <w:rPr>
          <w:sz w:val="20"/>
          <w:szCs w:val="20"/>
          <w:color w:val="auto"/>
        </w:rPr>
      </w:pPr>
    </w:p>
    <w:p>
      <w:pPr>
        <w:ind w:left="600" w:right="200" w:hanging="566"/>
        <w:spacing w:after="0" w:line="277" w:lineRule="auto"/>
        <w:tabs>
          <w:tab w:leader="none" w:pos="58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6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486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445770"/>
                    </a:xfrm>
                    <a:prstGeom prst="rect">
                      <a:avLst/>
                    </a:prstGeom>
                    <a:noFill/>
                  </pic:spPr>
                </pic:pic>
              </a:graphicData>
            </a:graphic>
          </wp:anchor>
        </w:drawing>
      </w:r>
    </w:p>
    <w:p>
      <w:pPr>
        <w:spacing w:after="0" w:line="43" w:lineRule="exact"/>
        <w:rPr>
          <w:sz w:val="20"/>
          <w:szCs w:val="20"/>
          <w:color w:val="auto"/>
        </w:rPr>
      </w:pPr>
    </w:p>
    <w:p>
      <w:pPr>
        <w:jc w:val="both"/>
        <w:ind w:left="600" w:right="200" w:hanging="565"/>
        <w:spacing w:after="0" w:line="311"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period ended July 27, 2013, formatted in Extensible Business Reporting Language (XBRL): (i) Consolidated Balance Sheets, (ii) Consolidated Statements of Operations, (iii) Consolidated Statements of Comprehensive Income, (iv) Consolidated Statements of Cash Flows, and (v) Notes to Consolidated Financial Statements. (1)(2)</w:t>
      </w:r>
    </w:p>
    <w:p>
      <w:pPr>
        <w:ind w:left="940" w:hanging="264"/>
        <w:spacing w:after="0"/>
        <w:tabs>
          <w:tab w:leader="none" w:pos="9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63" w:lineRule="exact"/>
        <w:rPr>
          <w:rFonts w:ascii="Arial" w:cs="Arial" w:eastAsia="Arial" w:hAnsi="Arial"/>
          <w:sz w:val="18"/>
          <w:szCs w:val="18"/>
          <w:color w:val="auto"/>
        </w:rPr>
      </w:pPr>
    </w:p>
    <w:p>
      <w:pPr>
        <w:ind w:left="940" w:right="200" w:hanging="264"/>
        <w:spacing w:after="0" w:line="279" w:lineRule="auto"/>
        <w:tabs>
          <w:tab w:leader="none" w:pos="9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Pursuant to Rule 406T of Regulation S-T, the XBRL related information in Exhibit 101 to this Quarterly Report on Form 10-Q shall not be deemed to be “filed” for purposes of Section 18 of the Securities Exchange Act of 1934 (the “Exchange Act”), or otherwise subject to the liability of that section, and shall not be deemed part of a registration statement, prospectus or other document filed under the Securities Act of 1933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4860"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-764540</wp:posOffset>
            </wp:positionV>
            <wp:extent cx="7134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30, 2013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(1)</w:t>
      </w:r>
    </w:p>
    <w:p>
      <w:pPr>
        <w:spacing w:after="0" w:line="6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2013 as Commission File No. 0-23246).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6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3" w:lineRule="exact"/>
        <w:rPr>
          <w:sz w:val="20"/>
          <w:szCs w:val="20"/>
          <w:color w:val="auto"/>
        </w:rPr>
      </w:pPr>
    </w:p>
    <w:p>
      <w:pPr>
        <w:jc w:val="both"/>
        <w:ind w:left="620" w:right="20" w:hanging="585"/>
        <w:spacing w:after="0" w:line="305"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period ended July 27, 2013, formatted in Extensible Business Reporting Language (XBRL): (i) Consolidated Balance Sheets, (ii) Consolidated Statements of Operations, (iii) Consolidated Statements of Comprehensive Income, (iv) Consolidated Statements of Cash Flows, and (v) Notes to Consolidated Financial Statements. (1)(2)</w:t>
      </w:r>
    </w:p>
    <w:p>
      <w:pPr>
        <w:ind w:left="960" w:hanging="307"/>
        <w:spacing w:after="0"/>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76" w:lineRule="exact"/>
        <w:rPr>
          <w:rFonts w:ascii="Arial" w:cs="Arial" w:eastAsia="Arial" w:hAnsi="Arial"/>
          <w:sz w:val="18"/>
          <w:szCs w:val="18"/>
          <w:color w:val="auto"/>
        </w:rPr>
      </w:pPr>
    </w:p>
    <w:p>
      <w:pPr>
        <w:jc w:val="both"/>
        <w:ind w:left="960" w:right="20" w:hanging="307"/>
        <w:spacing w:after="0" w:line="259"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not be deemed to be “filed” for purposes of Section 18 of the Securities Exchange Act of 1934 (the “Exchange Act”), or otherwise subject to the liability of that section, and shall not be deemed part of a registration statement, prospectus or other document filed under the Securities Act of 1933 or the Exchange Act, except as shall be expressly set forth by specific reference in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582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-755015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provisions of South Dakota Codified Laws and the South Dakota Business Corporation Act, the undersigned corporation adopts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Articles of Incorporation as follows, to-wit: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Amended and Restated Articles of Incorporation shall supersede and take the place of the existing Amended and Restated Articles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Incorporation and all amendments thereof: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1 - NAME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1.1</w:t>
            </w:r>
          </w:p>
        </w:tc>
        <w:tc>
          <w:tcPr>
            <w:tcW w:w="4600" w:type="dxa"/>
            <w:vAlign w:val="bottom"/>
            <w:gridSpan w:val="4"/>
          </w:tcPr>
          <w:p>
            <w:pPr>
              <w:ind w:left="320"/>
              <w:spacing w:after="0"/>
              <w:rPr>
                <w:sz w:val="20"/>
                <w:szCs w:val="20"/>
                <w:color w:val="auto"/>
              </w:rPr>
            </w:pPr>
            <w:r>
              <w:rPr>
                <w:rFonts w:ascii="Arial" w:cs="Arial" w:eastAsia="Arial" w:hAnsi="Arial"/>
                <w:sz w:val="18"/>
                <w:szCs w:val="18"/>
                <w:color w:val="auto"/>
              </w:rPr>
              <w:t>The name of the corporation shall be Daktronics, Inc.</w:t>
            </w:r>
          </w:p>
        </w:tc>
      </w:tr>
      <w:tr>
        <w:trPr>
          <w:trHeight w:val="405"/>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ARTICLE 2</w:t>
            </w: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 DURATION</w:t>
            </w:r>
          </w:p>
        </w:tc>
        <w:tc>
          <w:tcPr>
            <w:tcW w:w="3080" w:type="dxa"/>
            <w:vAlign w:val="bottom"/>
          </w:tcPr>
          <w:p>
            <w:pPr>
              <w:spacing w:after="0"/>
              <w:rPr>
                <w:sz w:val="24"/>
                <w:szCs w:val="24"/>
                <w:color w:val="auto"/>
              </w:rPr>
            </w:pPr>
          </w:p>
        </w:tc>
      </w:tr>
      <w:tr>
        <w:trPr>
          <w:trHeight w:val="480"/>
        </w:trPr>
        <w:tc>
          <w:tcPr>
            <w:tcW w:w="560" w:type="dxa"/>
            <w:vAlign w:val="bottom"/>
          </w:tcPr>
          <w:p>
            <w:pPr>
              <w:spacing w:after="0"/>
              <w:rPr>
                <w:sz w:val="20"/>
                <w:szCs w:val="20"/>
                <w:color w:val="auto"/>
              </w:rPr>
            </w:pPr>
            <w:r>
              <w:rPr>
                <w:rFonts w:ascii="Arial" w:cs="Arial" w:eastAsia="Arial" w:hAnsi="Arial"/>
                <w:sz w:val="18"/>
                <w:szCs w:val="18"/>
                <w:color w:val="auto"/>
              </w:rPr>
              <w:t>2.1</w:t>
            </w:r>
          </w:p>
        </w:tc>
        <w:tc>
          <w:tcPr>
            <w:tcW w:w="4600" w:type="dxa"/>
            <w:vAlign w:val="bottom"/>
            <w:gridSpan w:val="4"/>
          </w:tcPr>
          <w:p>
            <w:pPr>
              <w:ind w:left="320"/>
              <w:spacing w:after="0"/>
              <w:rPr>
                <w:sz w:val="20"/>
                <w:szCs w:val="20"/>
                <w:color w:val="auto"/>
              </w:rPr>
            </w:pPr>
            <w:r>
              <w:rPr>
                <w:rFonts w:ascii="Arial" w:cs="Arial" w:eastAsia="Arial" w:hAnsi="Arial"/>
                <w:sz w:val="18"/>
                <w:szCs w:val="18"/>
                <w:color w:val="auto"/>
              </w:rPr>
              <w:t>The duration of the corporation shall be perpetual.</w:t>
            </w:r>
          </w:p>
        </w:tc>
      </w:tr>
      <w:tr>
        <w:trPr>
          <w:trHeight w:val="405"/>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ARTICLE 3</w:t>
            </w:r>
          </w:p>
        </w:tc>
        <w:tc>
          <w:tcPr>
            <w:tcW w:w="4180" w:type="dxa"/>
            <w:vAlign w:val="bottom"/>
            <w:gridSpan w:val="3"/>
          </w:tcPr>
          <w:p>
            <w:pPr>
              <w:ind w:left="20"/>
              <w:spacing w:after="0"/>
              <w:rPr>
                <w:sz w:val="20"/>
                <w:szCs w:val="20"/>
                <w:color w:val="auto"/>
              </w:rPr>
            </w:pPr>
            <w:r>
              <w:rPr>
                <w:rFonts w:ascii="Arial" w:cs="Arial" w:eastAsia="Arial" w:hAnsi="Arial"/>
                <w:sz w:val="18"/>
                <w:szCs w:val="18"/>
                <w:b w:val="1"/>
                <w:bCs w:val="1"/>
                <w:color w:val="auto"/>
              </w:rPr>
              <w:t>- PURPOSE</w:t>
            </w:r>
          </w:p>
        </w:tc>
      </w:tr>
      <w:tr>
        <w:trPr>
          <w:trHeight w:val="20"/>
        </w:trPr>
        <w:tc>
          <w:tcPr>
            <w:tcW w:w="56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r>
      <w:tr>
        <w:trPr>
          <w:trHeight w:val="480"/>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4600" w:type="dxa"/>
            <w:vAlign w:val="bottom"/>
            <w:gridSpan w:val="4"/>
          </w:tcPr>
          <w:p>
            <w:pPr>
              <w:ind w:left="320"/>
              <w:spacing w:after="0"/>
              <w:rPr>
                <w:sz w:val="20"/>
                <w:szCs w:val="20"/>
                <w:color w:val="auto"/>
              </w:rPr>
            </w:pPr>
            <w:r>
              <w:rPr>
                <w:rFonts w:ascii="Arial" w:cs="Arial" w:eastAsia="Arial" w:hAnsi="Arial"/>
                <w:sz w:val="18"/>
                <w:szCs w:val="18"/>
                <w:color w:val="auto"/>
                <w:w w:val="88"/>
              </w:rPr>
              <w:t>The corporation is organized for general business purposes.</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4 - STOCK</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4.1 The aggregate number of shares of stock which the corporation shall have the authority to issue shall be one-hundred twenty million (120,000,000) shares, each without par value, and which shall consist of one-hundred fifteen million (115,000,000) shares of common stock and five million (5,000,000) shares of undesignated stock. The Board of Directors of the corporation is authorized to establish from the shares of undesignated stock, by resolution adopted and by articles of amendment filed in the manner provided by law, one or more classes or series of shares, to designate each such class or series (which may include, but is not limited to, designation as additional shares of common stock), and to fix the relative rights and preferences of each such class or series.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4.2 The Board of Directors may, at any time and from time to time, issue and sell for such consideration as may be permitted by law, any and all of the authorized shares of the stock of the corporation not then issued, any and all treasury shares, and any and all of any stock of any class that may hereafter be authorized.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5 - NO PREEMPTIVE RIGHTS</w:t>
      </w:r>
    </w:p>
    <w:p>
      <w:pPr>
        <w:spacing w:after="0" w:line="25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5.1 The shareholders of the corporation shall not have preemptive rights to acquire additional or treasury shares of stock of the corporation, or obligations of the corporation or rights convertible into such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6 - REGISTERED OFFICE AND AGENT</w:t>
      </w:r>
    </w:p>
    <w:p>
      <w:pPr>
        <w:spacing w:after="0" w:line="25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6.1 The street address of the principal and registered office of the corporation shall be 201 Daktronics Drive, Brookings, South Dakota 57006, and the name of its registered agent shall be its Chief Executive Officer.</w:t>
      </w:r>
    </w:p>
    <w:p>
      <w:pPr>
        <w:spacing w:after="0" w:line="17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6.2 The Board of Directors shall have the authority to change the street address and name of the registered agent of the corporation pursuant to the procedure set forth in the South Dakota Business Corporation Act, or its successor.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7 - DIRECTORS</w:t>
      </w:r>
    </w:p>
    <w:p>
      <w:pPr>
        <w:spacing w:after="0" w:line="256"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7.1 The Board of Directors shall consist of a minimum of seven (7) or more members divided into three (3) classes, designated Class A, Class B and Class C, with each class to be as nearly equal in number as possible, with the term of office of the initial Class A members to expire at the first annual meeting after their election; the term of the initial Class B members to expire at the second annual meeting after their election; and the term of the initial Class C members to expire at the third annual meeting after</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their election. At each annual meeting of shareholders, directors chosen to succeed whose terms then expire shall be elected for a full term of three (3) years.</w:t>
      </w:r>
    </w:p>
    <w:p>
      <w:pPr>
        <w:spacing w:after="0" w:line="28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7.2 The Board of Directors shall have the power and authority to take any action required or permitted of it by law and by these Articles of Incorporation.</w:t>
      </w:r>
    </w:p>
    <w:p>
      <w:pPr>
        <w:spacing w:after="0" w:line="170"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7.3 The liability of the corporation's directors to the corporation or its shareholders shall be eliminated to the fullest extent permitted by the South Dakota Business Corporation Act, as the same exists or may be amended from time to time. In particular, and without limiting the effect of the foregoing sentence, a director of the corporation shall not be liable to the corporation or its shareholders for money damages for any action taken, or any failure to take any action, as a director, except (i) liability for the amount of a financial benefit received by a director to which the director is not entitled; (ii) an intentional infliction of harm on the corporation or its shareholders; (iii) a violation of Section 162 of the South Dakota Business Act relating to unlawful distributions; or</w:t>
      </w:r>
    </w:p>
    <w:p>
      <w:pPr>
        <w:spacing w:after="0" w:line="3" w:lineRule="exact"/>
        <w:rPr>
          <w:sz w:val="20"/>
          <w:szCs w:val="20"/>
          <w:color w:val="auto"/>
        </w:rPr>
      </w:pPr>
    </w:p>
    <w:p>
      <w:pPr>
        <w:jc w:val="both"/>
        <w:ind w:firstLine="8"/>
        <w:spacing w:after="0" w:line="325"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intentional violation of criminal law. If the South Dakota Business Corporation Act, or any succeeding statutory authority, is hereafter amended to authorize the further elimination or limitation of the liability of directors, then the liability of a director of the corporation, in addition to the limitation on personal liability provided herein, shall be limited to the fullest extent permitted by the South Dakota Business Corporation Act or any succeeding statutory authority. Any repeal or modification of this Section 7.3 by the shareholders of the corporation shall be prospective only and shall not adversely affect any limitation on the personal liability of a director of the corporation at the time of such repeal or modification.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8 - INDEMNIFICATION</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8.1 The corporation shall indemnify its officers and directors to the fullest extent authorized or permitted by the South Dakota Business Corporation Act or any other applicable laws as may from time to time be in effect, as the same exist or may be amended from time to time. The corporation may indemnify its employees, agents and other persons from time to time as determined by the Board of Directors.</w:t>
      </w:r>
    </w:p>
    <w:p>
      <w:pPr>
        <w:spacing w:after="0" w:line="18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8.2 Any repeal or modification of this Article 8 by the shareholders of the corporation shall be prospective only and shall not adversely affect the indemnification of any person who is entitled to indemnification at the time of such repeal or modification.</w:t>
      </w:r>
    </w:p>
    <w:p>
      <w:pPr>
        <w:spacing w:after="0" w:line="170"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8.3 The indemnification provided in this Article 8, under the South Dakota Business Corporation Act, and under any other applicable laws shall not be deemed exclusive of any other rights to which those indemnified may be entitled by any Bylaw, agreement, vote of shareholders or directors, or otherwise, both as to action in his or her official capacity and as to action in another capacity while holding such office, and shall continue as to a person who has ceased to be a director, officer or employee and shall inure to the benefit of the heirs, executors and administrators of such a person.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9 - BYLAWS</w:t>
      </w:r>
    </w:p>
    <w:p>
      <w:pPr>
        <w:spacing w:after="0" w:line="256"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9.1 The Board of Directors may make and amend bylaws which may contain any provision relating to the management of the business or the regulation of the affairs of the corporation not inconsistent with law or the Articles of Incorporation. The power to adopt, amend or repeal the bylaws shall be vested in the Board, subject to any right under applicable law of the corporation's shareholders to propose or adopt any bylaws or amendments to the corporation's bylaws.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10 - SHAREHOLDERS</w:t>
      </w: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 majority of the shares entitled to vote on a matter, represented in person or by proxy, shall constitute a quorum at a meeting of shareholders.</w:t>
      </w:r>
    </w:p>
    <w:p>
      <w:pPr>
        <w:spacing w:after="0" w:line="266"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10.2 If a quorum is present, the affirmative vote of the majority of the shares represented at the meeting and entitled to vote on the subject matter shall be the act of the shareholders, unless the vote of a greater number or voting classes is required by the South Dakota Business Corporation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11 - POWERS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11.1 The corporation shall have the unlimited power to engage in and to do any act necessary or incidental to the carrying out of its purposes, together with the power to do or perform any acts consistent with or which may be implied from the powers expressly conferred upon corporations by the South Dakota Business Corporation Act.</w:t>
      </w:r>
    </w:p>
    <w:p>
      <w:pPr>
        <w:sectPr>
          <w:pgSz w:w="11900" w:h="16838" w:orient="portrait"/>
          <w:cols w:equalWidth="0" w:num="1">
            <w:col w:w="11420"/>
          </w:cols>
          <w:pgMar w:left="240" w:top="6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ARTICLE 12 - AMENDMENT</w:t>
      </w:r>
    </w:p>
    <w:p>
      <w:pPr>
        <w:spacing w:after="0" w:line="256"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12.1 These Articles of Incorporation may be amended in the manner provided in the South Dakota Business Corporation Act, as the same exists or as that statute may be amended from time to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VERIFICATION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foregoing Amended and Restated Articles of Incorporation of Daktronics, Inc. were duly adopted by the holders of common stock of Daktronics, Inc. at a meeting of the shareholders held, pursuant to proper notice thereof, on August 21, 2013, at which a quorum was present. Of the 42,497,499 shares of common stock of Daktronics, Inc. issued and outstanding and entitled to vote theron, the holders of 35,946,981 shares voted for and the holders of 461,078 shares voted against the foregoing Amended and Restated Articles of Incorporation of Daktronics, Inc.</w:t>
      </w:r>
    </w:p>
    <w:p>
      <w:pPr>
        <w:spacing w:after="0" w:line="200" w:lineRule="exact"/>
        <w:rPr>
          <w:sz w:val="20"/>
          <w:szCs w:val="20"/>
          <w:color w:val="auto"/>
        </w:rPr>
      </w:pPr>
    </w:p>
    <w:p>
      <w:pPr>
        <w:spacing w:after="0" w:line="3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DAKTRONICS,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B. Morgan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James B. Morgan,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 SEAL)</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Carla S. Gatzke</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Carla S. Gatzke, Secretary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 OF SOUTH DAKOTA )</w:t>
      </w:r>
    </w:p>
    <w:p>
      <w:pPr>
        <w:spacing w:after="0" w:line="6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 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COUNTY OF BROOKINGS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this 30th day of August, 2013, before me, a Notary Public within and for said State and County, personally appeared James B. Morgan and Carla S. Gatzke, who, being by me first duly sworn, declared that they are the President and Secretary, respectively, of Daktronics, Inc., that they signed the foregoing document as President and Secretary of the corporation, and that the statements therein contained are true and correct.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Audrey Kress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2478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Notary Public</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My Commission Expires: 12/07/2016</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27, 2013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James B. Morgan</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James B. Morgan</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Date: August 30, 2013</w:t>
      </w:r>
    </w:p>
    <w:p>
      <w:pPr>
        <w:sectPr>
          <w:pgSz w:w="11900" w:h="16838" w:orient="portrait"/>
          <w:cols w:equalWidth="0" w:num="1">
            <w:col w:w="11420"/>
          </w:cols>
          <w:pgMar w:left="240" w:top="58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27, 2013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August 30, 2013</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27, 2013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James B. Morgan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James B. Morgan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Date: August 30, 2013</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27, 2013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August 30, 2013</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01"/>
    </w:lvl>
    <w:lvl w:ilvl="1">
      <w:lvlJc w:val="left"/>
      <w:lvlText w:val="(%2)"/>
      <w:numFmt w:val="decimal"/>
      <w:start w:val="1"/>
    </w:lvl>
  </w:abstractNum>
  <w:abstractNum w:abstractNumId="12">
    <w:nsid w:val="41A7C4C9"/>
    <w:multiLevelType w:val="hybridMultilevel"/>
    <w:lvl w:ilvl="0">
      <w:lvlJc w:val="left"/>
      <w:lvlText w:val="%1"/>
      <w:numFmt w:val="decimal"/>
      <w:start w:val="101"/>
    </w:lvl>
    <w:lvl w:ilvl="1">
      <w:lvlJc w:val="left"/>
      <w:lvlText w:val="(%2)"/>
      <w:numFmt w:val="decimal"/>
      <w:start w:val="1"/>
    </w:lvl>
  </w:abstractNum>
  <w:abstractNum w:abstractNumId="13">
    <w:nsid w:val="6B68079A"/>
    <w:multiLevelType w:val="hybridMultilevel"/>
    <w:lvl w:ilvl="0">
      <w:lvlJc w:val="left"/>
      <w:lvlText w:val="(%1)"/>
      <w:numFmt w:val="lowerRoman"/>
      <w:start w:val="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2019-12-06T10:32:46Z</dcterms:created>
  <dcterms:modified xsi:type="dcterms:W3CDTF">2019-12-06T10:32:46Z</dcterms:modified>
</cp:coreProperties>
</file>